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2"/>
        <w:spacing w:before="0" w:after="0" w:beforeAutospacing="0" w:afterAutospacing="0"/>
        <w:jc w:val="center"/>
        <w:rPr>
          <w:b w:val="1"/>
          <w:color w:val="000000"/>
          <w:lang w:val="uk-UA"/>
        </w:rPr>
      </w:pPr>
      <w:r>
        <w:rPr>
          <w:b w:val="1"/>
          <w:color w:val="000000"/>
          <w:lang w:val="uk-UA"/>
        </w:rPr>
        <w:t xml:space="preserve">Пояснювальна записка </w:t>
      </w:r>
    </w:p>
    <w:p>
      <w:pPr>
        <w:pStyle w:val="P8"/>
        <w:tabs>
          <w:tab w:val="left" w:pos="1820" w:leader="none"/>
          <w:tab w:val="left" w:pos="3402" w:leader="none"/>
          <w:tab w:val="left" w:pos="8789" w:leader="none"/>
        </w:tabs>
        <w:rPr>
          <w:b w:val="1"/>
          <w:sz w:val="24"/>
        </w:rPr>
      </w:pPr>
      <w:r>
        <w:rPr>
          <w:b w:val="1"/>
          <w:color w:val="000000"/>
          <w:sz w:val="24"/>
        </w:rPr>
        <w:t xml:space="preserve">до проєкту рішення </w:t>
      </w:r>
      <w:r>
        <w:rPr>
          <w:b w:val="1"/>
          <w:bCs w:val="1"/>
          <w:noProof w:val="1"/>
          <w:sz w:val="24"/>
        </w:rPr>
        <w:t>«</w:t>
      </w:r>
      <w:r>
        <w:rPr>
          <w:b w:val="1"/>
          <w:sz w:val="24"/>
        </w:rPr>
        <w:t xml:space="preserve">Про встановлення розміру орендної плати </w:t>
      </w:r>
    </w:p>
    <w:p>
      <w:pPr>
        <w:pStyle w:val="P8"/>
        <w:tabs>
          <w:tab w:val="left" w:pos="1820" w:leader="none"/>
          <w:tab w:val="left" w:pos="3402" w:leader="none"/>
          <w:tab w:val="left" w:pos="8789" w:leader="none"/>
        </w:tabs>
        <w:rPr>
          <w:b w:val="1"/>
          <w:sz w:val="24"/>
        </w:rPr>
      </w:pPr>
      <w:r>
        <w:rPr>
          <w:b w:val="1"/>
          <w:sz w:val="24"/>
        </w:rPr>
        <w:t>товариству з обмеженою відповідальністю «ФЕЛІКС ЕНЕРДЖИ»</w:t>
      </w:r>
    </w:p>
    <w:p>
      <w:pPr>
        <w:tabs>
          <w:tab w:val="left" w:pos="7560" w:leader="none"/>
        </w:tabs>
        <w:spacing w:lineRule="auto" w:line="240" w:after="0" w:beforeAutospacing="0" w:afterAutospacing="0"/>
        <w:ind w:left="1680" w:right="2155"/>
        <w:jc w:val="center"/>
        <w:rPr>
          <w:rFonts w:ascii="Times New Roman" w:hAnsi="Times New Roman"/>
          <w:b w:val="1"/>
          <w:bCs w:val="1"/>
          <w:noProof w:val="1"/>
          <w:sz w:val="24"/>
          <w:szCs w:val="24"/>
          <w:lang w:val="uk-UA" w:eastAsia="ru-RU"/>
        </w:rPr>
      </w:pPr>
      <w:r>
        <w:rPr>
          <w:rFonts w:ascii="Times New Roman" w:hAnsi="Times New Roman"/>
          <w:b w:val="1"/>
          <w:bCs w:val="1"/>
          <w:noProof w:val="1"/>
          <w:sz w:val="24"/>
          <w:szCs w:val="24"/>
          <w:lang w:val="uk-UA" w:eastAsia="ru-RU"/>
        </w:rPr>
        <w:t xml:space="preserve"> </w:t>
      </w:r>
    </w:p>
    <w:p>
      <w:pPr>
        <w:pStyle w:val="P2"/>
        <w:spacing w:before="0" w:after="0" w:beforeAutospacing="0" w:afterAutospacing="0"/>
        <w:ind w:firstLine="567"/>
        <w:jc w:val="both"/>
        <w:rPr>
          <w:color w:val="000000"/>
          <w:lang w:val="uk-UA"/>
        </w:rPr>
      </w:pPr>
      <w:r>
        <w:rPr>
          <w:color w:val="000000"/>
        </w:rPr>
        <w:t>Пояснювальна записка підготовлена</w:t>
      </w:r>
      <w:r>
        <w:rPr>
          <w:color w:val="000000"/>
          <w:lang w:val="uk-UA"/>
        </w:rPr>
        <w:t xml:space="preserve"> </w:t>
      </w:r>
      <w:r>
        <w:rPr>
          <w:color w:val="000000"/>
        </w:rPr>
        <w:t xml:space="preserve">відповідно до ст. 20 Регламенту </w:t>
      </w:r>
      <w:bookmarkStart w:id="0" w:name="_Hlk71275076"/>
      <w:r>
        <w:rPr>
          <w:color w:val="000000"/>
        </w:rPr>
        <w:t>Броварської</w:t>
      </w:r>
      <w:r>
        <w:rPr>
          <w:color w:val="000000"/>
          <w:lang w:val="uk-UA"/>
        </w:rPr>
        <w:t xml:space="preserve"> </w:t>
      </w:r>
      <w:r>
        <w:rPr>
          <w:color w:val="000000"/>
        </w:rPr>
        <w:t xml:space="preserve">міської ради </w:t>
      </w:r>
      <w:bookmarkStart w:id="1" w:name="_Hlk68696339"/>
      <w:r>
        <w:rPr>
          <w:color w:val="000000"/>
        </w:rPr>
        <w:t>Броварського району Київської</w:t>
      </w:r>
      <w:r>
        <w:rPr>
          <w:color w:val="000000"/>
          <w:lang w:val="uk-UA"/>
        </w:rPr>
        <w:t xml:space="preserve"> </w:t>
      </w:r>
      <w:r>
        <w:rPr>
          <w:color w:val="000000"/>
        </w:rPr>
        <w:t xml:space="preserve">області </w:t>
      </w:r>
      <w:bookmarkEnd w:id="0"/>
      <w:bookmarkEnd w:id="1"/>
      <w:r>
        <w:rPr>
          <w:color w:val="000000"/>
        </w:rPr>
        <w:t>VIII скликання.</w:t>
      </w:r>
    </w:p>
    <w:p>
      <w:pPr>
        <w:pStyle w:val="P2"/>
        <w:spacing w:before="0" w:after="0" w:beforeAutospacing="0" w:afterAutospacing="0"/>
        <w:jc w:val="both"/>
        <w:rPr>
          <w:b w:val="1"/>
          <w:color w:val="000000"/>
          <w:lang w:val="uk-UA"/>
        </w:rPr>
      </w:pPr>
    </w:p>
    <w:p>
      <w:pPr>
        <w:pStyle w:val="P2"/>
        <w:numPr>
          <w:ilvl w:val="0"/>
          <w:numId w:val="4"/>
        </w:numPr>
        <w:spacing w:before="0" w:after="0" w:beforeAutospacing="0" w:afterAutospacing="0"/>
        <w:jc w:val="both"/>
        <w:rPr>
          <w:b w:val="1"/>
          <w:lang w:val="uk-UA"/>
        </w:rPr>
      </w:pPr>
      <w:r>
        <w:rPr>
          <w:b w:val="1"/>
          <w:lang w:val="uk-UA"/>
        </w:rPr>
        <w:t>Обґрунтування необхідності прийняття рішення</w:t>
      </w:r>
    </w:p>
    <w:p>
      <w:pPr>
        <w:spacing w:lineRule="auto" w:line="240" w:after="0" w:beforeAutospacing="0" w:afterAutospacing="0"/>
        <w:ind w:firstLine="567"/>
        <w:jc w:val="both"/>
        <w:outlineLvl w:val="0"/>
        <w:rPr>
          <w:rFonts w:ascii="Times New Roman" w:hAnsi="Times New Roman"/>
          <w:sz w:val="24"/>
          <w:szCs w:val="24"/>
          <w:lang w:val="uk-UA"/>
        </w:rPr>
      </w:pPr>
      <w:r>
        <w:rPr>
          <w:rFonts w:ascii="Times New Roman" w:hAnsi="Times New Roman"/>
          <w:sz w:val="24"/>
          <w:szCs w:val="24"/>
          <w:lang w:val="uk-UA"/>
        </w:rPr>
        <w:t>Проєкт даного рішення підготовлено на підставі рекомендацій постійної комісії з оренди об’єктів комунальної власності Броварської міської територіальної громади за результатами розгляду звернення товариства з обмеженою відповідальністю «ФЕЛІКС ЕНЕРДЖИ» від 27 вересня 2023 року №27/1.</w:t>
      </w:r>
    </w:p>
    <w:p>
      <w:pPr>
        <w:spacing w:lineRule="auto" w:line="240" w:after="0" w:beforeAutospacing="0" w:afterAutospacing="0"/>
        <w:ind w:firstLine="567"/>
        <w:jc w:val="both"/>
        <w:outlineLvl w:val="0"/>
        <w:rPr>
          <w:rFonts w:ascii="Times New Roman" w:hAnsi="Times New Roman"/>
          <w:sz w:val="24"/>
          <w:szCs w:val="24"/>
          <w:w w:val="101"/>
          <w:lang w:val="uk-UA"/>
        </w:rPr>
      </w:pPr>
      <w:r>
        <w:rPr>
          <w:rFonts w:ascii="Times New Roman" w:hAnsi="Times New Roman"/>
          <w:sz w:val="24"/>
          <w:szCs w:val="24"/>
          <w:lang w:val="uk-UA"/>
        </w:rPr>
        <w:t xml:space="preserve">ТОВ «ФЕЛІКС ЕНЕРДЖИ» від 27 вересня 2023 року   №27/1 </w:t>
      </w:r>
      <w:r>
        <w:rPr>
          <w:rFonts w:ascii="Times New Roman" w:hAnsi="Times New Roman"/>
          <w:sz w:val="24"/>
          <w:szCs w:val="24"/>
          <w:spacing w:val="-6"/>
          <w:lang w:val="uk-UA"/>
        </w:rPr>
        <w:t>звернувся із проханням</w:t>
      </w:r>
      <w:r>
        <w:rPr>
          <w:sz w:val="24"/>
          <w:szCs w:val="24"/>
          <w:spacing w:val="-6"/>
          <w:lang w:val="uk-UA"/>
        </w:rPr>
        <w:t xml:space="preserve"> </w:t>
      </w:r>
      <w:r>
        <w:rPr>
          <w:rFonts w:ascii="Times New Roman" w:hAnsi="Times New Roman"/>
          <w:sz w:val="24"/>
          <w:szCs w:val="24"/>
          <w:lang w:val="uk-UA"/>
        </w:rPr>
        <w:t xml:space="preserve">щодо встановлення орендної плати за оренду нежитлових приміщень загальною площею 566,0 кв.м. за адресою: Київська область, Броварський район, місто Бровари, бульвар Незалежності, 26-А  у розмірі 50 відсотків розміру орендної плати встановленої договором оренди, на весь період воєнного стану і протягом трьох місяців після його припинення чи скасування, договір оренди № 41/77-17 від 01 листопада 2017 року, цільове призначення об’єкта оренди</w:t>
      </w:r>
      <w:r>
        <w:rPr>
          <w:rFonts w:ascii="Times New Roman" w:hAnsi="Times New Roman"/>
          <w:sz w:val="24"/>
          <w:szCs w:val="24"/>
          <w:spacing w:val="-1"/>
          <w:w w:val="101"/>
          <w:lang w:val="uk-UA"/>
        </w:rPr>
        <w:t xml:space="preserve">: </w:t>
      </w:r>
      <w:r>
        <w:rPr>
          <w:rFonts w:ascii="Times New Roman" w:hAnsi="Times New Roman"/>
          <w:sz w:val="24"/>
          <w:szCs w:val="24"/>
          <w:w w:val="101"/>
          <w:lang w:val="uk-UA"/>
        </w:rPr>
        <w:t xml:space="preserve">267,87 кв.м. - розміщення котельні та постачання теплової енергії (інше виробництво); 298,13 кв.м .- розміщення складу. </w:t>
      </w:r>
    </w:p>
    <w:p>
      <w:pPr>
        <w:spacing w:lineRule="auto" w:line="240" w:after="0" w:beforeAutospacing="0" w:afterAutospacing="0"/>
        <w:ind w:firstLine="567"/>
        <w:jc w:val="both"/>
        <w:outlineLvl w:val="0"/>
        <w:rPr>
          <w:rFonts w:ascii="Times New Roman" w:hAnsi="Times New Roman"/>
          <w:sz w:val="24"/>
          <w:szCs w:val="24"/>
          <w:lang w:val="uk-UA"/>
        </w:rPr>
      </w:pPr>
      <w:r>
        <w:rPr>
          <w:rFonts w:ascii="Times New Roman" w:hAnsi="Times New Roman"/>
          <w:sz w:val="24"/>
          <w:szCs w:val="24"/>
          <w:w w:val="101"/>
          <w:lang w:val="uk-UA"/>
        </w:rPr>
        <w:t>Нарахування орендної плати за серпень 2023 року становить 83981 грн. 94 коп. Станом на 04.10.2023 заборгованість з орендної плати відсутня.</w:t>
      </w:r>
    </w:p>
    <w:p>
      <w:pPr>
        <w:pStyle w:val="P8"/>
        <w:tabs>
          <w:tab w:val="left" w:pos="1820" w:leader="none"/>
          <w:tab w:val="left" w:pos="3686" w:leader="none"/>
          <w:tab w:val="left" w:pos="4253" w:leader="none"/>
          <w:tab w:val="left" w:pos="4820" w:leader="none"/>
        </w:tabs>
        <w:ind w:firstLine="567"/>
        <w:jc w:val="both"/>
        <w:rPr>
          <w:sz w:val="24"/>
          <w:spacing w:val="-2"/>
        </w:rPr>
      </w:pPr>
      <w:r>
        <w:rPr>
          <w:sz w:val="24"/>
          <w:spacing w:val="-6"/>
        </w:rPr>
        <w:t xml:space="preserve">Дане питання  </w:t>
      </w:r>
      <w:r>
        <w:rPr>
          <w:sz w:val="24"/>
        </w:rPr>
        <w:t>було винесено</w:t>
      </w:r>
      <w:r>
        <w:rPr>
          <w:sz w:val="24"/>
          <w:spacing w:val="-2"/>
        </w:rPr>
        <w:t xml:space="preserve"> на розгляд постійної комісії з оренди об’єктів комунальної власності Броварської міської територіальної громади (далі - Комісія), засідання якої відбулося 27 вересня 2023 року. </w:t>
      </w:r>
    </w:p>
    <w:p>
      <w:pPr>
        <w:pStyle w:val="P2"/>
        <w:spacing w:before="0" w:after="0" w:beforeAutospacing="0" w:afterAutospacing="0"/>
        <w:ind w:firstLine="567"/>
        <w:jc w:val="both"/>
        <w:rPr>
          <w:lang w:val="uk-UA"/>
        </w:rPr>
      </w:pPr>
      <w:r>
        <w:rPr>
          <w:lang w:val="uk-UA"/>
        </w:rPr>
        <w:t>Відповідно до пункту 12 Постанови Кабінету Міністрів України від 27 травня 2022 року № 634 органи місцевого самоврядування можуть додатково приймати рішення з питань визначених пунктом 1 цієї постанови, відповідно до Закону України «Про місцеве самоврядування в Україні».</w:t>
      </w:r>
    </w:p>
    <w:p>
      <w:pPr>
        <w:pStyle w:val="P2"/>
        <w:spacing w:before="0" w:after="0" w:beforeAutospacing="0" w:afterAutospacing="0"/>
        <w:ind w:firstLine="567"/>
        <w:jc w:val="both"/>
        <w:rPr>
          <w:shd w:val="clear" w:color="auto" w:fill="FFFFFF"/>
          <w:lang w:val="uk-UA"/>
        </w:rPr>
      </w:pPr>
      <w:r>
        <w:rPr>
          <w:lang w:val="uk-UA"/>
        </w:rPr>
        <w:t>Згідно з пунктом 129</w:t>
      </w:r>
      <w:r>
        <w:rPr>
          <w:vertAlign w:val="superscript"/>
          <w:lang w:val="uk-UA"/>
        </w:rPr>
        <w:t>1</w:t>
      </w:r>
      <w:r>
        <w:rPr>
          <w:lang w:val="uk-UA"/>
        </w:rPr>
        <w:t xml:space="preserve"> Порядку передачі в оренду державного та комунального майна, затвердженого постановою Кабінету Міністрів України від 03 червня 2020 р. № 483 (</w:t>
      </w:r>
      <w:r>
        <w:rPr>
          <w:rStyle w:val="C9"/>
          <w:iCs w:val="1"/>
          <w:shd w:val="clear" w:color="auto" w:fill="FFFFFF"/>
          <w:lang w:val="uk-UA"/>
        </w:rPr>
        <w:t xml:space="preserve">зміни внесені згідно з Постановою </w:t>
      </w:r>
      <w:r>
        <w:t xml:space="preserve">Кабінету Міністрів України </w:t>
      </w:r>
      <w:hyperlink xmlns:r="http://schemas.openxmlformats.org/officeDocument/2006/relationships" r:id="R2" w:anchor="n15" w:tgtFrame="_blank">
        <w:r>
          <w:rPr>
            <w:rStyle w:val="C2"/>
            <w:iCs w:val="1"/>
            <w:color w:val="auto"/>
            <w:u w:val="none"/>
            <w:shd w:val="clear" w:color="auto" w:fill="FFFFFF"/>
          </w:rPr>
          <w:t>№ 1026 від 13.09.2022</w:t>
        </w:r>
      </w:hyperlink>
      <w:r>
        <w:t>)</w:t>
      </w:r>
      <w:r>
        <w:rPr>
          <w:lang w:val="uk-UA"/>
        </w:rPr>
        <w:t>,</w:t>
      </w:r>
      <w:r>
        <w:rPr>
          <w:shd w:val="clear" w:color="auto" w:fill="FFFFFF"/>
        </w:rPr>
        <w:t xml:space="preserve"> </w:t>
      </w:r>
      <w:r>
        <w:rPr>
          <w:shd w:val="clear" w:color="auto" w:fill="FFFFFF"/>
          <w:lang w:val="uk-UA"/>
        </w:rPr>
        <w:t>я</w:t>
      </w:r>
      <w:r>
        <w:rPr>
          <w:shd w:val="clear" w:color="auto" w:fill="FFFFFF"/>
        </w:rPr>
        <w:t>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w:t>
      </w:r>
      <w:r>
        <w:rPr>
          <w:shd w:val="clear" w:color="auto" w:fill="FFFFFF"/>
          <w:lang w:val="uk-UA"/>
        </w:rPr>
        <w:t>юють</w:t>
      </w:r>
      <w:r>
        <w:rPr>
          <w:shd w:val="clear" w:color="auto" w:fill="FFFFFF"/>
        </w:rPr>
        <w:t xml:space="preserve"> рішення про надання орендних знижок,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w:t>
      </w:r>
      <w:r>
        <w:rPr>
          <w:shd w:val="clear" w:color="auto" w:fill="FFFFFF"/>
          <w:lang w:val="uk-UA"/>
        </w:rPr>
        <w:t>.</w:t>
      </w:r>
    </w:p>
    <w:p>
      <w:pPr>
        <w:pStyle w:val="P2"/>
        <w:spacing w:before="0" w:after="0" w:beforeAutospacing="0" w:afterAutospacing="0"/>
        <w:ind w:firstLine="567"/>
        <w:jc w:val="both"/>
        <w:rPr>
          <w:shd w:val="clear" w:color="auto" w:fill="FFFFFF"/>
          <w:lang w:val="uk-UA"/>
        </w:rPr>
      </w:pPr>
      <w:r>
        <w:rPr>
          <w:shd w:val="clear" w:color="auto" w:fill="FFFFFF"/>
          <w:lang w:val="uk-UA"/>
        </w:rPr>
        <w:t xml:space="preserve">Орендні знижки або звільнення у таких випадках надаються з дати, визначеної у рішенні Кабінету Міністрів України (рішенні представницького органу місцевого самоврядування. Припинення застосування знижки або звільнення відбувається з дати, визначеної у рішенні Кабінету Міністрів України (рішенні представницького органу місцевого самоврядування). </w:t>
      </w:r>
      <w:r>
        <w:rPr>
          <w:shd w:val="clear" w:color="auto" w:fill="FFFFFF"/>
        </w:rPr>
        <w:t>Зміни до договору оренди про початок або припинення застосування знижки або звільнення у такому випадку не вносяться.</w:t>
      </w:r>
    </w:p>
    <w:p>
      <w:pPr>
        <w:pStyle w:val="P8"/>
        <w:tabs>
          <w:tab w:val="left" w:pos="1820" w:leader="none"/>
          <w:tab w:val="left" w:pos="3402" w:leader="none"/>
          <w:tab w:val="left" w:pos="8789" w:leader="none"/>
        </w:tabs>
        <w:ind w:firstLine="567"/>
        <w:jc w:val="both"/>
        <w:rPr>
          <w:sz w:val="24"/>
        </w:rPr>
      </w:pPr>
      <w:r>
        <w:rPr>
          <w:sz w:val="24"/>
          <w:shd w:val="clear" w:color="auto" w:fill="FFFFFF"/>
        </w:rPr>
        <w:t xml:space="preserve">Виходячи з вищевикладеного, враховуючи рекомендацій та доручення постійної </w:t>
      </w:r>
      <w:r>
        <w:rPr>
          <w:sz w:val="24"/>
          <w:spacing w:val="-2"/>
        </w:rPr>
        <w:t>комісії з оренди об’єктів комунальної власності Броварської міської територіальної громади</w:t>
      </w:r>
      <w:r>
        <w:rPr>
          <w:sz w:val="24"/>
          <w:shd w:val="clear" w:color="auto" w:fill="FFFFFF"/>
        </w:rPr>
        <w:t xml:space="preserve"> управлінням з питань комунальної власності та житла Броварської міської ради Броварського району Київської області підготовлено проєкт рішення </w:t>
      </w:r>
      <w:r>
        <w:rPr>
          <w:sz w:val="24"/>
        </w:rPr>
        <w:t xml:space="preserve">Броварської міської ради Броварського району Київської області «Про встановлення розміру орендної плати товариству з обмеженою відповідальністю «ФЕЛІКС ЕНЕРДЖИ». </w:t>
      </w:r>
    </w:p>
    <w:p>
      <w:pPr>
        <w:pStyle w:val="P2"/>
        <w:numPr>
          <w:ilvl w:val="0"/>
          <w:numId w:val="4"/>
        </w:numPr>
        <w:spacing w:before="0" w:after="0" w:beforeAutospacing="0" w:afterAutospacing="0"/>
        <w:jc w:val="both"/>
        <w:rPr>
          <w:b w:val="1"/>
          <w:lang w:val="uk-UA"/>
        </w:rPr>
      </w:pPr>
      <w:bookmarkStart w:id="2" w:name="_GoBack"/>
      <w:bookmarkEnd w:id="2"/>
      <w:r>
        <w:rPr>
          <w:b w:val="1"/>
          <w:lang w:val="uk-UA"/>
        </w:rPr>
        <w:t>Мета і шляхи її досягнення</w:t>
      </w:r>
    </w:p>
    <w:p>
      <w:pPr>
        <w:pStyle w:val="P2"/>
        <w:spacing w:before="0" w:after="0" w:beforeAutospacing="0" w:afterAutospacing="0"/>
        <w:ind w:firstLine="567"/>
        <w:jc w:val="both"/>
        <w:rPr>
          <w:rFonts w:ascii="Times New Roman" w:hAnsi="Times New Roman"/>
          <w:smallCaps w:val="0"/>
          <w:sz w:val="24"/>
          <w:szCs w:val="22"/>
          <w:cs w:val="0"/>
          <w:spacing w:val="0"/>
          <w:w w:val="100"/>
          <w:position w:val="0"/>
          <w:snapToGrid w:val="1"/>
        </w:rPr>
      </w:pPr>
      <w:r>
        <w:rPr>
          <w:lang w:val="uk-UA"/>
        </w:rPr>
        <w:t xml:space="preserve">Мета - </w:t>
      </w:r>
      <w:r>
        <w:rPr>
          <w:szCs w:val="28"/>
        </w:rPr>
        <w:t xml:space="preserve">встановити орендну плату за оренду </w:t>
      </w:r>
      <w:r>
        <w:rPr>
          <w:spacing w:val="-6"/>
        </w:rPr>
        <w:t xml:space="preserve">нежитлових приміщень загальною площею 566,0 кв.м., за адресою: Київська область, Броварський район, місто Бровари,                             бульвар Незалежності, будинок 26-А </w:t>
      </w:r>
      <w:r>
        <w:rPr>
          <w:szCs w:val="28"/>
        </w:rPr>
        <w:t xml:space="preserve">у розмірі 50 відсотків розміру орендної плати, встановленої договором оренди, </w:t>
      </w:r>
      <w:r>
        <w:rPr>
          <w:rFonts w:ascii="Times New Roman" w:hAnsi="Times New Roman"/>
          <w:smallCaps w:val="0"/>
          <w:sz w:val="24"/>
          <w:szCs w:val="22"/>
          <w:cs w:val="0"/>
          <w:spacing w:val="0"/>
          <w:w w:val="100"/>
          <w:position w:val="0"/>
          <w:snapToGrid w:val="1"/>
        </w:rPr>
        <w:t>з 01 листопада 2023 року</w:t>
      </w:r>
      <w:r>
        <w:rPr>
          <w:rFonts w:ascii="Times New Roman" w:hAnsi="Times New Roman"/>
          <w:smallCaps w:val="0"/>
          <w:sz w:val="24"/>
          <w:szCs w:val="22"/>
          <w:cs w:val="0"/>
          <w:spacing w:val="0"/>
          <w:w w:val="100"/>
          <w:position w:val="0"/>
          <w:snapToGrid w:val="1"/>
        </w:rPr>
        <w:t xml:space="preserve"> </w:t>
      </w:r>
      <w:r>
        <w:rPr>
          <w:rFonts w:ascii="Times New Roman" w:hAnsi="Times New Roman"/>
          <w:smallCaps w:val="0"/>
          <w:sz w:val="24"/>
          <w:szCs w:val="22"/>
          <w:cs w:val="0"/>
          <w:spacing w:val="0"/>
          <w:w w:val="100"/>
          <w:position w:val="0"/>
          <w:snapToGrid w:val="1"/>
        </w:rPr>
        <w:t>на період дії воєнного</w:t>
        <w:br w:type="textWrapping"/>
        <w:t>стану і протягом трьох місяців після його припинення чи скасування.</w:t>
      </w:r>
    </w:p>
    <w:p>
      <w:pPr>
        <w:pStyle w:val="P2"/>
        <w:spacing w:before="0" w:after="0" w:beforeAutospacing="0" w:afterAutospacing="0"/>
        <w:ind w:firstLine="567"/>
        <w:jc w:val="both"/>
      </w:pPr>
      <w:r>
        <w:rPr>
          <w:lang w:val="uk-UA"/>
        </w:rPr>
        <w:t xml:space="preserve">Шляхи досягнення – прийняття рішення Броварської міської ради Броварського району Київської області «Про встановлення розміру орендної плати товариству з обмеженою відповідальністю </w:t>
      </w:r>
      <w:r>
        <w:t>«ФЕЛІКС ЕНЕРДЖИ».</w:t>
      </w:r>
    </w:p>
    <w:p>
      <w:pPr>
        <w:pStyle w:val="P2"/>
        <w:spacing w:before="0" w:after="0" w:beforeAutospacing="0" w:afterAutospacing="0"/>
        <w:ind w:firstLine="567"/>
        <w:jc w:val="both"/>
        <w:rPr>
          <w:sz w:val="28"/>
          <w:szCs w:val="28"/>
          <w:lang w:val="uk-UA"/>
        </w:rPr>
      </w:pPr>
    </w:p>
    <w:p>
      <w:pPr>
        <w:pStyle w:val="P5"/>
        <w:numPr>
          <w:ilvl w:val="0"/>
          <w:numId w:val="4"/>
        </w:numPr>
        <w:jc w:val="both"/>
        <w:rPr>
          <w:rFonts w:ascii="Times New Roman" w:hAnsi="Times New Roman"/>
          <w:b w:val="1"/>
          <w:sz w:val="24"/>
          <w:szCs w:val="24"/>
          <w:lang w:val="uk-UA"/>
        </w:rPr>
      </w:pPr>
      <w:r>
        <w:rPr>
          <w:rFonts w:ascii="Times New Roman" w:hAnsi="Times New Roman"/>
          <w:b w:val="1"/>
          <w:sz w:val="24"/>
          <w:szCs w:val="24"/>
          <w:lang w:val="uk-UA"/>
        </w:rPr>
        <w:t>Правові аспекти</w:t>
      </w:r>
    </w:p>
    <w:p>
      <w:pPr>
        <w:pStyle w:val="P5"/>
        <w:ind w:firstLine="567"/>
        <w:jc w:val="both"/>
        <w:rPr>
          <w:rFonts w:ascii="Times New Roman" w:hAnsi="Times New Roman"/>
          <w:sz w:val="24"/>
          <w:szCs w:val="24"/>
          <w:lang w:val="uk-UA"/>
        </w:rPr>
      </w:pPr>
      <w:r>
        <w:rPr>
          <w:rFonts w:ascii="Times New Roman" w:hAnsi="Times New Roman"/>
          <w:sz w:val="24"/>
          <w:szCs w:val="24"/>
          <w:lang w:val="uk-UA"/>
        </w:rPr>
        <w:t xml:space="preserve">Проєкт рішення підготовлено на підставі статей 25, 60 Закону України «Про місцеве самоврядування в Україні», Закону України  від 12.05.2015  № 389-VIII «Про правовий режим воєнного стану», Указу Президента  України від 24.02.2022 № 64/2022 «Про введення воєнного стану в Україні», затвердженого Законом України від 24.02.2022  № 2102-IХ, </w:t>
      </w:r>
      <w:r>
        <w:rPr>
          <w:rFonts w:ascii="Times New Roman" w:hAnsi="Times New Roman"/>
        </w:rPr>
        <w:t>Указ</w:t>
      </w:r>
      <w:r>
        <w:rPr>
          <w:rFonts w:ascii="Times New Roman" w:hAnsi="Times New Roman"/>
          <w:lang w:val="uk-UA"/>
        </w:rPr>
        <w:t>у</w:t>
      </w:r>
      <w:r>
        <w:rPr>
          <w:rFonts w:ascii="Times New Roman" w:hAnsi="Times New Roman"/>
        </w:rPr>
        <w:t xml:space="preserve"> Президента України від 26 липня 2023 року № 451/2023 «Про продовження строку дії воєнного стану в Україні»,</w:t>
      </w:r>
      <w:r>
        <w:rPr>
          <w:rStyle w:val="C8"/>
          <w:rFonts w:ascii="Times New Roman" w:hAnsi="Times New Roman"/>
        </w:rPr>
        <w:t xml:space="preserve"> затвердженого Законом України </w:t>
      </w:r>
      <w:r>
        <w:rPr>
          <w:rFonts w:ascii="Times New Roman" w:hAnsi="Times New Roman"/>
        </w:rPr>
        <w:t>від 27 липня 2023 № 3275-</w:t>
      </w:r>
      <w:r>
        <w:rPr>
          <w:rFonts w:ascii="Times New Roman" w:hAnsi="Times New Roman"/>
          <w:lang w:val="en-US"/>
        </w:rPr>
        <w:t>I</w:t>
      </w:r>
      <w:r>
        <w:rPr>
          <w:rFonts w:ascii="Times New Roman" w:hAnsi="Times New Roman"/>
        </w:rPr>
        <w:t xml:space="preserve">Х,  Закон</w:t>
      </w:r>
      <w:r>
        <w:rPr>
          <w:rFonts w:ascii="Times New Roman" w:hAnsi="Times New Roman"/>
          <w:lang w:val="uk-UA"/>
        </w:rPr>
        <w:t>у</w:t>
      </w:r>
      <w:r>
        <w:rPr>
          <w:rFonts w:ascii="Times New Roman" w:hAnsi="Times New Roman"/>
        </w:rPr>
        <w:t xml:space="preserve"> України «Про оренду державного та комунального майна», Постановою Кабінету Міністрів України від 27 травня 2022 року № 634 «Про особливості оренди державного та комунального майна у період воєнного стану», Порядк</w:t>
      </w:r>
      <w:r>
        <w:rPr>
          <w:rFonts w:ascii="Times New Roman" w:hAnsi="Times New Roman"/>
          <w:lang w:val="uk-UA"/>
        </w:rPr>
        <w:t>у</w:t>
      </w:r>
      <w:r>
        <w:rPr>
          <w:rFonts w:ascii="Times New Roman" w:hAnsi="Times New Roman"/>
        </w:rPr>
        <w:t xml:space="preserve"> передачі в оренду державного та комунального майна, затвердженого постановою Кабінету Міністрів України від 03 червня 2020 року № 483, Порядк</w:t>
      </w:r>
      <w:r>
        <w:rPr>
          <w:rFonts w:ascii="Times New Roman" w:hAnsi="Times New Roman"/>
          <w:lang w:val="uk-UA"/>
        </w:rPr>
        <w:t>у</w:t>
      </w:r>
      <w:r>
        <w:rPr>
          <w:rFonts w:ascii="Times New Roman" w:hAnsi="Times New Roman"/>
        </w:rPr>
        <w:t xml:space="preserve"> передачі в оренду об’єктів комунальної власності Броварської міської територіальної громади, затверджен</w:t>
      </w:r>
      <w:r>
        <w:rPr>
          <w:rFonts w:ascii="Times New Roman" w:hAnsi="Times New Roman"/>
          <w:lang w:val="uk-UA"/>
        </w:rPr>
        <w:t>ого</w:t>
      </w:r>
      <w:r>
        <w:rPr>
          <w:rFonts w:ascii="Times New Roman" w:hAnsi="Times New Roman"/>
        </w:rPr>
        <w:t xml:space="preserve"> рішенням</w:t>
      </w:r>
      <w:r>
        <w:rPr>
          <w:rFonts w:ascii="Times New Roman" w:hAnsi="Times New Roman"/>
          <w:b w:val="1"/>
        </w:rPr>
        <w:t xml:space="preserve"> </w:t>
      </w:r>
      <w:r>
        <w:rPr>
          <w:rFonts w:ascii="Times New Roman" w:hAnsi="Times New Roman"/>
        </w:rPr>
        <w:t>Броварської міської ради Київської області від 01.10.2020 № 1987-83-07 (зі змінами)</w:t>
      </w:r>
      <w:r>
        <w:rPr>
          <w:rFonts w:ascii="Times New Roman" w:hAnsi="Times New Roman"/>
          <w:lang w:val="uk-UA"/>
        </w:rPr>
        <w:t>.</w:t>
      </w:r>
    </w:p>
    <w:p>
      <w:pPr>
        <w:pStyle w:val="P5"/>
        <w:ind w:firstLine="567"/>
        <w:jc w:val="both"/>
        <w:rPr>
          <w:rFonts w:ascii="Times New Roman" w:hAnsi="Times New Roman"/>
          <w:sz w:val="24"/>
          <w:szCs w:val="24"/>
          <w:lang w:val="uk-UA"/>
        </w:rPr>
      </w:pPr>
    </w:p>
    <w:p>
      <w:pPr>
        <w:pStyle w:val="P5"/>
        <w:ind w:firstLine="567"/>
        <w:jc w:val="both"/>
        <w:rPr>
          <w:rFonts w:ascii="Times New Roman" w:hAnsi="Times New Roman"/>
          <w:b w:val="1"/>
          <w:sz w:val="24"/>
          <w:szCs w:val="24"/>
          <w:lang w:val="uk-UA"/>
        </w:rPr>
      </w:pPr>
      <w:r>
        <w:rPr>
          <w:rFonts w:ascii="Times New Roman" w:hAnsi="Times New Roman"/>
          <w:b w:val="1"/>
          <w:sz w:val="24"/>
          <w:szCs w:val="24"/>
          <w:lang w:val="uk-UA"/>
        </w:rPr>
        <w:t>4. Фінансово-економічне обґрунтування</w:t>
      </w:r>
    </w:p>
    <w:p>
      <w:pPr>
        <w:pStyle w:val="P5"/>
        <w:ind w:firstLine="567"/>
        <w:jc w:val="both"/>
        <w:rPr>
          <w:rFonts w:ascii="Times New Roman" w:hAnsi="Times New Roman"/>
          <w:sz w:val="24"/>
          <w:szCs w:val="24"/>
          <w:lang w:val="uk-UA"/>
        </w:rPr>
      </w:pPr>
      <w:r>
        <w:rPr>
          <w:rFonts w:ascii="Times New Roman" w:hAnsi="Times New Roman"/>
          <w:sz w:val="24"/>
          <w:szCs w:val="24"/>
          <w:lang w:val="uk-UA"/>
        </w:rPr>
        <w:t>Реалізація даного рішення не потребує виділення коштів.</w:t>
      </w:r>
    </w:p>
    <w:p>
      <w:pPr>
        <w:pStyle w:val="P5"/>
        <w:ind w:firstLine="567"/>
        <w:jc w:val="both"/>
        <w:rPr>
          <w:rFonts w:ascii="Times New Roman" w:hAnsi="Times New Roman"/>
          <w:sz w:val="24"/>
          <w:szCs w:val="24"/>
          <w:lang w:val="uk-UA"/>
        </w:rPr>
      </w:pPr>
    </w:p>
    <w:p>
      <w:pPr>
        <w:pStyle w:val="P5"/>
        <w:numPr>
          <w:ilvl w:val="0"/>
          <w:numId w:val="5"/>
        </w:numPr>
        <w:jc w:val="both"/>
        <w:rPr>
          <w:rFonts w:ascii="Times New Roman" w:hAnsi="Times New Roman"/>
          <w:b w:val="1"/>
          <w:sz w:val="24"/>
          <w:szCs w:val="24"/>
          <w:lang w:val="uk-UA"/>
        </w:rPr>
      </w:pPr>
      <w:r>
        <w:rPr>
          <w:rFonts w:ascii="Times New Roman" w:hAnsi="Times New Roman"/>
          <w:b w:val="1"/>
          <w:sz w:val="24"/>
          <w:szCs w:val="24"/>
          <w:lang w:val="uk-UA"/>
        </w:rPr>
        <w:t>Прогноз результатів</w:t>
      </w:r>
    </w:p>
    <w:p>
      <w:pPr>
        <w:pStyle w:val="P5"/>
        <w:ind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rPr>
        <w:t xml:space="preserve">Прийняття даного рішення зменшить фінансове навантаження на орендаря об’єктів комунальної власності </w:t>
      </w:r>
      <w:r>
        <w:rPr>
          <w:rFonts w:ascii="Times New Roman" w:hAnsi="Times New Roman"/>
          <w:sz w:val="24"/>
          <w:szCs w:val="24"/>
          <w:spacing w:val="-6"/>
          <w:lang w:val="uk-UA"/>
        </w:rPr>
        <w:t xml:space="preserve">Броварської міської територіальної громади </w:t>
      </w:r>
      <w:r>
        <w:rPr>
          <w:rFonts w:ascii="Times New Roman" w:hAnsi="Times New Roman"/>
          <w:color w:val="000000"/>
          <w:sz w:val="24"/>
          <w:szCs w:val="24"/>
          <w:shd w:val="clear" w:color="auto" w:fill="FFFFFF"/>
          <w:lang w:val="uk-UA"/>
        </w:rPr>
        <w:t xml:space="preserve">та створить </w:t>
      </w:r>
      <w:r>
        <w:rPr>
          <w:rFonts w:ascii="Times New Roman" w:hAnsi="Times New Roman"/>
          <w:sz w:val="24"/>
          <w:szCs w:val="24"/>
          <w:lang w:val="uk-UA"/>
        </w:rPr>
        <w:t>сприятливі умови для ведення його господарської діяльності</w:t>
      </w:r>
      <w:r>
        <w:rPr>
          <w:rFonts w:ascii="Times New Roman" w:hAnsi="Times New Roman"/>
          <w:sz w:val="24"/>
          <w:szCs w:val="24"/>
          <w:shd w:val="clear" w:color="auto" w:fill="FFFFFF"/>
          <w:lang w:val="uk-UA"/>
        </w:rPr>
        <w:t>.</w:t>
      </w:r>
    </w:p>
    <w:p>
      <w:pPr>
        <w:pStyle w:val="P5"/>
        <w:ind w:firstLine="567"/>
        <w:jc w:val="both"/>
        <w:rPr>
          <w:rFonts w:ascii="Times New Roman" w:hAnsi="Times New Roman"/>
          <w:b w:val="1"/>
          <w:sz w:val="24"/>
          <w:szCs w:val="24"/>
          <w:lang w:val="uk-UA"/>
        </w:rPr>
      </w:pPr>
    </w:p>
    <w:p>
      <w:pPr>
        <w:pStyle w:val="P2"/>
        <w:spacing w:before="0" w:after="0" w:beforeAutospacing="0" w:afterAutospacing="0"/>
        <w:ind w:firstLine="567"/>
        <w:jc w:val="both"/>
        <w:rPr>
          <w:b w:val="1"/>
          <w:lang w:val="uk-UA"/>
        </w:rPr>
      </w:pPr>
      <w:r>
        <w:rPr>
          <w:b w:val="1"/>
          <w:lang w:val="uk-UA"/>
        </w:rPr>
        <w:t>6. Суб’єкт подання проєкту рішення</w:t>
      </w:r>
    </w:p>
    <w:p>
      <w:pPr>
        <w:pStyle w:val="P2"/>
        <w:spacing w:before="0" w:after="0" w:beforeAutospacing="0" w:afterAutospacing="0"/>
        <w:ind w:firstLine="567"/>
        <w:jc w:val="both"/>
        <w:rPr>
          <w:lang w:val="uk-UA"/>
        </w:rPr>
      </w:pPr>
      <w:r>
        <w:rPr>
          <w:b w:val="1"/>
          <w:lang w:val="uk-UA"/>
        </w:rPr>
        <w:t>Доповідач:</w:t>
      </w:r>
      <w:r>
        <w:rPr>
          <w:lang w:val="uk-UA"/>
        </w:rPr>
        <w:t xml:space="preserve"> начальник управління з питань комунальної власності та житла Броварської міської ради Броварського району Київської області </w:t>
      </w:r>
      <w:r>
        <w:rPr>
          <w:noProof w:val="1"/>
          <w:lang w:val="uk-UA"/>
        </w:rPr>
        <w:t>– Ірина ЮЩЕНКО.</w:t>
      </w:r>
    </w:p>
    <w:p>
      <w:pPr>
        <w:spacing w:lineRule="auto" w:line="240" w:after="0" w:beforeAutospacing="0" w:afterAutospacing="0"/>
        <w:ind w:firstLine="567"/>
        <w:jc w:val="both"/>
        <w:rPr>
          <w:rFonts w:ascii="Times New Roman" w:hAnsi="Times New Roman"/>
          <w:sz w:val="24"/>
          <w:szCs w:val="24"/>
          <w:lang w:val="uk-UA" w:eastAsia="ru-RU"/>
        </w:rPr>
      </w:pPr>
      <w:r>
        <w:rPr>
          <w:rFonts w:ascii="Times New Roman" w:hAnsi="Times New Roman"/>
          <w:b w:val="1"/>
          <w:sz w:val="24"/>
          <w:szCs w:val="24"/>
          <w:lang w:val="uk-UA" w:eastAsia="ru-RU"/>
        </w:rPr>
        <w:t>Відповідальна за підготовку проєкту:</w:t>
      </w:r>
      <w:r>
        <w:rPr>
          <w:rFonts w:ascii="Times New Roman" w:hAnsi="Times New Roman"/>
          <w:sz w:val="24"/>
          <w:szCs w:val="24"/>
          <w:lang w:val="uk-UA" w:eastAsia="ru-RU"/>
        </w:rPr>
        <w:t xml:space="preserve">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 Оксана СНІСАР.</w:t>
      </w:r>
    </w:p>
    <w:p>
      <w:pPr>
        <w:spacing w:lineRule="auto" w:line="240" w:after="0" w:beforeAutospacing="0" w:afterAutospacing="0"/>
        <w:ind w:firstLine="567"/>
        <w:jc w:val="both"/>
        <w:rPr>
          <w:rFonts w:ascii="Times New Roman" w:hAnsi="Times New Roman"/>
          <w:sz w:val="24"/>
          <w:szCs w:val="24"/>
          <w:lang w:val="uk-UA" w:eastAsia="ru-RU"/>
        </w:rPr>
      </w:pPr>
    </w:p>
    <w:p>
      <w:pPr>
        <w:spacing w:lineRule="auto" w:line="240" w:after="0" w:beforeAutospacing="0" w:afterAutospacing="0"/>
        <w:ind w:firstLine="567"/>
        <w:jc w:val="both"/>
        <w:rPr>
          <w:rFonts w:ascii="Times New Roman" w:hAnsi="Times New Roman"/>
          <w:sz w:val="24"/>
          <w:szCs w:val="24"/>
          <w:lang w:val="uk-UA" w:eastAsia="ru-RU"/>
        </w:rPr>
      </w:pPr>
    </w:p>
    <w:p>
      <w:pPr>
        <w:spacing w:lineRule="auto" w:line="240" w:after="0" w:beforeAutospacing="0" w:afterAutospacing="0"/>
        <w:ind w:firstLine="426"/>
        <w:jc w:val="center"/>
        <w:rPr>
          <w:rFonts w:ascii="Times New Roman" w:hAnsi="Times New Roman"/>
          <w:sz w:val="24"/>
          <w:szCs w:val="24"/>
          <w:lang w:val="uk-UA" w:eastAsia="ru-RU"/>
        </w:rPr>
      </w:pPr>
      <w:r>
        <w:rPr>
          <w:rFonts w:ascii="Times New Roman" w:hAnsi="Times New Roman"/>
          <w:lang w:val="uk-UA"/>
        </w:rPr>
        <w:t xml:space="preserve">Начальник управління </w:t>
        <w:tab/>
        <w:tab/>
        <w:tab/>
        <w:tab/>
        <w:tab/>
        <w:tab/>
        <w:tab/>
        <w:tab/>
      </w:r>
      <w:bookmarkStart w:id="3" w:name="_Hlk71290800"/>
      <w:r>
        <w:rPr>
          <w:rFonts w:ascii="Times New Roman" w:hAnsi="Times New Roman"/>
          <w:noProof w:val="1"/>
          <w:lang w:val="uk-UA"/>
        </w:rPr>
        <w:t>Ірина ЮЩЕНКО</w:t>
      </w:r>
    </w:p>
    <w:p>
      <w:pPr>
        <w:pStyle w:val="P2"/>
        <w:spacing w:before="0" w:after="0" w:beforeAutospacing="0" w:afterAutospacing="0"/>
        <w:rPr>
          <w:lang w:val="uk-UA"/>
        </w:rPr>
      </w:pPr>
      <w:bookmarkEnd w:id="3"/>
      <w:r>
        <w:rPr>
          <w:lang w:val="uk-UA"/>
        </w:rPr>
        <w:tab/>
        <w:tab/>
        <w:tab/>
        <w:tab/>
        <w:t xml:space="preserve"> </w:t>
      </w:r>
    </w:p>
    <w:sectPr>
      <w:headerReference xmlns:r="http://schemas.openxmlformats.org/officeDocument/2006/relationships" w:type="default" r:id="RelHdr1"/>
      <w:footnotePr/>
      <w:endnotePr/>
      <w:type w:val="nextPage"/>
      <w:pgSz w:w="11906" w:h="16838" w:code="0"/>
      <w:pgMar w:left="1701" w:right="566" w:top="1134" w:bottom="1134" w:header="720" w:footer="720" w:gutter="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noProof w:val="1"/>
        <w:sz w:val="28"/>
        <w:szCs w:val="28"/>
      </w:rPr>
      <w:t>#</w:t>
    </w:r>
    <w:r>
      <w:rPr>
        <w:rFonts w:ascii="Times New Roman" w:hAnsi="Times New Roman"/>
        <w:sz w:val="28"/>
        <w:szCs w:val="28"/>
      </w:rPr>
      <w:fldChar w:fldCharType="end"/>
    </w:r>
  </w:p>
  <w:p>
    <w:pPr>
      <w:pStyle w:val="P6"/>
    </w:pPr>
  </w:p>
</w:hdr>
</file>

<file path=word/numbering.xml><?xml version="1.0" encoding="utf-8"?>
<w:numbering xmlns:w="http://schemas.openxmlformats.org/wordprocessingml/2006/main">
  <w:abstractNum w:abstractNumId="0">
    <w:nsid w:val="157447B9"/>
    <w:multiLevelType w:val="hybridMultilevel"/>
    <w:lvl w:ilvl="0" w:tplc="60E478BC">
      <w:start w:val="1"/>
      <w:numFmt w:val="decimal"/>
      <w:suff w:val="tab"/>
      <w:lvlText w:val="%1."/>
      <w:lvlJc w:val="left"/>
      <w:pPr>
        <w:ind w:hanging="360" w:left="786"/>
      </w:pPr>
      <w:rPr>
        <w:sz w:val="28"/>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
    <w:nsid w:val="282D7A27"/>
    <w:multiLevelType w:val="hybridMultilevel"/>
    <w:lvl w:ilvl="0" w:tplc="64580E7E">
      <w:start w:val="5"/>
      <w:numFmt w:val="decimal"/>
      <w:suff w:val="tab"/>
      <w:lvlText w:val="%1."/>
      <w:lvlJc w:val="left"/>
      <w:pPr>
        <w:ind w:hanging="360" w:left="927"/>
      </w:pPr>
      <w:rPr/>
    </w:lvl>
    <w:lvl w:ilvl="1" w:tplc="04190019">
      <w:start w:val="1"/>
      <w:numFmt w:val="lowerLetter"/>
      <w:suff w:val="tab"/>
      <w:lvlText w:val="%2."/>
      <w:lvlJc w:val="left"/>
      <w:pPr>
        <w:ind w:hanging="360" w:left="1647"/>
      </w:pPr>
      <w:rPr/>
    </w:lvl>
    <w:lvl w:ilvl="2" w:tplc="0419001B">
      <w:start w:val="1"/>
      <w:numFmt w:val="lowerRoman"/>
      <w:suff w:val="tab"/>
      <w:lvlText w:val="%3."/>
      <w:lvlJc w:val="right"/>
      <w:pPr>
        <w:ind w:hanging="180" w:left="2367"/>
      </w:pPr>
      <w:rPr/>
    </w:lvl>
    <w:lvl w:ilvl="3" w:tplc="0419000F">
      <w:start w:val="1"/>
      <w:numFmt w:val="decimal"/>
      <w:suff w:val="tab"/>
      <w:lvlText w:val="%4."/>
      <w:lvlJc w:val="left"/>
      <w:pPr>
        <w:ind w:hanging="360" w:left="3087"/>
      </w:pPr>
      <w:rPr/>
    </w:lvl>
    <w:lvl w:ilvl="4" w:tplc="04190019">
      <w:start w:val="1"/>
      <w:numFmt w:val="lowerLetter"/>
      <w:suff w:val="tab"/>
      <w:lvlText w:val="%5."/>
      <w:lvlJc w:val="left"/>
      <w:pPr>
        <w:ind w:hanging="360" w:left="3807"/>
      </w:pPr>
      <w:rPr/>
    </w:lvl>
    <w:lvl w:ilvl="5" w:tplc="0419001B">
      <w:start w:val="1"/>
      <w:numFmt w:val="lowerRoman"/>
      <w:suff w:val="tab"/>
      <w:lvlText w:val="%6."/>
      <w:lvlJc w:val="right"/>
      <w:pPr>
        <w:ind w:hanging="180" w:left="4527"/>
      </w:pPr>
      <w:rPr/>
    </w:lvl>
    <w:lvl w:ilvl="6" w:tplc="0419000F">
      <w:start w:val="1"/>
      <w:numFmt w:val="decimal"/>
      <w:suff w:val="tab"/>
      <w:lvlText w:val="%7."/>
      <w:lvlJc w:val="left"/>
      <w:pPr>
        <w:ind w:hanging="360" w:left="5247"/>
      </w:pPr>
      <w:rPr/>
    </w:lvl>
    <w:lvl w:ilvl="7" w:tplc="04190019">
      <w:start w:val="1"/>
      <w:numFmt w:val="lowerLetter"/>
      <w:suff w:val="tab"/>
      <w:lvlText w:val="%8."/>
      <w:lvlJc w:val="left"/>
      <w:pPr>
        <w:ind w:hanging="360" w:left="5967"/>
      </w:pPr>
      <w:rPr/>
    </w:lvl>
    <w:lvl w:ilvl="8" w:tplc="0419001B">
      <w:start w:val="1"/>
      <w:numFmt w:val="lowerRoman"/>
      <w:suff w:val="tab"/>
      <w:lvlText w:val="%9."/>
      <w:lvlJc w:val="right"/>
      <w:pPr>
        <w:ind w:hanging="180" w:left="6687"/>
      </w:pPr>
      <w:rPr/>
    </w:lvl>
  </w:abstractNum>
  <w:abstractNum w:abstractNumId="2">
    <w:nsid w:val="5BE93421"/>
    <w:multiLevelType w:val="hybridMultilevel"/>
    <w:lvl w:ilvl="0" w:tplc="924E4438">
      <w:start w:val="7"/>
      <w:numFmt w:val="bullet"/>
      <w:suff w:val="tab"/>
      <w:lvlText w:val="-"/>
      <w:lvlJc w:val="left"/>
      <w:pPr>
        <w:ind w:hanging="360" w:left="1068"/>
      </w:pPr>
      <w:rPr>
        <w:rFonts w:ascii="Times New Roman" w:hAnsi="Times New Roman"/>
      </w:rPr>
    </w:lvl>
    <w:lvl w:ilvl="1" w:tplc="04190003">
      <w:start w:val="1"/>
      <w:numFmt w:val="bullet"/>
      <w:suff w:val="tab"/>
      <w:lvlText w:val="o"/>
      <w:lvlJc w:val="left"/>
      <w:pPr>
        <w:ind w:hanging="360" w:left="1788"/>
      </w:pPr>
      <w:rPr>
        <w:rFonts w:ascii="Courier New" w:hAnsi="Courier New"/>
      </w:rPr>
    </w:lvl>
    <w:lvl w:ilvl="2" w:tplc="04190005">
      <w:start w:val="1"/>
      <w:numFmt w:val="bullet"/>
      <w:suff w:val="tab"/>
      <w:lvlText w:val=""/>
      <w:lvlJc w:val="left"/>
      <w:pPr>
        <w:ind w:hanging="360" w:left="2508"/>
      </w:pPr>
      <w:rPr>
        <w:rFonts w:ascii="Wingdings" w:hAnsi="Wingdings"/>
      </w:rPr>
    </w:lvl>
    <w:lvl w:ilvl="3" w:tplc="04190001">
      <w:start w:val="1"/>
      <w:numFmt w:val="bullet"/>
      <w:suff w:val="tab"/>
      <w:lvlText w:val=""/>
      <w:lvlJc w:val="left"/>
      <w:pPr>
        <w:ind w:hanging="360" w:left="3228"/>
      </w:pPr>
      <w:rPr>
        <w:rFonts w:ascii="Symbol" w:hAnsi="Symbol"/>
      </w:rPr>
    </w:lvl>
    <w:lvl w:ilvl="4" w:tplc="04190003">
      <w:start w:val="1"/>
      <w:numFmt w:val="bullet"/>
      <w:suff w:val="tab"/>
      <w:lvlText w:val="o"/>
      <w:lvlJc w:val="left"/>
      <w:pPr>
        <w:ind w:hanging="360" w:left="3948"/>
      </w:pPr>
      <w:rPr>
        <w:rFonts w:ascii="Courier New" w:hAnsi="Courier New"/>
      </w:rPr>
    </w:lvl>
    <w:lvl w:ilvl="5" w:tplc="04190005">
      <w:start w:val="1"/>
      <w:numFmt w:val="bullet"/>
      <w:suff w:val="tab"/>
      <w:lvlText w:val=""/>
      <w:lvlJc w:val="left"/>
      <w:pPr>
        <w:ind w:hanging="360" w:left="4668"/>
      </w:pPr>
      <w:rPr>
        <w:rFonts w:ascii="Wingdings" w:hAnsi="Wingdings"/>
      </w:rPr>
    </w:lvl>
    <w:lvl w:ilvl="6" w:tplc="04190001">
      <w:start w:val="1"/>
      <w:numFmt w:val="bullet"/>
      <w:suff w:val="tab"/>
      <w:lvlText w:val=""/>
      <w:lvlJc w:val="left"/>
      <w:pPr>
        <w:ind w:hanging="360" w:left="5388"/>
      </w:pPr>
      <w:rPr>
        <w:rFonts w:ascii="Symbol" w:hAnsi="Symbol"/>
      </w:rPr>
    </w:lvl>
    <w:lvl w:ilvl="7" w:tplc="04190003">
      <w:start w:val="1"/>
      <w:numFmt w:val="bullet"/>
      <w:suff w:val="tab"/>
      <w:lvlText w:val="o"/>
      <w:lvlJc w:val="left"/>
      <w:pPr>
        <w:ind w:hanging="360" w:left="6108"/>
      </w:pPr>
      <w:rPr>
        <w:rFonts w:ascii="Courier New" w:hAnsi="Courier New"/>
      </w:rPr>
    </w:lvl>
    <w:lvl w:ilvl="8" w:tplc="04190005">
      <w:start w:val="1"/>
      <w:numFmt w:val="bullet"/>
      <w:suff w:val="tab"/>
      <w:lvlText w:val=""/>
      <w:lvlJc w:val="left"/>
      <w:pPr>
        <w:ind w:hanging="360" w:left="6828"/>
      </w:pPr>
      <w:rPr>
        <w:rFonts w:ascii="Wingdings" w:hAnsi="Wingdings"/>
      </w:rPr>
    </w:lvl>
  </w:abstractNum>
  <w:abstractNum w:abstractNumId="3">
    <w:nsid w:val="5F2A0B75"/>
    <w:multiLevelType w:val="hybridMultilevel"/>
    <w:lvl w:ilvl="0" w:tplc="D312E02C">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4">
    <w:nsid w:val="746E6DFC"/>
    <w:multiLevelType w:val="hybridMultilevel"/>
    <w:lvl w:ilvl="0" w:tplc="93220B7E">
      <w:start w:val="1"/>
      <w:numFmt w:val="decimal"/>
      <w:suff w:val="tab"/>
      <w:lvlText w:val="%1."/>
      <w:lvlJc w:val="left"/>
      <w:pPr>
        <w:ind w:hanging="360" w:left="720"/>
      </w:pPr>
      <w:rPr>
        <w:color w:val="000000"/>
        <w:sz w:val="28"/>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ru-RU"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szCs w:val="16"/>
    </w:rPr>
  </w:style>
  <w:style w:type="paragraph" w:styleId="P2">
    <w:name w:val="docdata"/>
    <w:basedOn w:val="P0"/>
    <w:pPr>
      <w:spacing w:lineRule="auto" w:line="240" w:before="100" w:after="100" w:beforeAutospacing="1" w:afterAutospacing="1"/>
    </w:pPr>
    <w:rPr>
      <w:rFonts w:ascii="Times New Roman" w:hAnsi="Times New Roman"/>
      <w:sz w:val="24"/>
      <w:szCs w:val="24"/>
      <w:lang w:eastAsia="ru-RU"/>
    </w:rPr>
  </w:style>
  <w:style w:type="paragraph" w:styleId="P3">
    <w:name w:val="Normal (Web)"/>
    <w:basedOn w:val="P0"/>
    <w:pPr>
      <w:spacing w:lineRule="auto" w:line="240" w:before="100" w:after="100" w:beforeAutospacing="1" w:afterAutospacing="1"/>
    </w:pPr>
    <w:rPr>
      <w:rFonts w:ascii="Times New Roman" w:hAnsi="Times New Roman"/>
      <w:sz w:val="24"/>
      <w:szCs w:val="24"/>
      <w:lang w:eastAsia="ru-RU"/>
    </w:rPr>
  </w:style>
  <w:style w:type="paragraph" w:styleId="P4">
    <w:name w:val="List Paragraph"/>
    <w:basedOn w:val="P0"/>
    <w:qFormat/>
    <w:pPr>
      <w:ind w:left="720"/>
      <w:contextualSpacing w:val="1"/>
    </w:pPr>
    <w:rPr/>
  </w:style>
  <w:style w:type="paragraph" w:styleId="P5">
    <w:name w:val="No Spacing"/>
    <w:qFormat/>
    <w:pPr>
      <w:spacing w:lineRule="auto" w:line="240" w:after="0" w:beforeAutospacing="0" w:afterAutospacing="0"/>
    </w:pPr>
    <w:rPr/>
  </w:style>
  <w:style w:type="paragraph" w:styleId="P6">
    <w:name w:val="header"/>
    <w:basedOn w:val="P0"/>
    <w:link w:val="C4"/>
    <w:pPr>
      <w:tabs>
        <w:tab w:val="center" w:pos="4677" w:leader="none"/>
        <w:tab w:val="right" w:pos="9355" w:leader="none"/>
      </w:tabs>
      <w:spacing w:lineRule="auto" w:line="240" w:after="0" w:beforeAutospacing="0" w:afterAutospacing="0"/>
    </w:pPr>
    <w:rPr/>
  </w:style>
  <w:style w:type="paragraph" w:styleId="P7">
    <w:name w:val="footer"/>
    <w:basedOn w:val="P0"/>
    <w:link w:val="C5"/>
    <w:pPr>
      <w:tabs>
        <w:tab w:val="center" w:pos="4677" w:leader="none"/>
        <w:tab w:val="right" w:pos="9355" w:leader="none"/>
      </w:tabs>
      <w:spacing w:lineRule="auto" w:line="240" w:after="0" w:beforeAutospacing="0" w:afterAutospacing="0"/>
    </w:pPr>
    <w:rPr/>
  </w:style>
  <w:style w:type="paragraph" w:styleId="P8">
    <w:name w:val="Title"/>
    <w:basedOn w:val="P0"/>
    <w:link w:val="C7"/>
    <w:qFormat/>
    <w:pPr>
      <w:spacing w:lineRule="auto" w:line="240" w:after="0" w:beforeAutospacing="0" w:afterAutospacing="0"/>
      <w:jc w:val="center"/>
    </w:pPr>
    <w:rPr>
      <w:rFonts w:ascii="Times New Roman" w:hAnsi="Times New Roman"/>
      <w:sz w:val="28"/>
      <w:szCs w:val="24"/>
      <w:lang w:val="uk-UA" w:eastAsia="ru-RU"/>
    </w:rPr>
  </w:style>
  <w:style w:type="paragraph" w:styleId="P9">
    <w:name w:val="rvps2"/>
    <w:basedOn w:val="P0"/>
    <w:pPr>
      <w:spacing w:lineRule="auto" w:line="240" w:before="100" w:after="100" w:beforeAutospacing="1" w:afterAutospacing="1"/>
    </w:pPr>
    <w:rPr>
      <w:rFonts w:ascii="Times New Roman" w:hAnsi="Times New Roman"/>
      <w:sz w:val="24"/>
      <w:szCs w:val="24"/>
      <w:lang w:eastAsia="ru-RU"/>
    </w:rPr>
  </w:style>
  <w:style w:type="paragraph" w:styleId="P10">
    <w:name w:val="footnote text"/>
    <w:link w:val="C11"/>
    <w:semiHidden/>
    <w:pPr>
      <w:spacing w:lineRule="auto" w:line="240" w:after="0"/>
    </w:pPr>
    <w:rPr>
      <w:sz w:val="20"/>
      <w:szCs w:val="20"/>
    </w:rPr>
  </w:style>
  <w:style w:type="paragraph" w:styleId="P11">
    <w:name w:val="endnote text"/>
    <w:link w:val="C13"/>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Текст выноски Знак"/>
    <w:basedOn w:val="C0"/>
    <w:link w:val="P1"/>
    <w:semiHidden/>
    <w:rPr>
      <w:rFonts w:ascii="Tahoma" w:hAnsi="Tahoma"/>
      <w:sz w:val="16"/>
      <w:szCs w:val="16"/>
    </w:rPr>
  </w:style>
  <w:style w:type="character" w:styleId="C4">
    <w:name w:val="Верхний колонтитул Знак"/>
    <w:basedOn w:val="C0"/>
    <w:link w:val="P6"/>
    <w:rPr/>
  </w:style>
  <w:style w:type="character" w:styleId="C5">
    <w:name w:val="Нижний колонтитул Знак"/>
    <w:basedOn w:val="C0"/>
    <w:link w:val="P7"/>
    <w:rPr/>
  </w:style>
  <w:style w:type="character" w:styleId="C6">
    <w:name w:val="Strong"/>
    <w:basedOn w:val="C0"/>
    <w:qFormat/>
    <w:rPr>
      <w:b w:val="1"/>
      <w:bCs w:val="1"/>
    </w:rPr>
  </w:style>
  <w:style w:type="character" w:styleId="C7">
    <w:name w:val="Название Знак"/>
    <w:basedOn w:val="C0"/>
    <w:link w:val="P8"/>
    <w:rPr>
      <w:rFonts w:ascii="Times New Roman" w:hAnsi="Times New Roman"/>
      <w:sz w:val="28"/>
      <w:szCs w:val="24"/>
      <w:lang w:val="uk-UA" w:eastAsia="ru-RU"/>
    </w:rPr>
  </w:style>
  <w:style w:type="character" w:styleId="C8">
    <w:name w:val="rvts23"/>
    <w:rPr/>
  </w:style>
  <w:style w:type="character" w:styleId="C9">
    <w:name w:val="rvts46"/>
    <w:rPr/>
  </w:style>
  <w:style w:type="character" w:styleId="C10">
    <w:name w:val="footnote reference"/>
    <w:semiHidden/>
    <w:rPr>
      <w:vertAlign w:val="superscript"/>
    </w:rPr>
  </w:style>
  <w:style w:type="character" w:styleId="C11">
    <w:name w:val="Footnote Text Char"/>
    <w:link w:val="P10"/>
    <w:semiHidden/>
    <w:rPr>
      <w:sz w:val="20"/>
      <w:szCs w:val="20"/>
    </w:rPr>
  </w:style>
  <w:style w:type="character" w:styleId="C12">
    <w:name w:val="endnote reference"/>
    <w:semiHidden/>
    <w:rPr>
      <w:vertAlign w:val="superscript"/>
    </w:rPr>
  </w:style>
  <w:style w:type="character" w:styleId="C13">
    <w:name w:val="Endnote Text Char"/>
    <w:link w:val="P11"/>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
    <w:name w:val="Сітка таблиці1"/>
    <w:basedOn w:val="T0"/>
    <w:pPr>
      <w:spacing w:lineRule="auto" w:line="240" w:after="0" w:beforeAutospacing="0" w:afterAutospacing="0"/>
    </w:pPr>
    <w:rPr>
      <w:rFonts w:ascii="Calibri" w:hAnsi="Calibri"/>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1026-2022-%D0%BF"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2022-10-11T14:07:00Z</dcterms:created>
  <cp:lastModifiedBy>ASKOD</cp:lastModifiedBy>
  <cp:lastPrinted>2022-11-07T14:42:00Z</cp:lastPrinted>
  <dcterms:modified xsi:type="dcterms:W3CDTF">2023-10-05T06:58:01Z</dcterms:modified>
  <cp:revision>17</cp:revision>
</cp:coreProperties>
</file>