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№ 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Требухівського ліцею Броварської міської ради Броварського району Київської області та підлягають передачі 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3976"/>
        <w:gridCol w:w="1089"/>
        <w:gridCol w:w="1195"/>
        <w:gridCol w:w="1104"/>
        <w:gridCol w:w="1700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Паста арахісова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Бісквіт високоенергетичний протеїновий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20700,00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Макарони швидкого приготування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Сухий пайок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23270,00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2023-10-25T07:37:26Z</dcterms:modified>
</cp:coreProperties>
</file>