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№ 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Требухівського ліцею Броварської міської ради Броварського району Київської області та підлягають передачі 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3976"/>
        <w:gridCol w:w="1089"/>
        <w:gridCol w:w="1195"/>
        <w:gridCol w:w="1104"/>
        <w:gridCol w:w="1700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Бісквіт високоенергетичний протеїновий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69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коробка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20700,00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Макарони швидкого приготування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Сухий пайок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23270,00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2023-10-25T07:37:26Z</dcterms:modified>
</cp:coreProperties>
</file>