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 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Княжицького ліцею Броварської міської ради Броварського району Київської області та підлягають передачі </w:t>
      </w: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2"/>
        <w:gridCol w:w="1090"/>
        <w:gridCol w:w="1157"/>
        <w:gridCol w:w="1105"/>
        <w:gridCol w:w="1708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Паста арахісова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Макарони швидкого приготування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Сухий пайок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2570,00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2023-10-25T07:35:12Z</dcterms:modified>
</cp:coreProperties>
</file>