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 № 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                   № 8 Броварської міської ради Броварського району Київської області та підлягають передачі 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3978"/>
        <w:gridCol w:w="1089"/>
        <w:gridCol w:w="1195"/>
        <w:gridCol w:w="1104"/>
        <w:gridCol w:w="1698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Паста арахісова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Бисквіт високоенергетичний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Сухий пайок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6700,00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2023-10-25T07:52:21Z</dcterms:modified>
</cp:coreProperties>
</file>