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ПВ-937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 № 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№ 7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Київської області та підлягають передачі 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3978"/>
        <w:gridCol w:w="1089"/>
        <w:gridCol w:w="1195"/>
        <w:gridCol w:w="1104"/>
        <w:gridCol w:w="1698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Паста арахісова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Бисквіт високоенергетичний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Макарони швидкого приготування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15,0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Печиво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112,00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6832,00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2023-10-25T07:21:20Z</dcterms:modified>
</cp:coreProperties>
</file>