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944AEB" w:rsidP="004B03DE" w14:paraId="7F666328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4B03DE" w:rsidP="004B03DE" w14:paraId="21898AC9" w14:textId="15F6EF3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C4468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06.11.2023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166-ОД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44AEB" w:rsidRPr="00944AEB" w:rsidP="00944AEB" w14:paraId="0C9D9600" w14:textId="77777777">
      <w:pPr>
        <w:spacing w:after="0" w:line="240" w:lineRule="auto"/>
        <w:jc w:val="center"/>
        <w:rPr>
          <w:rFonts w:ascii="Times New Roman" w:eastAsia="Constantia" w:hAnsi="Times New Roman" w:cs="Times New Roman"/>
          <w:b/>
          <w:sz w:val="28"/>
          <w:lang w:val="uk-UA"/>
        </w:rPr>
      </w:pPr>
      <w:permStart w:id="1" w:edGrp="everyone"/>
      <w:r w:rsidRPr="00944AEB">
        <w:rPr>
          <w:rFonts w:ascii="Times New Roman" w:eastAsia="Constantia" w:hAnsi="Times New Roman" w:cs="Times New Roman"/>
          <w:b/>
          <w:sz w:val="28"/>
          <w:lang w:val="uk-UA"/>
        </w:rPr>
        <w:t xml:space="preserve">Номенклатура </w:t>
      </w:r>
    </w:p>
    <w:p w:rsidR="00944AEB" w:rsidRPr="00944AEB" w:rsidP="00944AEB" w14:paraId="149041E3" w14:textId="4FC27FBB">
      <w:pPr>
        <w:spacing w:after="0" w:line="240" w:lineRule="auto"/>
        <w:jc w:val="center"/>
        <w:rPr>
          <w:rFonts w:ascii="Times New Roman" w:eastAsia="Constantia" w:hAnsi="Times New Roman" w:cs="Times New Roman"/>
          <w:b/>
          <w:sz w:val="28"/>
          <w:lang w:val="uk-UA"/>
        </w:rPr>
      </w:pPr>
      <w:r w:rsidRPr="00944AEB">
        <w:rPr>
          <w:rFonts w:ascii="Times New Roman" w:eastAsia="Constantia" w:hAnsi="Times New Roman" w:cs="Times New Roman"/>
          <w:b/>
          <w:sz w:val="28"/>
          <w:lang w:val="uk-UA"/>
        </w:rPr>
        <w:t>та обсяги місцевого матеріального резерву для запобігання і ліквідації надзвичайних ситуацій на території Бровар</w:t>
      </w:r>
      <w:r w:rsidR="00DC12DB">
        <w:rPr>
          <w:rFonts w:ascii="Times New Roman" w:eastAsia="Constantia" w:hAnsi="Times New Roman" w:cs="Times New Roman"/>
          <w:b/>
          <w:sz w:val="28"/>
          <w:lang w:val="uk-UA"/>
        </w:rPr>
        <w:t>ської міської територіальної громади Броварського району Київської області</w:t>
      </w:r>
      <w:bookmarkStart w:id="2" w:name="_GoBack"/>
      <w:bookmarkEnd w:id="2"/>
    </w:p>
    <w:p w:rsidR="004B03DE" w:rsidP="004B03DE" w14:paraId="36A3DED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5356"/>
        <w:gridCol w:w="1559"/>
        <w:gridCol w:w="2126"/>
      </w:tblGrid>
      <w:tr w14:paraId="0C550A56" w14:textId="77777777" w:rsidTr="008669B7">
        <w:tblPrEx>
          <w:tblW w:w="9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16ED1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b/>
                <w:sz w:val="28"/>
                <w:lang w:val="uk-UA"/>
              </w:rPr>
              <w:t>№ п/п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35F8B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b/>
                <w:sz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37E417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b/>
                <w:sz w:val="28"/>
                <w:lang w:val="uk-UA"/>
              </w:rPr>
              <w:t>Одиниця виміру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DA349D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b/>
                <w:sz w:val="28"/>
                <w:lang w:val="uk-UA"/>
              </w:rPr>
              <w:t>Обсяги накопичення</w:t>
            </w:r>
          </w:p>
        </w:tc>
      </w:tr>
      <w:tr w14:paraId="782BE6F6" w14:textId="77777777" w:rsidTr="008669B7">
        <w:tblPrEx>
          <w:tblW w:w="9747" w:type="dxa"/>
          <w:tblLayout w:type="fixed"/>
          <w:tblLook w:val="01E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57A4C6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FD2BA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249B69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0EE7C8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b/>
                <w:sz w:val="28"/>
                <w:lang w:val="uk-UA"/>
              </w:rPr>
              <w:t>4</w:t>
            </w:r>
          </w:p>
        </w:tc>
      </w:tr>
      <w:tr w14:paraId="3CC17AE9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74853BE" w14:textId="77777777">
            <w:pPr>
              <w:spacing w:after="0" w:line="240" w:lineRule="auto"/>
              <w:ind w:firstLine="708"/>
              <w:jc w:val="center"/>
              <w:rPr>
                <w:rFonts w:ascii="Times New Roman" w:eastAsia="Constantia" w:hAnsi="Times New Roman" w:cs="Times New Roman"/>
                <w:b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b/>
                <w:sz w:val="28"/>
                <w:szCs w:val="28"/>
                <w:lang w:val="uk-UA"/>
              </w:rPr>
              <w:t>7. Засоби енергозабезпечення</w:t>
            </w:r>
          </w:p>
        </w:tc>
      </w:tr>
      <w:tr w14:paraId="18C5BB4C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65952325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70.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5722EDD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Провід </w:t>
            </w:r>
            <w:r w:rsidRPr="00944AEB">
              <w:rPr>
                <w:rFonts w:ascii="Times New Roman" w:eastAsia="Constantia" w:hAnsi="Times New Roman" w:cs="Times New Roman"/>
                <w:bCs/>
                <w:sz w:val="28"/>
                <w:szCs w:val="28"/>
                <w:shd w:val="clear" w:color="auto" w:fill="F7F7F7"/>
                <w:lang w:val="uk-UA"/>
              </w:rPr>
              <w:t>AsXSn</w:t>
            </w:r>
            <w:r w:rsidRPr="00944AEB">
              <w:rPr>
                <w:rFonts w:ascii="Times New Roman" w:eastAsia="Constantia" w:hAnsi="Times New Roman" w:cs="Times New Roman"/>
                <w:bCs/>
                <w:sz w:val="28"/>
                <w:szCs w:val="28"/>
                <w:shd w:val="clear" w:color="auto" w:fill="F7F7F7"/>
                <w:lang w:val="uk-UA"/>
              </w:rPr>
              <w:t xml:space="preserve">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4х120 0,6/1 кВ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87CA7C2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13C7E4A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0,5</w:t>
            </w:r>
          </w:p>
        </w:tc>
      </w:tr>
      <w:tr w14:paraId="46419F38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4AF00FD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71.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8C5D474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Провід </w:t>
            </w:r>
            <w:r w:rsidRPr="00944AEB">
              <w:rPr>
                <w:rFonts w:ascii="Times New Roman" w:eastAsia="Constantia" w:hAnsi="Times New Roman" w:cs="Times New Roman"/>
                <w:bCs/>
                <w:sz w:val="28"/>
                <w:szCs w:val="28"/>
                <w:shd w:val="clear" w:color="auto" w:fill="F7F7F7"/>
                <w:lang w:val="uk-UA"/>
              </w:rPr>
              <w:t>AsXSn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 4х16 0,6/1кВ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87471BB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63BFC10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</w:t>
            </w:r>
          </w:p>
        </w:tc>
      </w:tr>
      <w:tr w14:paraId="57752717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E860407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72.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65574D5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Провід </w:t>
            </w:r>
            <w:r w:rsidRPr="00944AEB">
              <w:rPr>
                <w:rFonts w:ascii="Times New Roman" w:eastAsia="Constantia" w:hAnsi="Times New Roman" w:cs="Times New Roman"/>
                <w:bCs/>
                <w:sz w:val="28"/>
                <w:szCs w:val="28"/>
                <w:shd w:val="clear" w:color="auto" w:fill="F7F7F7"/>
                <w:lang w:val="uk-UA"/>
              </w:rPr>
              <w:t>AsXSn</w:t>
            </w:r>
            <w:r w:rsidRPr="00944AEB">
              <w:rPr>
                <w:rFonts w:ascii="Times New Roman" w:eastAsia="Constantia" w:hAnsi="Times New Roman" w:cs="Times New Roman"/>
                <w:bCs/>
                <w:sz w:val="28"/>
                <w:szCs w:val="28"/>
                <w:shd w:val="clear" w:color="auto" w:fill="F7F7F7"/>
                <w:lang w:val="uk-UA"/>
              </w:rPr>
              <w:t xml:space="preserve"> 4х25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 0,6/1 кВ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76FE5A0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AC8E13A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</w:t>
            </w:r>
          </w:p>
        </w:tc>
      </w:tr>
      <w:tr w14:paraId="20262AB1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4697FF6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73.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E5EDBB5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Провід </w:t>
            </w:r>
            <w:r w:rsidRPr="00944AEB">
              <w:rPr>
                <w:rFonts w:ascii="Times New Roman" w:eastAsia="Constantia" w:hAnsi="Times New Roman" w:cs="Times New Roman"/>
                <w:bCs/>
                <w:sz w:val="28"/>
                <w:szCs w:val="28"/>
                <w:shd w:val="clear" w:color="auto" w:fill="F7F7F7"/>
                <w:lang w:val="uk-UA"/>
              </w:rPr>
              <w:t>AsXSn</w:t>
            </w:r>
            <w:r w:rsidRPr="00944AEB">
              <w:rPr>
                <w:rFonts w:ascii="Times New Roman" w:eastAsia="Constantia" w:hAnsi="Times New Roman" w:cs="Times New Roman"/>
                <w:bCs/>
                <w:sz w:val="28"/>
                <w:szCs w:val="28"/>
                <w:shd w:val="clear" w:color="auto" w:fill="F7F7F7"/>
                <w:lang w:val="uk-UA"/>
              </w:rPr>
              <w:t xml:space="preserve">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4x50 0,6/1 кВ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81F7257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972474D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</w:t>
            </w:r>
          </w:p>
        </w:tc>
      </w:tr>
      <w:tr w14:paraId="1B0A7FA6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3409A58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74.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06E1E34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Провід  </w:t>
            </w:r>
            <w:r w:rsidRPr="00944AEB">
              <w:rPr>
                <w:rFonts w:ascii="Times New Roman" w:eastAsia="Constantia" w:hAnsi="Times New Roman" w:cs="Times New Roman"/>
                <w:bCs/>
                <w:sz w:val="28"/>
                <w:szCs w:val="28"/>
                <w:shd w:val="clear" w:color="auto" w:fill="F7F7F7"/>
                <w:lang w:val="uk-UA"/>
              </w:rPr>
              <w:t>AsXSn</w:t>
            </w:r>
            <w:r w:rsidRPr="00944AEB">
              <w:rPr>
                <w:rFonts w:ascii="Times New Roman" w:eastAsia="Constantia" w:hAnsi="Times New Roman" w:cs="Times New Roman"/>
                <w:bCs/>
                <w:sz w:val="28"/>
                <w:szCs w:val="28"/>
                <w:shd w:val="clear" w:color="auto" w:fill="F7F7F7"/>
                <w:lang w:val="uk-UA"/>
              </w:rPr>
              <w:t xml:space="preserve">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4х70 0,6/1 кВ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6B896AA8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1CDB0F6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</w:t>
            </w:r>
          </w:p>
        </w:tc>
      </w:tr>
      <w:tr w14:paraId="6F66185C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CCFB235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75.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6F49038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Провід </w:t>
            </w:r>
            <w:r w:rsidRPr="00944AEB">
              <w:rPr>
                <w:rFonts w:ascii="Times New Roman" w:eastAsia="Constantia" w:hAnsi="Times New Roman" w:cs="Times New Roman"/>
                <w:bCs/>
                <w:sz w:val="28"/>
                <w:szCs w:val="28"/>
                <w:shd w:val="clear" w:color="auto" w:fill="F7F7F7"/>
                <w:lang w:val="uk-UA"/>
              </w:rPr>
              <w:t>AsXSn</w:t>
            </w:r>
            <w:r w:rsidRPr="00944AEB">
              <w:rPr>
                <w:rFonts w:ascii="Times New Roman" w:eastAsia="Constantia" w:hAnsi="Times New Roman" w:cs="Times New Roman"/>
                <w:bCs/>
                <w:sz w:val="28"/>
                <w:szCs w:val="28"/>
                <w:shd w:val="clear" w:color="auto" w:fill="F7F7F7"/>
                <w:lang w:val="uk-UA"/>
              </w:rPr>
              <w:t xml:space="preserve">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4x95 0,6/1 кВ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F4D7CA7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AB3D102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0,5</w:t>
            </w:r>
          </w:p>
        </w:tc>
      </w:tr>
      <w:tr w14:paraId="32F1E8AA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AC16B12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76.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9356FE0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Кабель високовольтний ААБл-103x120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211B228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BEC4A78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0,313</w:t>
            </w:r>
          </w:p>
        </w:tc>
      </w:tr>
      <w:tr w14:paraId="2E3F1DF3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577911C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77.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706A05C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Кабель високовольтний ААБл-10 3x50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442C450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071F135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0,2</w:t>
            </w:r>
          </w:p>
        </w:tc>
      </w:tr>
      <w:tr w14:paraId="266C9FF9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66CC6C0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78.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6118010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Кабель високовольтний ААБл-10 3x70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86AD2E8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529FA1B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0,2</w:t>
            </w:r>
          </w:p>
        </w:tc>
      </w:tr>
      <w:tr w14:paraId="61794B3F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041D5D8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79.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68B596C2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Кабель силовий АВВГ 4x120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96581C5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66302E9E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</w:t>
            </w:r>
          </w:p>
        </w:tc>
      </w:tr>
      <w:tr w14:paraId="22BB51FC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548A6A7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80.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F2E0452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Кабель силовий АВВГ 4x185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368ABB6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1902A80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0,2</w:t>
            </w:r>
          </w:p>
        </w:tc>
      </w:tr>
      <w:tr w14:paraId="063E13C0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744F017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81.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ABB5707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Кабель силовий АВВГ 4x240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0069BFC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89AD084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0,2</w:t>
            </w:r>
          </w:p>
        </w:tc>
      </w:tr>
      <w:tr w14:paraId="444DA796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6886BF0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82.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AA1868A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Кабель силовий АВВГ 4x50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1B30DD4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D266069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0,4</w:t>
            </w:r>
          </w:p>
        </w:tc>
      </w:tr>
      <w:tr w14:paraId="68111ABB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22300AD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83.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3DDEF39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Кабель силовий АВВГ 4x70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42F39A5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км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2C343EA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0,4</w:t>
            </w:r>
          </w:p>
        </w:tc>
      </w:tr>
      <w:tr w14:paraId="09F143A2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33B7702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84.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B518A54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Автомат вимикач NМ1-250S/3300 100А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2348313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395191E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5</w:t>
            </w:r>
          </w:p>
        </w:tc>
      </w:tr>
      <w:tr w14:paraId="016C7790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7BC4604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85.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CD6C8B7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Автомат вимикач NМ1-250S/3300 160А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6DEF656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29D23A0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</w:t>
            </w:r>
          </w:p>
        </w:tc>
      </w:tr>
      <w:tr w14:paraId="38679840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93378E6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86.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6B1E221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Автомат вимикач NМ1-400S/3300 250А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13CD15F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5390AFE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</w:t>
            </w:r>
          </w:p>
        </w:tc>
      </w:tr>
      <w:tr w14:paraId="77D39874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948B141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87.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4C4FAEE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Автомат вимикач NМ1-400S/3300 400А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3DB6117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2288719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</w:t>
            </w:r>
          </w:p>
        </w:tc>
      </w:tr>
      <w:tr w14:paraId="4D425A01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B8C9A32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88.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C0433FA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Вимикач навантаження ВНА-10/400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84AC00F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6B6C8CE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5</w:t>
            </w:r>
          </w:p>
        </w:tc>
      </w:tr>
      <w:tr w14:paraId="19D73E7F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583CA09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89.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BEA5D70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Рубильник РПС-2 250А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90F64EE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E9FF719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20</w:t>
            </w:r>
          </w:p>
        </w:tc>
      </w:tr>
      <w:tr w14:paraId="6DC5A123" w14:textId="77777777" w:rsidTr="008669B7">
        <w:tblPrEx>
          <w:tblW w:w="9747" w:type="dxa"/>
          <w:tblLayout w:type="fixed"/>
          <w:tblLook w:val="01E0"/>
        </w:tblPrEx>
        <w:trPr>
          <w:trHeight w:val="39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1853B64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90.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F446072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Рубильник РПС-2 400А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D34A54C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7B60AB6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</w:t>
            </w:r>
          </w:p>
        </w:tc>
      </w:tr>
      <w:tr w14:paraId="626FF7CC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1C39E52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91.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89D8B20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Рубильник РЕ 19-39 31140 1000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EEF3493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9C0BF19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2</w:t>
            </w:r>
          </w:p>
        </w:tc>
      </w:tr>
      <w:tr w14:paraId="3105F26B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C824584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92.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CB1D530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highlight w:val="yellow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Наконечник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кабельний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алюмінієвий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16-8-5,4 А-УХЛЗ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D4C4C35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az-Cyrl-AZ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az-Cyrl-AZ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31468D1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100</w:t>
            </w:r>
          </w:p>
        </w:tc>
      </w:tr>
      <w:tr w14:paraId="7AE9DD23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C31BA34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93.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AC133BC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Наконечник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кабельний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алюмінієвий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25-8-7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0EA7AC7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az-Cyrl-AZ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az-Cyrl-AZ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E750912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100</w:t>
            </w:r>
          </w:p>
        </w:tc>
      </w:tr>
      <w:tr w14:paraId="26CDCA36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8D5939A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94.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48C7FF2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Наконечник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кабельний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алюмінієвий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35-10-8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D152A47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az-Cyrl-AZ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az-Cyrl-AZ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003A496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100</w:t>
            </w:r>
          </w:p>
        </w:tc>
      </w:tr>
      <w:tr w14:paraId="3827FFC6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FD34A8B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95.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7DF7E64" w14:textId="4080E4A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Наконечник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алюмінієвий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50-10-9-А-УХЗЛ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40093DA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az-Cyrl-AZ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az-Cyrl-AZ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6534DDA5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100</w:t>
            </w:r>
          </w:p>
        </w:tc>
      </w:tr>
      <w:tr w14:paraId="0AE2479F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18C19EE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96.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6CBB8D9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Наконечник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кабельний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алюмінієвий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70-10-12-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А-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УХЗЛ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07F1A32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71CE74D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100</w:t>
            </w:r>
          </w:p>
        </w:tc>
      </w:tr>
      <w:tr w14:paraId="5DC6948C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5E25FA7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97.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87C48AE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Наконечник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алюмінієвий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95-12-13- УХЗЛ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2FD3232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67B9316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100</w:t>
            </w:r>
          </w:p>
        </w:tc>
      </w:tr>
      <w:tr w14:paraId="6C83AD8F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63DABBB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98.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6F1FBDA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Наконечник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алюмінієвий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120-12-14-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А-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УХЗЛ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C57A8A6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9EDA299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100</w:t>
            </w:r>
          </w:p>
        </w:tc>
      </w:tr>
      <w:tr w14:paraId="71E20CE8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2A628F5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99.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B7E08F6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Наконечник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кабельний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алюмінієвий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150-12-17-А-УХЛЗ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D2A838E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6305D5A5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100</w:t>
            </w:r>
          </w:p>
        </w:tc>
      </w:tr>
      <w:tr w14:paraId="73DE9A08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81604B0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100.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FBE96B3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Наконечник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алюмінієвий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185-16-19-А-УХЛЗ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DA824CC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az-Cyrl-AZ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az-Cyrl-AZ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69882CC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100</w:t>
            </w:r>
          </w:p>
        </w:tc>
      </w:tr>
      <w:tr w14:paraId="2E4CCD0D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DC82183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101.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1BA7B20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Наконечник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кабельний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алюмінієвий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240-20-20-А-УХЛЗ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A1260FB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az-Cyrl-AZ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az-Cyrl-AZ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E1F354F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100</w:t>
            </w:r>
          </w:p>
        </w:tc>
      </w:tr>
      <w:tr w14:paraId="373BA254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3632BC9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102.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E93A37A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Розрядник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РВО-10 У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0F3308D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az-Cyrl-AZ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az-Cyrl-AZ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C9A51AA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</w:t>
            </w:r>
          </w:p>
        </w:tc>
      </w:tr>
      <w:tr w14:paraId="60BA0872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5CF3381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103.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8F79E2C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Запобіжник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 xml:space="preserve"> (патрон)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П(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</w:rPr>
              <w:t>т) 011-10-16-31,5 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E7BF4AC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az-Cyrl-AZ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az-Cyrl-AZ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466398A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18</w:t>
            </w:r>
          </w:p>
        </w:tc>
      </w:tr>
      <w:tr w14:paraId="18C60E1D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BE2E8C9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104.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B094C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44A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Запобіжник (патрон) П(т) 011-10-20-31,5 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EB65654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az-Cyrl-AZ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az-Cyrl-AZ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41A8751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18</w:t>
            </w:r>
          </w:p>
        </w:tc>
      </w:tr>
      <w:tr w14:paraId="2DDD2ACF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118204B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105.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59B81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44A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Запобіжник (патрон) П(т) 012-10-50-31,5 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9CCF4C0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az-Cyrl-AZ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az-Cyrl-AZ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6D61480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9</w:t>
            </w:r>
          </w:p>
        </w:tc>
      </w:tr>
      <w:tr w14:paraId="42AB90EA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8C02127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106.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DC49E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uk-UA"/>
              </w:rPr>
            </w:pPr>
            <w:r w:rsidRPr="00944A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Запобіжник П(т) 011-10-31,5-31,5 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AF27E90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az-Cyrl-AZ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az-Cyrl-AZ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63EE2919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18</w:t>
            </w:r>
          </w:p>
        </w:tc>
      </w:tr>
      <w:tr w14:paraId="3D9484F5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AE347A9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107.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C40F2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44A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Тримачі до запобіжників </w:t>
            </w:r>
            <w:r w:rsidRPr="00944A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Кт</w:t>
            </w:r>
            <w:r w:rsidRPr="00944A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16-10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29FB18F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az-Cyrl-AZ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az-Cyrl-AZ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36B7C83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30</w:t>
            </w:r>
          </w:p>
        </w:tc>
      </w:tr>
      <w:tr w14:paraId="18E77E15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5BD7CE8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108.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16D71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44A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Тримачі до запобіжників </w:t>
            </w:r>
            <w:r w:rsidRPr="00944A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Кт</w:t>
            </w:r>
            <w:r w:rsidRPr="00944A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17-10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6EB57A0E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az-Cyrl-AZ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az-Cyrl-AZ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3185E53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20</w:t>
            </w:r>
          </w:p>
        </w:tc>
      </w:tr>
      <w:tr w14:paraId="299A4D91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3DC9CA3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109.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171C4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44A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Запобіжник ПН-2-250А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495C1AE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az-Cyrl-AZ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az-Cyrl-AZ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0341870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100</w:t>
            </w:r>
          </w:p>
        </w:tc>
      </w:tr>
      <w:tr w14:paraId="1D63B153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F9E7517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110.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CFEBC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44A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Запобіжник ПН-2-400А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39D4528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az-Cyrl-AZ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az-Cyrl-AZ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372FD13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50</w:t>
            </w:r>
          </w:p>
        </w:tc>
      </w:tr>
      <w:tr w14:paraId="4BC5A833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4967487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111.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6B011B6F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highlight w:val="yellow"/>
                <w:lang w:val="uk-UA" w:eastAsia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Олива трансформаторна Т-1500 (бочка 200л/175кг)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4865A9A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14E815D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2</w:t>
            </w:r>
          </w:p>
        </w:tc>
      </w:tr>
      <w:tr w14:paraId="576507F2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8D27714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112.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D2F3034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 w:eastAsia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Ізолятор ИП-10-100-1 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6591122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1F321D0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9</w:t>
            </w:r>
          </w:p>
        </w:tc>
      </w:tr>
      <w:tr w14:paraId="2A342970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9EEB185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113.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51D16A8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 w:eastAsia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Ізолятор ИО-10-3,75 ІІ 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7FAEE9E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0A0F718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30</w:t>
            </w:r>
          </w:p>
        </w:tc>
      </w:tr>
      <w:tr w14:paraId="7958C689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E267FBC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114.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5FF252B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 w:eastAsia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Ізолятор ШФ-20Г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8419C3D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813C427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30</w:t>
            </w:r>
          </w:p>
        </w:tc>
      </w:tr>
      <w:tr w14:paraId="13C6F860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DC562B7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115.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868E483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highlight w:val="yellow"/>
                <w:lang w:val="uk-UA" w:eastAsia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Роз'єднувач РЛНДЗ-10/400 У1 з приводом ПРНЗ-10 УХЛ1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6B137437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645E6148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5</w:t>
            </w:r>
          </w:p>
        </w:tc>
      </w:tr>
      <w:tr w14:paraId="22A90FE4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3333FF5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116.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02985F9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EUETH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TpPC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 12 50-120 850 CM Кінцева кабельна муфта 12 кВ зовнішнього встановлення для 3-жильних кабелів в паперовій ізоляції з поперечним перерізом провідника від 50 до 120 мм2 (в комплекті з наконечниками)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40597D9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659F1302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2</w:t>
            </w:r>
          </w:p>
        </w:tc>
      </w:tr>
      <w:tr w14:paraId="67C41A7E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AD36157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117.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A4A1355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highlight w:val="yellow"/>
                <w:lang w:val="uk-UA" w:eastAsia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T4TH O 50-120 CM Муфта кінцева зовнішнього встановлення для чотирижильних кабелів у полімерній ізоляції до 1кВ  з поперечним перерізом провідника від 50 до 120 мм2 (в комплекті з наконечниками)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6D47DB7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0E7CD84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2</w:t>
            </w:r>
          </w:p>
        </w:tc>
      </w:tr>
      <w:tr w14:paraId="10F6CB51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69392FEF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118.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1F0CDB2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T4TH O 120-240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E1018C2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6A927DF3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2</w:t>
            </w:r>
          </w:p>
        </w:tc>
      </w:tr>
      <w:tr w14:paraId="7A3B9512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66E29573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D8C515E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T4TH O 16-50 CM Муфта кінцева зовнішнього встановлення для чотирижильних кабелів у полімерній ізоляції до 1кВ  з поперечним перерізом провідника від 16 до 50 мм2 (в комплекті з наконечниками)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B1A4EE7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B51BFE6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</w:t>
            </w:r>
          </w:p>
        </w:tc>
      </w:tr>
      <w:tr w14:paraId="69C8E39D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AD2CE6C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119.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6445DAE0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J4TH 16-50 CM Муфта з'єднувальна для чотирижильних кабелів перерізом провідника від 16 до 50мм2 (в комплекті зі з'єднувачами)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66EAB4D0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5278FEA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2</w:t>
            </w:r>
          </w:p>
        </w:tc>
      </w:tr>
      <w:tr w14:paraId="67ABCE54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D68CAD6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120.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83A3873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J4TH 50-120 CM Муфта з'єднувальна для чотирижильних кабелів у пол.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ізол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. до 1кВ  з поперечним перерізом провідника від 50 до 120 мм2(в комплекті зі з'єднувачами)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C948345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87CD2B1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4</w:t>
            </w:r>
          </w:p>
        </w:tc>
      </w:tr>
      <w:tr w14:paraId="56E4D2E1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5175A6F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121.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BF54013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J4TH 120-240 СМ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7AA7D404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137DA9B9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2</w:t>
            </w:r>
          </w:p>
        </w:tc>
      </w:tr>
      <w:tr w14:paraId="5384C685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37AF62E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122.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3F430087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EUETH 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TpPC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 12 25-50 850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8780F44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0EE5D7A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</w:t>
            </w:r>
          </w:p>
        </w:tc>
      </w:tr>
      <w:tr w14:paraId="383FE7BC" w14:textId="77777777" w:rsidTr="008669B7">
        <w:tblPrEx>
          <w:tblW w:w="9747" w:type="dxa"/>
          <w:tblLayout w:type="fixed"/>
          <w:tblLook w:val="01E0"/>
        </w:tblPrEx>
        <w:trPr>
          <w:trHeight w:val="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7C0B4CF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123.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26E53BFF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JTpPTHC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 12 35-70 CM З'єднувальна кабельна муфта 12 кВ для 3-жильних кабелів в паперовій ізоляції з поперечним перерізом провідника від 35 до 70 мм2  (в комплекті зі з'єднувачем)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33B7476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AEFB000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4</w:t>
            </w:r>
          </w:p>
        </w:tc>
      </w:tr>
      <w:tr w14:paraId="6727FCB7" w14:textId="77777777" w:rsidTr="008669B7">
        <w:tblPrEx>
          <w:tblW w:w="9747" w:type="dxa"/>
          <w:tblLayout w:type="fixed"/>
          <w:tblLook w:val="01E0"/>
        </w:tblPrEx>
        <w:trPr>
          <w:trHeight w:val="11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06A9FB2E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124.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4215CC0F" w14:textId="77777777">
            <w:pPr>
              <w:spacing w:after="0" w:line="240" w:lineRule="auto"/>
              <w:rPr>
                <w:rFonts w:ascii="Times New Roman" w:eastAsia="Constantia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>JTpPTHC</w:t>
            </w:r>
            <w:r w:rsidRPr="00944AEB">
              <w:rPr>
                <w:rFonts w:ascii="Times New Roman" w:eastAsia="Constantia" w:hAnsi="Times New Roman" w:cs="Times New Roman"/>
                <w:sz w:val="28"/>
                <w:szCs w:val="28"/>
                <w:lang w:val="uk-UA"/>
              </w:rPr>
              <w:t xml:space="preserve"> 12 70-120 CM З'єднувальна кабельна муфта 12 кВ для кабелів з паперовою ізоляцією перерізом від 70 до 120 мм2 (зі з'єднувачами)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94225B4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EB" w:rsidRPr="00944AEB" w:rsidP="00944AEB" w14:paraId="59AD4474" w14:textId="77777777">
            <w:pPr>
              <w:spacing w:after="0" w:line="240" w:lineRule="auto"/>
              <w:jc w:val="center"/>
              <w:rPr>
                <w:rFonts w:ascii="Times New Roman" w:eastAsia="Constantia" w:hAnsi="Times New Roman" w:cs="Times New Roman"/>
                <w:sz w:val="28"/>
                <w:lang w:val="uk-UA"/>
              </w:rPr>
            </w:pPr>
            <w:r w:rsidRPr="00944AEB">
              <w:rPr>
                <w:rFonts w:ascii="Times New Roman" w:eastAsia="Constantia" w:hAnsi="Times New Roman" w:cs="Times New Roman"/>
                <w:sz w:val="28"/>
                <w:lang w:val="uk-UA"/>
              </w:rPr>
              <w:t>2</w:t>
            </w:r>
          </w:p>
        </w:tc>
      </w:tr>
    </w:tbl>
    <w:p w:rsidR="00944AEB" w:rsidRPr="00944AEB" w:rsidP="00944AEB" w14:paraId="0416EBE0" w14:textId="77777777">
      <w:pPr>
        <w:spacing w:after="0" w:line="240" w:lineRule="auto"/>
        <w:rPr>
          <w:rFonts w:ascii="Times New Roman" w:eastAsia="Constantia" w:hAnsi="Times New Roman" w:cs="Times New Roman"/>
          <w:sz w:val="28"/>
          <w:szCs w:val="28"/>
          <w:lang w:val="uk-UA"/>
        </w:rPr>
      </w:pPr>
    </w:p>
    <w:p w:rsidR="00944AEB" w:rsidP="00944AEB" w14:paraId="32C6C754" w14:textId="77777777">
      <w:pPr>
        <w:spacing w:after="0"/>
        <w:rPr>
          <w:rFonts w:ascii="Times New Roman" w:eastAsia="Constantia" w:hAnsi="Times New Roman" w:cs="Times New Roman"/>
          <w:sz w:val="28"/>
          <w:szCs w:val="28"/>
          <w:lang w:val="uk-UA"/>
        </w:rPr>
      </w:pPr>
    </w:p>
    <w:p w:rsidR="00A061A3" w:rsidP="00944AEB" w14:paraId="7BDA86B6" w14:textId="0ED9C1A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</w:t>
      </w:r>
      <w:r w:rsidR="00944AE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C12DB" w:rsidR="00DC12DB">
          <w:rPr>
            <w:noProof/>
            <w:lang w:val="uk-UA"/>
          </w:rPr>
          <w:t>3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020A6"/>
    <w:rsid w:val="00283246"/>
    <w:rsid w:val="00304983"/>
    <w:rsid w:val="00355818"/>
    <w:rsid w:val="00440DB8"/>
    <w:rsid w:val="004B03DE"/>
    <w:rsid w:val="00501A57"/>
    <w:rsid w:val="0053119B"/>
    <w:rsid w:val="00554029"/>
    <w:rsid w:val="006944BA"/>
    <w:rsid w:val="008669B7"/>
    <w:rsid w:val="008D075A"/>
    <w:rsid w:val="00944AEB"/>
    <w:rsid w:val="009925BA"/>
    <w:rsid w:val="009A23C7"/>
    <w:rsid w:val="00A061A3"/>
    <w:rsid w:val="00A57F55"/>
    <w:rsid w:val="00B64247"/>
    <w:rsid w:val="00BA1C93"/>
    <w:rsid w:val="00C454E0"/>
    <w:rsid w:val="00DC12DB"/>
    <w:rsid w:val="00DD16FD"/>
    <w:rsid w:val="00E441D0"/>
    <w:rsid w:val="00E67870"/>
    <w:rsid w:val="00EC4468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944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44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0306AB"/>
    <w:rsid w:val="001D2A75"/>
    <w:rsid w:val="001E4C55"/>
    <w:rsid w:val="00355818"/>
    <w:rsid w:val="005A1F5E"/>
    <w:rsid w:val="00A23416"/>
    <w:rsid w:val="00BB107A"/>
    <w:rsid w:val="00D279AE"/>
    <w:rsid w:val="00E441D0"/>
    <w:rsid w:val="00E972B6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2543</Words>
  <Characters>1451</Characters>
  <Application>Microsoft Office Word</Application>
  <DocSecurity>8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acer-02</cp:lastModifiedBy>
  <cp:revision>50</cp:revision>
  <dcterms:created xsi:type="dcterms:W3CDTF">2021-12-31T08:10:00Z</dcterms:created>
  <dcterms:modified xsi:type="dcterms:W3CDTF">2023-11-06T11:30:00Z</dcterms:modified>
</cp:coreProperties>
</file>