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B786D" w14:textId="77777777" w:rsidR="005B1C08" w:rsidRDefault="0000000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1B47972F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A400C7B" w14:textId="77777777" w:rsidR="00540354" w:rsidRDefault="00540354" w:rsidP="00540354">
      <w:pPr>
        <w:spacing w:after="0"/>
        <w:ind w:left="567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662B9E74" w14:textId="77777777" w:rsidR="00540354" w:rsidRDefault="00540354" w:rsidP="00540354">
      <w:pPr>
        <w:pStyle w:val="a5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до проекту рішення "</w:t>
      </w:r>
      <w:r>
        <w:rPr>
          <w:b/>
          <w:bCs/>
          <w:sz w:val="28"/>
          <w:szCs w:val="28"/>
        </w:rPr>
        <w:t xml:space="preserve">Про внесення змін в Додаток </w:t>
      </w:r>
    </w:p>
    <w:p w14:paraId="326AA4D4" w14:textId="77777777" w:rsidR="00540354" w:rsidRDefault="00540354" w:rsidP="00540354">
      <w:pPr>
        <w:pStyle w:val="a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 Програми фінансової підтримки комунального підприємства </w:t>
      </w:r>
    </w:p>
    <w:p w14:paraId="404226F1" w14:textId="77777777" w:rsidR="00540354" w:rsidRDefault="00540354" w:rsidP="00540354">
      <w:pPr>
        <w:pStyle w:val="a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«Оздоровчо-реабілітаційний центр» Броварської міської ради </w:t>
      </w:r>
    </w:p>
    <w:p w14:paraId="44DCC1CB" w14:textId="77777777" w:rsidR="00540354" w:rsidRDefault="00540354" w:rsidP="00540354">
      <w:pPr>
        <w:pStyle w:val="a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Броварського району Київської області на 2022-2026 роки"</w:t>
      </w:r>
    </w:p>
    <w:p w14:paraId="64036535" w14:textId="77777777" w:rsidR="00540354" w:rsidRDefault="00540354" w:rsidP="00540354">
      <w:pPr>
        <w:pStyle w:val="a5"/>
        <w:jc w:val="center"/>
        <w:rPr>
          <w:sz w:val="28"/>
          <w:szCs w:val="28"/>
        </w:rPr>
      </w:pPr>
    </w:p>
    <w:p w14:paraId="714E81A3" w14:textId="77777777" w:rsidR="00540354" w:rsidRDefault="00540354" w:rsidP="00540354">
      <w:pPr>
        <w:pStyle w:val="a5"/>
        <w:jc w:val="center"/>
        <w:rPr>
          <w:sz w:val="28"/>
          <w:szCs w:val="28"/>
        </w:rPr>
      </w:pPr>
    </w:p>
    <w:p w14:paraId="6BD02CD1" w14:textId="77777777" w:rsidR="00540354" w:rsidRDefault="00540354" w:rsidP="0054035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</w:rPr>
        <w:t>Пояснювальна записка підготовлена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відповідно до ст. 20 Регламенту Броварської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>
        <w:rPr>
          <w:rFonts w:ascii="Times New Roman" w:hAnsi="Times New Roman"/>
          <w:sz w:val="28"/>
          <w:szCs w:val="28"/>
        </w:rPr>
        <w:t>Київської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>
        <w:rPr>
          <w:rFonts w:ascii="Times New Roman" w:hAnsi="Times New Roman"/>
          <w:sz w:val="28"/>
          <w:szCs w:val="28"/>
        </w:rPr>
        <w:t>.</w:t>
      </w:r>
    </w:p>
    <w:p w14:paraId="2C544FA1" w14:textId="77777777" w:rsidR="00540354" w:rsidRDefault="00540354" w:rsidP="00540354">
      <w:pPr>
        <w:pStyle w:val="a5"/>
        <w:jc w:val="both"/>
        <w:rPr>
          <w:b/>
          <w:sz w:val="28"/>
          <w:szCs w:val="28"/>
          <w:lang w:val="ru-RU" w:eastAsia="zh-CN"/>
        </w:rPr>
      </w:pPr>
    </w:p>
    <w:p w14:paraId="397F9726" w14:textId="77777777" w:rsidR="00540354" w:rsidRDefault="00540354" w:rsidP="00540354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1. Обґрунтування</w:t>
      </w:r>
      <w:r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r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r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zh-CN"/>
        </w:rPr>
        <w:t>рішення</w:t>
      </w:r>
    </w:p>
    <w:p w14:paraId="6ED66777" w14:textId="77777777" w:rsidR="00540354" w:rsidRDefault="00540354" w:rsidP="00540354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>Н</w:t>
      </w:r>
      <w:r>
        <w:rPr>
          <w:rFonts w:ascii="Times New Roman" w:hAnsi="Times New Roman" w:cs="Times New Roman"/>
          <w:sz w:val="28"/>
          <w:szCs w:val="28"/>
          <w:lang w:eastAsia="zh-CN"/>
        </w:rPr>
        <w:t>еобхідн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істю </w:t>
      </w:r>
      <w:r>
        <w:rPr>
          <w:rFonts w:ascii="Times New Roman" w:hAnsi="Times New Roman" w:cs="Times New Roman"/>
          <w:sz w:val="28"/>
          <w:szCs w:val="28"/>
          <w:lang w:eastAsia="zh-CN"/>
        </w:rPr>
        <w:t>прийняття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>рішення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додаткового фінансування "Програми фінансової підтримки комунального підприємства "Оздоровчо-реабілітаційний центр" Броварської міської ради Броварського району Київської області на 2022-2026 роки" (далі - Програма) </w:t>
      </w:r>
      <w:bookmarkStart w:id="0" w:name="_Hlk150335275"/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безперебійної роботи підприємства, недопущення заборгованості по захищеним статтям затрат та виконання додаткових робіт, що виникли при здійсненні капітального ремонту покрівлі будівлі </w:t>
      </w:r>
      <w:r>
        <w:rPr>
          <w:rFonts w:ascii="Times New Roman" w:hAnsi="Times New Roman" w:cs="Times New Roman"/>
          <w:sz w:val="28"/>
          <w:szCs w:val="28"/>
        </w:rPr>
        <w:t xml:space="preserve">підприємства </w:t>
      </w:r>
      <w:bookmarkEnd w:id="0"/>
      <w:r>
        <w:rPr>
          <w:rFonts w:ascii="Times New Roman" w:hAnsi="Times New Roman" w:cs="Times New Roman"/>
          <w:sz w:val="28"/>
          <w:szCs w:val="28"/>
        </w:rPr>
        <w:t>у розмірі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1 350 000,00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Із них: кошти загального фонду – 1 100 000,00 грн. та спеціального фонду 250 000,00 грн.</w:t>
      </w:r>
    </w:p>
    <w:p w14:paraId="324C3831" w14:textId="77777777" w:rsidR="00540354" w:rsidRDefault="00540354" w:rsidP="00540354">
      <w:pPr>
        <w:tabs>
          <w:tab w:val="left" w:pos="1134"/>
          <w:tab w:val="left" w:pos="1276"/>
        </w:tabs>
        <w:suppressAutoHyphens/>
        <w:spacing w:after="0" w:line="240" w:lineRule="auto"/>
        <w:ind w:firstLine="686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3114824C" w14:textId="77777777" w:rsidR="00540354" w:rsidRDefault="00540354" w:rsidP="00540354">
      <w:pPr>
        <w:tabs>
          <w:tab w:val="left" w:pos="1134"/>
          <w:tab w:val="left" w:pos="1276"/>
        </w:tabs>
        <w:suppressAutoHyphens/>
        <w:spacing w:after="0" w:line="240" w:lineRule="auto"/>
        <w:ind w:firstLine="686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14:paraId="7AD776EC" w14:textId="77777777" w:rsidR="00540354" w:rsidRDefault="00540354" w:rsidP="00540354">
      <w:pPr>
        <w:pStyle w:val="a5"/>
        <w:jc w:val="both"/>
        <w:rPr>
          <w:sz w:val="28"/>
          <w:szCs w:val="28"/>
        </w:rPr>
      </w:pPr>
      <w:r>
        <w:rPr>
          <w:color w:val="000000"/>
          <w:lang w:eastAsia="zh-CN"/>
        </w:rPr>
        <w:tab/>
      </w:r>
      <w:r>
        <w:rPr>
          <w:color w:val="000000"/>
          <w:sz w:val="28"/>
          <w:szCs w:val="28"/>
          <w:lang w:eastAsia="zh-CN"/>
        </w:rPr>
        <w:t xml:space="preserve">Забезпечення фінансування </w:t>
      </w:r>
      <w:r>
        <w:rPr>
          <w:sz w:val="28"/>
          <w:szCs w:val="28"/>
        </w:rPr>
        <w:t>Програми фінансової підтримки комунального підприємства "Оздоровчо-реабілітаційний центр" Броварської міської ради Броварського району Київської області на 2022-2026 роки згідно з метою безперебійної роботи підприємства, недопущення заборгованості по захищеним статтям затрат та здійснення капітального ремонту покрівлі (частково) будівлі підприємства.</w:t>
      </w:r>
    </w:p>
    <w:p w14:paraId="36FA295B" w14:textId="77777777" w:rsidR="00540354" w:rsidRDefault="00540354" w:rsidP="00540354">
      <w:pPr>
        <w:pStyle w:val="a5"/>
        <w:jc w:val="both"/>
        <w:rPr>
          <w:sz w:val="28"/>
          <w:szCs w:val="28"/>
        </w:rPr>
      </w:pPr>
    </w:p>
    <w:p w14:paraId="36115802" w14:textId="77777777" w:rsidR="00540354" w:rsidRDefault="00540354" w:rsidP="00540354">
      <w:pPr>
        <w:pStyle w:val="a5"/>
        <w:jc w:val="both"/>
        <w:rPr>
          <w:b/>
          <w:color w:val="000000"/>
          <w:sz w:val="28"/>
          <w:szCs w:val="28"/>
          <w:lang w:eastAsia="zh-CN"/>
        </w:rPr>
      </w:pPr>
      <w:r>
        <w:rPr>
          <w:sz w:val="28"/>
          <w:szCs w:val="28"/>
        </w:rPr>
        <w:tab/>
      </w:r>
      <w:r>
        <w:rPr>
          <w:b/>
          <w:color w:val="000000"/>
          <w:sz w:val="28"/>
          <w:szCs w:val="28"/>
          <w:lang w:eastAsia="zh-CN"/>
        </w:rPr>
        <w:t>3.Правові аспекти</w:t>
      </w:r>
    </w:p>
    <w:p w14:paraId="526A174C" w14:textId="77777777" w:rsidR="00540354" w:rsidRDefault="00540354" w:rsidP="00540354">
      <w:pPr>
        <w:pStyle w:val="a3"/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ab/>
        <w:t>Статті 26 Закону України «Про місцеве самоврядування в Україні».</w:t>
      </w:r>
    </w:p>
    <w:p w14:paraId="4B0C9EE4" w14:textId="77777777" w:rsidR="00540354" w:rsidRDefault="00540354" w:rsidP="0054035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3E387A54" w14:textId="77777777" w:rsidR="00540354" w:rsidRDefault="00540354" w:rsidP="00540354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17B9B8C4" w14:textId="77777777" w:rsidR="00540354" w:rsidRDefault="00540354" w:rsidP="00540354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lang w:val="uk-UA" w:eastAsia="zh-CN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>Прийняття даного рішення потребує виділення додаткових коштів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безперебійної роботи підприємства, недопущення заборгованості по захищеним статтям затрат та виконання додаткових робіт, що виникли при здійсненні капітального ремонту покрівлі будівлі підприємства на суму у розмірі 1 350 000,00 грн. Із них: кошти загального фонду - 1 100 000,00 грн. та спеціального фонду - 250 000,00 грн.</w:t>
      </w:r>
    </w:p>
    <w:p w14:paraId="4AF1FF49" w14:textId="77777777" w:rsidR="00540354" w:rsidRDefault="00540354" w:rsidP="00540354">
      <w:pPr>
        <w:pStyle w:val="a5"/>
        <w:jc w:val="both"/>
        <w:rPr>
          <w:b/>
          <w:color w:val="000000"/>
          <w:sz w:val="28"/>
          <w:szCs w:val="28"/>
          <w:lang w:val="ru-RU" w:eastAsia="zh-CN"/>
        </w:rPr>
      </w:pPr>
    </w:p>
    <w:p w14:paraId="40DB6352" w14:textId="77777777" w:rsidR="00540354" w:rsidRDefault="00540354" w:rsidP="00540354">
      <w:pPr>
        <w:pStyle w:val="a5"/>
        <w:jc w:val="both"/>
        <w:rPr>
          <w:b/>
          <w:color w:val="000000"/>
          <w:sz w:val="28"/>
          <w:szCs w:val="28"/>
          <w:lang w:eastAsia="zh-CN"/>
        </w:rPr>
      </w:pPr>
      <w:r>
        <w:rPr>
          <w:b/>
          <w:color w:val="000000"/>
          <w:sz w:val="28"/>
          <w:szCs w:val="28"/>
          <w:lang w:eastAsia="zh-CN"/>
        </w:rPr>
        <w:tab/>
        <w:t>5. Прогноз результатів</w:t>
      </w:r>
    </w:p>
    <w:p w14:paraId="3B7E056D" w14:textId="77777777" w:rsidR="00540354" w:rsidRDefault="00540354" w:rsidP="00540354">
      <w:pPr>
        <w:pStyle w:val="a5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  <w:t xml:space="preserve">1. Забезпечити безперебійну </w:t>
      </w:r>
      <w:r>
        <w:rPr>
          <w:sz w:val="28"/>
          <w:szCs w:val="28"/>
          <w:shd w:val="clear" w:color="auto" w:fill="FFFFFF"/>
        </w:rPr>
        <w:t>повноцінну роботу та належне надання послуг.</w:t>
      </w:r>
    </w:p>
    <w:p w14:paraId="6CA2E8C2" w14:textId="77777777" w:rsidR="00540354" w:rsidRDefault="00540354" w:rsidP="00540354">
      <w:pPr>
        <w:pStyle w:val="a5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>2. Уникнути порушень трудового законодавства, в частині своєчасної виплати заробітної плати та обов'язкових бюджетних платежів.</w:t>
      </w:r>
    </w:p>
    <w:p w14:paraId="40C8433A" w14:textId="77777777" w:rsidR="00540354" w:rsidRDefault="00540354" w:rsidP="00540354">
      <w:pPr>
        <w:pStyle w:val="a5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zh-CN"/>
        </w:rPr>
        <w:lastRenderedPageBreak/>
        <w:t>3. С</w:t>
      </w:r>
      <w:r>
        <w:rPr>
          <w:sz w:val="28"/>
          <w:szCs w:val="28"/>
          <w:shd w:val="clear" w:color="auto" w:fill="FFFFFF"/>
        </w:rPr>
        <w:t>творення безпечних умов роботи підприємства</w:t>
      </w:r>
      <w:r>
        <w:rPr>
          <w:sz w:val="28"/>
          <w:szCs w:val="28"/>
        </w:rPr>
        <w:t>.</w:t>
      </w:r>
    </w:p>
    <w:p w14:paraId="5DC7DF83" w14:textId="77777777" w:rsidR="00540354" w:rsidRDefault="00540354" w:rsidP="00540354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  <w:t>4. Недопущення небезпечної ситуації.</w:t>
      </w:r>
    </w:p>
    <w:p w14:paraId="57D67D74" w14:textId="77777777" w:rsidR="00540354" w:rsidRDefault="00540354" w:rsidP="00540354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  <w:t>5. Утримання в належному стані будівлі.</w:t>
      </w:r>
    </w:p>
    <w:p w14:paraId="5A97B550" w14:textId="77777777" w:rsidR="00540354" w:rsidRDefault="00540354" w:rsidP="00540354">
      <w:pPr>
        <w:pStyle w:val="a5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913A6AB" w14:textId="77777777" w:rsidR="00540354" w:rsidRDefault="00540354" w:rsidP="00540354">
      <w:pPr>
        <w:pStyle w:val="a5"/>
        <w:jc w:val="both"/>
        <w:rPr>
          <w:b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>6</w:t>
      </w:r>
      <w:r>
        <w:rPr>
          <w:b/>
          <w:sz w:val="28"/>
          <w:szCs w:val="28"/>
          <w:shd w:val="clear" w:color="auto" w:fill="FFFFFF"/>
        </w:rPr>
        <w:t xml:space="preserve">. Суб’єкт подання проекту рішення </w:t>
      </w:r>
    </w:p>
    <w:p w14:paraId="51ED911D" w14:textId="77777777" w:rsidR="00540354" w:rsidRDefault="00540354" w:rsidP="005403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Комунальне підприємство "Оздоровчо-реабілітаційний центр" Броварської міської ради Броварського району Київської області, БОЮН Юлія Юріївна, директор, контактні дані доповідача: +380675887393. </w:t>
      </w:r>
    </w:p>
    <w:p w14:paraId="21E4D8B5" w14:textId="77777777" w:rsidR="00540354" w:rsidRDefault="00540354" w:rsidP="00540354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35A630E" w14:textId="77777777" w:rsidR="00540354" w:rsidRDefault="00540354" w:rsidP="00540354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7. Порівняльна таблиця до проекту рішення</w:t>
      </w:r>
    </w:p>
    <w:tbl>
      <w:tblPr>
        <w:tblStyle w:val="1"/>
        <w:tblW w:w="0" w:type="auto"/>
        <w:tblInd w:w="-431" w:type="dxa"/>
        <w:tblLook w:val="04A0" w:firstRow="1" w:lastRow="0" w:firstColumn="1" w:lastColumn="0" w:noHBand="0" w:noVBand="1"/>
      </w:tblPr>
      <w:tblGrid>
        <w:gridCol w:w="707"/>
        <w:gridCol w:w="2957"/>
        <w:gridCol w:w="2403"/>
        <w:gridCol w:w="1545"/>
        <w:gridCol w:w="1351"/>
        <w:gridCol w:w="1039"/>
      </w:tblGrid>
      <w:tr w:rsidR="00540354" w14:paraId="3A320220" w14:textId="77777777" w:rsidTr="00540354">
        <w:trPr>
          <w:trHeight w:val="108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6FEFB" w14:textId="77777777" w:rsidR="00540354" w:rsidRDefault="0054035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14:paraId="44C0B66E" w14:textId="77777777" w:rsidR="00540354" w:rsidRDefault="0054035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6C3C" w14:textId="77777777" w:rsidR="00540354" w:rsidRDefault="00540354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Потреба</w:t>
            </w:r>
          </w:p>
        </w:tc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BFE35" w14:textId="77777777" w:rsidR="00540354" w:rsidRDefault="00540354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Назва підприємства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0AE0" w14:textId="77777777" w:rsidR="00540354" w:rsidRDefault="00540354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Обсяг коштів на виконання програми на 2023 р. (тис.грн.)</w:t>
            </w:r>
          </w:p>
        </w:tc>
      </w:tr>
      <w:tr w:rsidR="00540354" w14:paraId="178F434D" w14:textId="77777777" w:rsidTr="00540354">
        <w:trPr>
          <w:trHeight w:val="7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85BCB" w14:textId="77777777" w:rsidR="00540354" w:rsidRDefault="0054035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6503E" w14:textId="77777777" w:rsidR="00540354" w:rsidRDefault="00540354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117AB" w14:textId="77777777" w:rsidR="00540354" w:rsidRDefault="00540354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5B6FD" w14:textId="77777777" w:rsidR="00540354" w:rsidRDefault="00540354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було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9E6C6" w14:textId="77777777" w:rsidR="00540354" w:rsidRDefault="00540354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зміни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6EBC3" w14:textId="77777777" w:rsidR="00540354" w:rsidRDefault="00540354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стало</w:t>
            </w:r>
          </w:p>
        </w:tc>
      </w:tr>
      <w:tr w:rsidR="00540354" w14:paraId="06D6F3D1" w14:textId="77777777" w:rsidTr="0054035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5A1EF" w14:textId="77777777" w:rsidR="00540354" w:rsidRDefault="0054035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23A2C" w14:textId="77777777" w:rsidR="00540354" w:rsidRDefault="00540354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Всього, </w:t>
            </w:r>
          </w:p>
          <w:p w14:paraId="3DAE76A3" w14:textId="77777777" w:rsidR="00540354" w:rsidRDefault="0054035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 т.ч.: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A1E15" w14:textId="77777777" w:rsidR="00540354" w:rsidRDefault="00540354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КП «ОРЦ»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107C9" w14:textId="77777777" w:rsidR="00540354" w:rsidRDefault="00540354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5820,0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48309" w14:textId="77777777" w:rsidR="00540354" w:rsidRDefault="00540354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1350,0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3C204" w14:textId="77777777" w:rsidR="00540354" w:rsidRDefault="00540354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7170,0</w:t>
            </w:r>
          </w:p>
        </w:tc>
      </w:tr>
      <w:tr w:rsidR="00540354" w14:paraId="679F8DDE" w14:textId="77777777" w:rsidTr="00540354">
        <w:trPr>
          <w:trHeight w:val="6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3CAA" w14:textId="77777777" w:rsidR="00540354" w:rsidRDefault="0054035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8383F" w14:textId="77777777" w:rsidR="00540354" w:rsidRDefault="0054035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Оплата праці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B7B5" w14:textId="77777777" w:rsidR="00540354" w:rsidRDefault="0054035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E6708" w14:textId="77777777" w:rsidR="00540354" w:rsidRDefault="0054035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2200,0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3744C" w14:textId="77777777" w:rsidR="00540354" w:rsidRDefault="0054035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200,0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7202" w14:textId="77777777" w:rsidR="00540354" w:rsidRDefault="0054035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2400,0</w:t>
            </w:r>
          </w:p>
        </w:tc>
      </w:tr>
      <w:tr w:rsidR="00540354" w14:paraId="1502C6BD" w14:textId="77777777" w:rsidTr="0054035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6100" w14:textId="77777777" w:rsidR="00540354" w:rsidRDefault="0054035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037A9" w14:textId="77777777" w:rsidR="00540354" w:rsidRDefault="0054035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Нарахування на оплату праці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0F36" w14:textId="77777777" w:rsidR="00540354" w:rsidRDefault="0054035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842A9" w14:textId="77777777" w:rsidR="00540354" w:rsidRDefault="0054035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458,0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24881" w14:textId="77777777" w:rsidR="00540354" w:rsidRDefault="0054035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80,0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4580D" w14:textId="77777777" w:rsidR="00540354" w:rsidRDefault="0054035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538,0</w:t>
            </w:r>
          </w:p>
        </w:tc>
      </w:tr>
      <w:tr w:rsidR="00540354" w14:paraId="469C33DC" w14:textId="77777777" w:rsidTr="0054035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F63C" w14:textId="77777777" w:rsidR="00540354" w:rsidRDefault="0054035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930C4" w14:textId="77777777" w:rsidR="00540354" w:rsidRDefault="0054035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Електропостачання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A84C" w14:textId="77777777" w:rsidR="00540354" w:rsidRDefault="0054035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51DF5" w14:textId="77777777" w:rsidR="00540354" w:rsidRDefault="0054035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B429B" w14:textId="77777777" w:rsidR="00540354" w:rsidRDefault="0054035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265,5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6FEDD" w14:textId="77777777" w:rsidR="00540354" w:rsidRDefault="0054035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645,5</w:t>
            </w:r>
          </w:p>
        </w:tc>
      </w:tr>
      <w:tr w:rsidR="00540354" w14:paraId="608C7B6F" w14:textId="77777777" w:rsidTr="0054035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5503" w14:textId="77777777" w:rsidR="00540354" w:rsidRDefault="0054035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48FB" w14:textId="77777777" w:rsidR="00540354" w:rsidRDefault="0054035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Газопостачання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8672" w14:textId="77777777" w:rsidR="00540354" w:rsidRDefault="0054035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EA545" w14:textId="77777777" w:rsidR="00540354" w:rsidRDefault="0054035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1154,0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72A73" w14:textId="77777777" w:rsidR="00540354" w:rsidRDefault="0054035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530,9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44448" w14:textId="77777777" w:rsidR="00540354" w:rsidRDefault="0054035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1684,9</w:t>
            </w:r>
          </w:p>
        </w:tc>
      </w:tr>
      <w:tr w:rsidR="00540354" w14:paraId="1B1196F4" w14:textId="77777777" w:rsidTr="0054035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4624" w14:textId="77777777" w:rsidR="00540354" w:rsidRDefault="0054035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78D60" w14:textId="77777777" w:rsidR="00540354" w:rsidRDefault="0054035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Водопостачання, водовідведення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5B7D" w14:textId="77777777" w:rsidR="00540354" w:rsidRDefault="0054035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DAC6B" w14:textId="77777777" w:rsidR="00540354" w:rsidRDefault="0054035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108,0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C4ED4" w14:textId="77777777" w:rsidR="00540354" w:rsidRDefault="0054035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23,6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D934" w14:textId="77777777" w:rsidR="00540354" w:rsidRDefault="0054035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131,6</w:t>
            </w:r>
          </w:p>
        </w:tc>
      </w:tr>
      <w:tr w:rsidR="00540354" w14:paraId="1FB81EDB" w14:textId="77777777" w:rsidTr="0054035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DA3F" w14:textId="77777777" w:rsidR="00540354" w:rsidRDefault="0054035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960ED" w14:textId="77777777" w:rsidR="00540354" w:rsidRDefault="0054035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Матеріали, поточний ремонт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4D3A" w14:textId="77777777" w:rsidR="00540354" w:rsidRDefault="0054035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7578C" w14:textId="77777777" w:rsidR="00540354" w:rsidRDefault="0054035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304,0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69FE0" w14:textId="77777777" w:rsidR="00540354" w:rsidRDefault="0054035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044B0" w14:textId="77777777" w:rsidR="00540354" w:rsidRDefault="0054035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304,0</w:t>
            </w:r>
          </w:p>
        </w:tc>
      </w:tr>
      <w:tr w:rsidR="00540354" w14:paraId="0CBA079E" w14:textId="77777777" w:rsidTr="0054035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8867" w14:textId="77777777" w:rsidR="00540354" w:rsidRDefault="0054035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1D73E" w14:textId="77777777" w:rsidR="00540354" w:rsidRDefault="0054035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Реконструкція системи газопостачання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613B" w14:textId="77777777" w:rsidR="00540354" w:rsidRDefault="0054035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DEA14" w14:textId="77777777" w:rsidR="00540354" w:rsidRDefault="0054035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685,0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CC59" w14:textId="77777777" w:rsidR="00540354" w:rsidRDefault="0054035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125F5" w14:textId="77777777" w:rsidR="00540354" w:rsidRDefault="0054035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685,0</w:t>
            </w:r>
          </w:p>
        </w:tc>
      </w:tr>
      <w:tr w:rsidR="00540354" w14:paraId="637AFF34" w14:textId="77777777" w:rsidTr="0054035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E32E" w14:textId="77777777" w:rsidR="00540354" w:rsidRDefault="0054035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2510C" w14:textId="77777777" w:rsidR="00540354" w:rsidRDefault="0054035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покрівлі (частини)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246F" w14:textId="77777777" w:rsidR="00540354" w:rsidRDefault="0054035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E7F74" w14:textId="77777777" w:rsidR="00540354" w:rsidRDefault="0054035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531,0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C69C6" w14:textId="77777777" w:rsidR="00540354" w:rsidRDefault="0054035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2823C" w14:textId="77777777" w:rsidR="00540354" w:rsidRDefault="0054035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781,0</w:t>
            </w:r>
          </w:p>
        </w:tc>
      </w:tr>
    </w:tbl>
    <w:p w14:paraId="009D4BB4" w14:textId="77777777" w:rsidR="00540354" w:rsidRDefault="00540354" w:rsidP="005403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E07A6DF" w14:textId="77777777" w:rsidR="00540354" w:rsidRDefault="00540354" w:rsidP="005403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F2E9021" w14:textId="77777777" w:rsidR="00540354" w:rsidRDefault="00540354" w:rsidP="00540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Виконуюча обов’язки заступник міського голови</w:t>
      </w:r>
    </w:p>
    <w:p w14:paraId="485C18C1" w14:textId="77777777" w:rsidR="00540354" w:rsidRDefault="00540354" w:rsidP="00540354">
      <w:pPr>
        <w:pStyle w:val="a6"/>
        <w:spacing w:after="0"/>
        <w:jc w:val="both"/>
        <w:rPr>
          <w:szCs w:val="28"/>
        </w:rPr>
      </w:pPr>
      <w:r>
        <w:rPr>
          <w:szCs w:val="28"/>
        </w:rPr>
        <w:t>з питань діяльності виконавчих органів ради –</w:t>
      </w:r>
    </w:p>
    <w:p w14:paraId="102E8AFE" w14:textId="4398A3D3" w:rsidR="00540354" w:rsidRDefault="00540354" w:rsidP="00540354">
      <w:pPr>
        <w:pStyle w:val="a6"/>
        <w:spacing w:after="0"/>
        <w:jc w:val="both"/>
        <w:rPr>
          <w:szCs w:val="28"/>
        </w:rPr>
      </w:pPr>
      <w:r>
        <w:rPr>
          <w:szCs w:val="28"/>
        </w:rPr>
        <w:t>керуючий справами виконавчого комітету               Людмила Л</w:t>
      </w:r>
      <w:r w:rsidR="00744ADE">
        <w:rPr>
          <w:szCs w:val="28"/>
        </w:rPr>
        <w:t>Е</w:t>
      </w:r>
      <w:r>
        <w:rPr>
          <w:szCs w:val="28"/>
        </w:rPr>
        <w:t>НЧИЦЬКА</w:t>
      </w:r>
    </w:p>
    <w:p w14:paraId="50A5B8B2" w14:textId="77777777" w:rsidR="00540354" w:rsidRDefault="00540354" w:rsidP="005403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540354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473822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40354"/>
    <w:rsid w:val="005B1C08"/>
    <w:rsid w:val="005F334B"/>
    <w:rsid w:val="00696599"/>
    <w:rsid w:val="006C396C"/>
    <w:rsid w:val="00744ADE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CC9A8"/>
  <w15:docId w15:val="{75FA3EB0-1B2E-4635-821E-E336EFD0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540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customStyle="1" w:styleId="1">
    <w:name w:val="Сетка таблицы1"/>
    <w:basedOn w:val="a1"/>
    <w:uiPriority w:val="39"/>
    <w:rsid w:val="00540354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semiHidden/>
    <w:unhideWhenUsed/>
    <w:rsid w:val="00540354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character" w:customStyle="1" w:styleId="a7">
    <w:name w:val="Основной текст Знак"/>
    <w:basedOn w:val="a0"/>
    <w:link w:val="a6"/>
    <w:semiHidden/>
    <w:rsid w:val="00540354"/>
    <w:rPr>
      <w:rFonts w:ascii="Times New Roman" w:eastAsia="Times New Roman" w:hAnsi="Times New Roman" w:cs="Times New Roman"/>
      <w:sz w:val="28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5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2114</Words>
  <Characters>1206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18</cp:revision>
  <dcterms:created xsi:type="dcterms:W3CDTF">2021-03-03T14:03:00Z</dcterms:created>
  <dcterms:modified xsi:type="dcterms:W3CDTF">2023-11-08T11:56:00Z</dcterms:modified>
</cp:coreProperties>
</file>