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Пояснювальна записка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jc w:val="center"/>
                          <w:textAlignment w:val="auto"/>
                          <w:outlineLvl w:val="9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textAlignment w:val="auto"/>
                          <w:outlineLvl w:val="9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keepNext w:val="0"/>
                          <w:keepLines w:val="0"/>
                          <w:pageBreakBefore w:val="0"/>
                          <w:suppressLineNumbers w:val="0"/>
                          <w:shd w:val="clear" w:color="auto" w:fill="auto"/>
                          <w:suppressAutoHyphens w:val="0"/>
                          <w:wordWrap/>
                          <w:autoSpaceDE/>
                          <w:autoSpaceDN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contextualSpacing w:val="0"/>
                          <w:jc w:val="center"/>
                          <w:textAlignment w:val="auto"/>
                          <w:outlineLvl w:val="9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до проекту рішення «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Про  внесення змін до Програми 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надання соціальної та правової допомоги демобілізованим 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столітті   на 2022-2026 роки»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YIII</w:t>
      </w:r>
      <w:r>
        <w:rPr>
          <w:rFonts w:ascii="Times New Roman" w:hAnsi="Times New Roman"/>
          <w:color w:val="000000"/>
          <w:sz w:val="28"/>
          <w:szCs w:val="28"/>
        </w:rPr>
        <w:t xml:space="preserve"> скликання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>
      <w:pPr>
        <w:spacing w:beforeAutospacing="0" w:after="0" w:afterAutospacing="0" w:line="240" w:lineRule="auto"/>
        <w:ind w:right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>
      <w:pPr>
        <w:numPr>
          <w:ilvl w:val="0"/>
          <w:numId w:val="2"/>
        </w:numPr>
        <w:tabs>
          <w:tab w:val="left" w:pos="851"/>
        </w:tabs>
        <w:spacing w:beforeAutospacing="0" w:after="0" w:afterAutospacing="0" w:line="240" w:lineRule="auto"/>
        <w:ind w:left="0" w:right="36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рішення.</w:t>
      </w:r>
    </w:p>
    <w:p>
      <w:pPr>
        <w:tabs>
          <w:tab w:val="left" w:pos="851"/>
        </w:tabs>
        <w:spacing w:beforeAutospacing="0" w:after="0" w:afterAutospacing="0" w:line="240" w:lineRule="auto"/>
        <w:ind w:left="567" w:righ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ind w:right="-8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З метою ефективного використання коштів місцевого бюджету та надання матеріальної підтримки членам сімей загиблих (померлих) ветеранів війни, </w:t>
      </w:r>
      <w:r>
        <w:rPr>
          <w:rFonts w:ascii="Times New Roman" w:hAnsi="Times New Roman"/>
          <w:sz w:val="28"/>
          <w:szCs w:val="28"/>
          <w:lang w:val="uk-UA"/>
        </w:rPr>
        <w:t xml:space="preserve">які приймали участь в антитерористичній 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операції / операції Об’єднаних сил та в заходах щодо забезпечення відсічі збройної агресії російської федерації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є</w:t>
      </w:r>
      <w:r>
        <w:rPr>
          <w:rStyle w:val="docdata"/>
          <w:rFonts w:ascii="Times New Roman" w:hAnsi="Times New Roman"/>
          <w:sz w:val="28"/>
          <w:szCs w:val="28"/>
          <w:lang w:val="uk-UA"/>
        </w:rPr>
        <w:t xml:space="preserve"> необхідність у збільшенні </w:t>
      </w:r>
      <w:r>
        <w:rPr>
          <w:rFonts w:ascii="Times New Roman" w:hAnsi="Times New Roman"/>
          <w:sz w:val="28"/>
          <w:szCs w:val="28"/>
          <w:lang w:val="uk-UA"/>
        </w:rPr>
        <w:t>обсягу фінансування заходу Програми «Надання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тис.грн.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1000,0 тис. грн. та встановлення  загального обсягу фінансування заходу, необхідного для реалізації Програми у 2023 році у сумі – </w:t>
      </w:r>
      <w:r>
        <w:rPr>
          <w:rFonts w:ascii="Times New Roman" w:hAnsi="Times New Roman"/>
          <w:b/>
          <w:sz w:val="28"/>
          <w:szCs w:val="28"/>
          <w:lang w:val="uk-UA"/>
        </w:rPr>
        <w:t>3000,0 тис. грн.</w:t>
      </w:r>
    </w:p>
    <w:p>
      <w:pPr>
        <w:tabs>
          <w:tab w:val="left" w:pos="9354"/>
        </w:tabs>
        <w:spacing w:beforeAutospacing="0" w:after="0" w:afterAutospacing="0" w:line="240" w:lineRule="auto"/>
        <w:ind w:right="-144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є необхідність у </w:t>
      </w:r>
      <w:r>
        <w:rPr>
          <w:rStyle w:val="docdata"/>
          <w:rFonts w:ascii="Times New Roman" w:hAnsi="Times New Roman"/>
          <w:sz w:val="28"/>
          <w:szCs w:val="28"/>
          <w:lang w:val="uk-UA"/>
        </w:rPr>
        <w:t xml:space="preserve">збільшенні </w:t>
      </w:r>
      <w:r>
        <w:rPr>
          <w:rFonts w:ascii="Times New Roman" w:hAnsi="Times New Roman"/>
          <w:sz w:val="28"/>
          <w:szCs w:val="28"/>
          <w:lang w:val="uk-UA"/>
        </w:rPr>
        <w:t>обсягу фінансування заходу Програми «Забезпечення  відшкодування витрат на поховання загиблих (померлих) учасників антитерористичної операції/операції Об'єднаних сил, військовослужбовців, членів підрозділів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 </w:t>
      </w:r>
      <w:r>
        <w:rPr>
          <w:rFonts w:ascii="Times New Roman" w:hAnsi="Times New Roman"/>
          <w:sz w:val="28"/>
          <w:szCs w:val="28"/>
          <w:lang w:val="uk-UA"/>
        </w:rPr>
        <w:t xml:space="preserve">також постраждалих учасників Революції Гідності та бійців добровольців АТО» на 200,4 тис.грн. та встановлення загального обсягу фінансування заходу,   необхідного для реалізації Програми у 2023 році у сумі – </w:t>
      </w:r>
      <w:r>
        <w:rPr>
          <w:rFonts w:ascii="Times New Roman" w:hAnsi="Times New Roman"/>
          <w:b/>
          <w:sz w:val="28"/>
          <w:szCs w:val="28"/>
          <w:lang w:val="uk-UA"/>
        </w:rPr>
        <w:t>875,4 тис.грн.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>
      <w:pPr>
        <w:tabs>
          <w:tab w:val="left" w:pos="851"/>
        </w:tabs>
        <w:spacing w:beforeAutospacing="0" w:after="0" w:afterAutospacing="0" w:line="240" w:lineRule="auto"/>
        <w:ind w:right="-8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ListParagraph"/>
        <w:numPr>
          <w:ilvl w:val="0"/>
          <w:numId w:val="2"/>
        </w:num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</w:t>
      </w:r>
    </w:p>
    <w:p>
      <w:pPr>
        <w:pStyle w:val="ListParagraph"/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before="60" w:beforeAutospacing="0" w:after="0" w:afterAutospacing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Метою здійснення заходу Програми є н</w:t>
      </w:r>
      <w:r>
        <w:rPr>
          <w:rFonts w:ascii="Times New Roman" w:hAnsi="Times New Roman"/>
          <w:sz w:val="28"/>
          <w:szCs w:val="28"/>
          <w:lang w:val="uk-UA"/>
        </w:rPr>
        <w:t xml:space="preserve">адання одноразової грошової допомоги членам сімей загиблих (померлих) ветеранів війни, які приймали участь в антитерористичній  операції / операції Об’єднаних сил 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>
      <w:pPr>
        <w:tabs>
          <w:tab w:val="left" w:pos="851"/>
        </w:tabs>
        <w:spacing w:beforeAutospacing="0" w:after="0" w:afterAutospacing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Досягнення мети –  збільшення фінансування заходу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«Н</w:t>
      </w:r>
      <w:r>
        <w:rPr>
          <w:rFonts w:ascii="Times New Roman" w:hAnsi="Times New Roman"/>
          <w:sz w:val="28"/>
          <w:szCs w:val="28"/>
          <w:lang w:val="uk-UA"/>
        </w:rPr>
        <w:t>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тис.грн.» шляхом виділення додаткових коштів.</w:t>
      </w:r>
    </w:p>
    <w:p>
      <w:pPr>
        <w:tabs>
          <w:tab w:val="left" w:pos="851"/>
        </w:tabs>
        <w:spacing w:beforeAutospacing="0" w:after="0" w:afterAutospacing="0" w:line="240" w:lineRule="auto"/>
        <w:ind w:right="-8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Ш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ляхом </w:t>
      </w:r>
      <w:r>
        <w:rPr>
          <w:rFonts w:ascii="Times New Roman" w:hAnsi="Times New Roman"/>
          <w:sz w:val="28"/>
          <w:szCs w:val="28"/>
          <w:lang w:val="uk-UA"/>
        </w:rPr>
        <w:t>перерозподілу коштів в межах Програми буде збільшено фінансування заходу «Забезпечення  відшкодування витрат на поховання загиблих (померлих) учасників антитерористичної операції/операції Об'єднаних сил, військовослужбовців, членів підрозділів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 </w:t>
      </w:r>
      <w:r>
        <w:rPr>
          <w:rFonts w:ascii="Times New Roman" w:hAnsi="Times New Roman"/>
          <w:sz w:val="28"/>
          <w:szCs w:val="28"/>
          <w:lang w:val="uk-UA"/>
        </w:rPr>
        <w:t>також постраждалих учасників Революції Гідності та бійців добровольців АТО».</w:t>
      </w:r>
    </w:p>
    <w:p>
      <w:pPr>
        <w:pStyle w:val="ListParagraph"/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ListParagraph"/>
        <w:numPr>
          <w:ilvl w:val="0"/>
          <w:numId w:val="3"/>
        </w:num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>
      <w:pPr>
        <w:pStyle w:val="ListParagraph"/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Пункт 2  статті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сесії Броварської міської ради Київської області від 23.12.2021 р. № 604-19-08 «Про  затвердження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  <w:lang w:val="uk-UA"/>
        </w:rPr>
        <w:t xml:space="preserve"> столітті   на 2022-2026 роки» (зі змінами)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>
      <w:pPr>
        <w:numPr>
          <w:ilvl w:val="0"/>
          <w:numId w:val="3"/>
        </w:num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>
      <w:pPr>
        <w:spacing w:beforeAutospacing="0" w:after="0" w:afterAutospacing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tabs>
          <w:tab w:val="left" w:pos="9356"/>
        </w:tabs>
        <w:spacing w:beforeAutospacing="0" w:after="0" w:afterAutospacing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Для виконання заходу Програми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«Н</w:t>
      </w:r>
      <w:r>
        <w:rPr>
          <w:rFonts w:ascii="Times New Roman" w:hAnsi="Times New Roman"/>
          <w:sz w:val="28"/>
          <w:szCs w:val="28"/>
          <w:lang w:val="uk-UA"/>
        </w:rPr>
        <w:t>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тис.грн.»</w:t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пропонується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встановити загальний обсяг фінансування, необхідного для реалізації Програми на 2023 рік 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– 3000,0</w:t>
      </w:r>
      <w:r>
        <w:rPr>
          <w:rFonts w:ascii="Times New Roman" w:hAnsi="Times New Roman"/>
          <w:b/>
          <w:color w:val="000000"/>
          <w:sz w:val="28"/>
          <w:szCs w:val="28"/>
          <w:lang w:val="uk-UA" w:eastAsia="en-US"/>
        </w:rPr>
        <w:t xml:space="preserve"> тис. грн. </w:t>
      </w:r>
    </w:p>
    <w:p>
      <w:pPr>
        <w:tabs>
          <w:tab w:val="left" w:pos="709"/>
          <w:tab w:val="left" w:pos="9356"/>
        </w:tabs>
        <w:spacing w:beforeAutospacing="0" w:after="0" w:afterAutospacing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З   метою забезпечення осіб,   яким встановлюється статус члена сім’ї загиблого Захисника чи Захисниці України та потребою у наданні одноразової грошової допомоги для вирішення соціально-побутових питань</w:t>
      </w:r>
    </w:p>
    <w:p>
      <w:pPr>
        <w:tabs>
          <w:tab w:val="left" w:pos="709"/>
          <w:tab w:val="left" w:pos="9356"/>
        </w:tabs>
        <w:spacing w:beforeAutospacing="0" w:after="0" w:afterAutospacing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в тому числі, на встановлення або відшкодування за встановлення надгробного пам’ятника ) </w:t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 xml:space="preserve">ропонується збільшити фінансування цього заходу на </w:t>
      </w:r>
      <w:r>
        <w:rPr>
          <w:rFonts w:ascii="Times New Roman" w:hAnsi="Times New Roman"/>
          <w:b/>
          <w:sz w:val="28"/>
          <w:szCs w:val="28"/>
          <w:lang w:val="uk-UA"/>
        </w:rPr>
        <w:t>1000,0</w:t>
      </w:r>
      <w:r>
        <w:rPr>
          <w:rFonts w:ascii="Times New Roman" w:hAnsi="Times New Roman"/>
          <w:sz w:val="28"/>
          <w:szCs w:val="28"/>
          <w:lang w:val="uk-UA"/>
        </w:rPr>
        <w:t xml:space="preserve"> тис.грн.</w:t>
      </w:r>
    </w:p>
    <w:p>
      <w:pPr>
        <w:tabs>
          <w:tab w:val="left" w:pos="709"/>
          <w:tab w:val="left" w:pos="9356"/>
        </w:tabs>
        <w:spacing w:beforeAutospacing="0" w:after="0" w:afterAutospacing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проведеного  аналізу  фактичного використання коштів по заходам Програми пропонується зменшити фінансування заходів, кошти яких не будуть використані до кінця поточного року, а саме:</w:t>
      </w:r>
    </w:p>
    <w:p>
      <w:pPr>
        <w:spacing w:beforeAutospacing="0" w:after="0" w:afterAutospacing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в пункті 1.23. – надання одноразової грошової допомоги членам сімей загиблих (померлих) ветеранів війни, які приймали участь в антитерористичній операції / операції Об’єднаних сил 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федерації,</w:t>
      </w:r>
      <w:r>
        <w:rPr>
          <w:rFonts w:ascii="Times New Roman" w:hAnsi="Times New Roman"/>
          <w:sz w:val="28"/>
          <w:szCs w:val="28"/>
          <w:lang w:val="uk-UA"/>
        </w:rPr>
        <w:t xml:space="preserve"> до Дня захисників і захисниць України у розмірі прожиткового мінімуму для осіб працездатного віку, зменшити обсяг фінансування на 34,9 тис. грн. та встановити загальний обсяг фінансування заходу на 2023 рік – 475,1 тис. грн.</w:t>
      </w:r>
    </w:p>
    <w:p>
      <w:pPr>
        <w:tabs>
          <w:tab w:val="left" w:pos="851"/>
        </w:tabs>
        <w:spacing w:beforeAutospacing="0" w:after="0" w:afterAutospacing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в пункті 2.10. – забезпечення  санаторно-курортним лікуванням членів сімей загиблих</w:t>
      </w:r>
      <w:r>
        <w:rPr>
          <w:rStyle w:val="docdata"/>
          <w:rFonts w:ascii="Times New Roman" w:hAnsi="Times New Roman"/>
          <w:sz w:val="28"/>
          <w:szCs w:val="28"/>
          <w:lang w:val="uk-UA"/>
        </w:rPr>
        <w:t xml:space="preserve"> (померлих) </w:t>
      </w:r>
      <w:r>
        <w:rPr>
          <w:rFonts w:ascii="Times New Roman" w:hAnsi="Times New Roman"/>
          <w:sz w:val="28"/>
          <w:szCs w:val="28"/>
          <w:lang w:val="uk-UA"/>
        </w:rPr>
        <w:t xml:space="preserve">ветеранів війни, які приймали  </w:t>
      </w:r>
      <w:r>
        <w:rPr>
          <w:rStyle w:val="docdata"/>
          <w:rFonts w:ascii="Times New Roman" w:hAnsi="Times New Roman"/>
          <w:sz w:val="28"/>
          <w:szCs w:val="28"/>
          <w:lang w:val="uk-UA"/>
        </w:rPr>
        <w:t>участь в  антитерористичній операції/операції Об’єднаних сил та в заходах щодо забезпечення відсічі збройної агресії російської федерації,</w:t>
      </w:r>
      <w:r>
        <w:rPr>
          <w:rFonts w:ascii="Times New Roman" w:hAnsi="Times New Roman"/>
          <w:sz w:val="28"/>
          <w:szCs w:val="28"/>
          <w:lang w:val="uk-UA"/>
        </w:rPr>
        <w:t xml:space="preserve"> зменшити обсяг фінансування на 165,5 тис.грн. та встановити загальний обсяг фінансування заходу на 2023 рік – 671,5 тис. грн.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</w:t>
      </w:r>
    </w:p>
    <w:p>
      <w:pPr>
        <w:tabs>
          <w:tab w:val="left" w:pos="567"/>
        </w:tabs>
        <w:spacing w:beforeAutospacing="0" w:after="0" w:afterAutospacing="0" w:line="240" w:lineRule="auto"/>
        <w:ind w:right="-8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>
      <w:pPr>
        <w:tabs>
          <w:tab w:val="left" w:pos="9356"/>
        </w:tabs>
        <w:spacing w:beforeAutospacing="0" w:after="0" w:afterAutospacing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отреба у виділенні додаткових коштів на заходи Програми складає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1000,0 тис.грн.   </w:t>
      </w:r>
    </w:p>
    <w:p>
      <w:pPr>
        <w:pStyle w:val="ListParagraph"/>
        <w:tabs>
          <w:tab w:val="left" w:pos="-7380"/>
          <w:tab w:val="left" w:pos="0"/>
          <w:tab w:val="left" w:pos="284"/>
          <w:tab w:val="left" w:pos="993"/>
        </w:tabs>
        <w:spacing w:beforeAutospacing="0" w:after="0" w:afterAutospacing="0" w:line="240" w:lineRule="auto"/>
        <w:ind w:left="0" w:right="-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>
      <w:pPr>
        <w:pStyle w:val="ListParagraph"/>
        <w:tabs>
          <w:tab w:val="left" w:pos="-7380"/>
          <w:tab w:val="left" w:pos="0"/>
          <w:tab w:val="left" w:pos="284"/>
          <w:tab w:val="left" w:pos="993"/>
        </w:tabs>
        <w:spacing w:beforeAutospacing="0" w:after="0" w:afterAutospacing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Загальний обсяг фінансування Програми на 2023 рік становитиме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 5726,6 тис. грн.</w:t>
      </w:r>
    </w:p>
    <w:p>
      <w:pPr>
        <w:pStyle w:val="ListParagraph"/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>
      <w:pPr>
        <w:pStyle w:val="ListParagraph"/>
        <w:numPr>
          <w:ilvl w:val="0"/>
          <w:numId w:val="3"/>
        </w:num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Додаткове виділення  коштів забезпечить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надання одноразової грошової допомоги членам сімей загиблих ветеранів війни, які приймали участь в</w:t>
      </w:r>
      <w:r>
        <w:rPr>
          <w:rStyle w:val="docdata"/>
          <w:rFonts w:ascii="Times New Roman" w:hAnsi="Times New Roman"/>
          <w:sz w:val="28"/>
          <w:szCs w:val="28"/>
          <w:lang w:val="uk-UA"/>
        </w:rPr>
        <w:t xml:space="preserve"> антитерористичній операції / операції Об’єднаних сил та в заходах щодо забезпечення відсічі збройної агресії російської федерації для вирішення соціально-побутових питань ( в тому числі, на встановлення або відшкодування за встановлення надгробного пам’ятника)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Перерозподіл коштів між заходами Програми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забезпечить відшкодування витрат на поховання загиблих (померлих) учасників антитерористичної операції/операції Об'єднаних сил, військовослужбовців, членів підрозділів територіальної оборони та добровольчих формувань, що загинули під час участі в заходах щодо забезпечення відсічі збройної агресії російської федерації,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 </w:t>
      </w:r>
      <w:r>
        <w:rPr>
          <w:rFonts w:ascii="Times New Roman" w:hAnsi="Times New Roman"/>
          <w:sz w:val="28"/>
          <w:szCs w:val="28"/>
          <w:lang w:val="uk-UA"/>
        </w:rPr>
        <w:t>також постраждалих учасників Революції Гідності та бійців добровольців АТО.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>
      <w:pPr>
        <w:pStyle w:val="ListParagraph"/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Суб’єкт подання проекту рішення</w:t>
      </w:r>
    </w:p>
    <w:p>
      <w:pPr>
        <w:pStyle w:val="ListParagraph"/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Доповідач: начальник управління  - Алла Іванівна Петренко (контактний телефон 4-61-00).</w:t>
      </w:r>
    </w:p>
    <w:p>
      <w:pPr>
        <w:pStyle w:val="ListParagraph"/>
        <w:spacing w:beforeAutospacing="0" w:after="0" w:afterAutospacing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заступник начальника управління – начальник відділу соціальних гарантій – Карасьова Лариса Віталіївна  (контактний телефон 6-01-47).</w:t>
      </w: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>
      <w:pPr>
        <w:pStyle w:val="ListParagraph"/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7.Порівняльна таблиця</w:t>
      </w:r>
    </w:p>
    <w:p>
      <w:pPr>
        <w:pStyle w:val="ListParagraph"/>
        <w:spacing w:beforeAutospacing="0" w:after="0" w:afterAutospacing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2"/>
        <w:gridCol w:w="3956"/>
        <w:gridCol w:w="1430"/>
        <w:gridCol w:w="1559"/>
        <w:gridCol w:w="1689"/>
      </w:tblGrid>
      <w:tr>
        <w:tblPrEx>
          <w:tblW w:w="961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 порядком</w:t>
            </w:r>
          </w:p>
        </w:tc>
        <w:tc>
          <w:tcPr>
            <w:tcW w:w="3956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фінансування </w:t>
            </w:r>
          </w:p>
        </w:tc>
      </w:tr>
      <w:tr>
        <w:tblPrEx>
          <w:tblW w:w="9616" w:type="dxa"/>
          <w:jc w:val="center"/>
          <w:tblLayout w:type="fixed"/>
          <w:tblLook w:val="04A0"/>
        </w:tblPrEx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Було, тис. грн.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Зміни, +/-, тис. грн.</w:t>
            </w:r>
          </w:p>
        </w:tc>
        <w:tc>
          <w:tcPr>
            <w:tcW w:w="1689" w:type="dxa"/>
            <w:shd w:val="clear" w:color="auto" w:fill="auto"/>
            <w:vAlign w:val="center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Стало, тис. грн.</w:t>
            </w:r>
          </w:p>
        </w:tc>
      </w:tr>
      <w:tr>
        <w:tblPrEx>
          <w:tblW w:w="9616" w:type="dxa"/>
          <w:jc w:val="center"/>
          <w:tblLayout w:type="fixed"/>
          <w:tblLook w:val="04A0"/>
        </w:tblPrEx>
        <w:trPr>
          <w:trHeight w:val="1012"/>
          <w:jc w:val="center"/>
        </w:trPr>
        <w:tc>
          <w:tcPr>
            <w:tcW w:w="982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56" w:type="dxa"/>
            <w:shd w:val="clear" w:color="auto" w:fill="auto"/>
          </w:tcPr>
          <w:p>
            <w:pPr>
              <w:spacing w:beforeAutospacing="0" w:after="0" w:afterAutospacing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одноразової грошової допомоги членам сімей загиблих (померлих) ветеранів війни, які приймали участь в антитерористичній операції / операції Об’єднаних сил 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в заходах щодо забезпечення відсічі збройної агресії російської федерації,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Дня захисників і захисниць України у розмірі прожиткового мінімуму для осіб працездатного віку</w:t>
            </w:r>
          </w:p>
        </w:tc>
        <w:tc>
          <w:tcPr>
            <w:tcW w:w="1430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510,0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-34,9</w:t>
            </w:r>
          </w:p>
        </w:tc>
        <w:tc>
          <w:tcPr>
            <w:tcW w:w="1689" w:type="dxa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475,1</w:t>
            </w:r>
          </w:p>
        </w:tc>
      </w:tr>
      <w:tr>
        <w:tblPrEx>
          <w:tblW w:w="9616" w:type="dxa"/>
          <w:jc w:val="center"/>
          <w:tblLayout w:type="fixed"/>
          <w:tblLook w:val="04A0"/>
        </w:tblPrEx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6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абезпечення відшкодування витрат на поховання загиблих (померлих) учасників антитерористичної операції/операції Об'єднаних сил, військовослужбовців, членів підрозділів територіальної оборони та добровольчих формувань, що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загинули під час участі в заходах щодо забезпечення відсічі збройної агресії російської федерації, 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також постраждалих учасників Революції Гідності та бійців добровольців АТО</w:t>
            </w:r>
          </w:p>
        </w:tc>
        <w:tc>
          <w:tcPr>
            <w:tcW w:w="1430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675,0</w:t>
            </w:r>
          </w:p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+ 200,4</w:t>
            </w:r>
          </w:p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875,4</w:t>
            </w:r>
          </w:p>
        </w:tc>
      </w:tr>
      <w:tr>
        <w:tblPrEx>
          <w:tblW w:w="9616" w:type="dxa"/>
          <w:jc w:val="center"/>
          <w:tblLayout w:type="fixed"/>
          <w:tblLook w:val="04A0"/>
        </w:tblPrEx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56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1.28.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надання одноразової грошової допомоги одному із членів сім’ї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 – побутових питань ( в тому числі, на встановлення або відшкодування за встановлення надгробного пам’ятника ) у розмірі 50,0 тис.грн.</w:t>
            </w:r>
          </w:p>
        </w:tc>
        <w:tc>
          <w:tcPr>
            <w:tcW w:w="1430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2000,0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+1000,0</w:t>
            </w:r>
          </w:p>
        </w:tc>
        <w:tc>
          <w:tcPr>
            <w:tcW w:w="1689" w:type="dxa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3000,0</w:t>
            </w:r>
          </w:p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>
          <w:tblW w:w="9616" w:type="dxa"/>
          <w:jc w:val="center"/>
          <w:tblLayout w:type="fixed"/>
          <w:tblLook w:val="04A0"/>
        </w:tblPrEx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56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2.10.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забезпечення  санаторно-курортним лікуванням членів сімей загиблих</w:t>
            </w:r>
            <w:r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 xml:space="preserve"> (померлих)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ветеранів війни, які приймали  </w:t>
            </w:r>
            <w:r>
              <w:rPr>
                <w:rStyle w:val="docdata"/>
                <w:rFonts w:ascii="Times New Roman" w:hAnsi="Times New Roman"/>
                <w:sz w:val="28"/>
                <w:szCs w:val="28"/>
                <w:lang w:val="uk-UA"/>
              </w:rPr>
              <w:t>участь в  антитерористичній операції/операції Об’єднаних сил та в заходах щодо забезпечення відсічі збройної агресії російської федерації</w:t>
            </w:r>
          </w:p>
        </w:tc>
        <w:tc>
          <w:tcPr>
            <w:tcW w:w="1430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837,0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165,5</w:t>
            </w:r>
          </w:p>
        </w:tc>
        <w:tc>
          <w:tcPr>
            <w:tcW w:w="1689" w:type="dxa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671,5</w:t>
            </w:r>
          </w:p>
        </w:tc>
      </w:tr>
      <w:tr>
        <w:tblPrEx>
          <w:tblW w:w="9616" w:type="dxa"/>
          <w:jc w:val="center"/>
          <w:tblLayout w:type="fixed"/>
          <w:tblLook w:val="04A0"/>
        </w:tblPrEx>
        <w:trPr>
          <w:trHeight w:val="984"/>
          <w:jc w:val="center"/>
        </w:trPr>
        <w:tc>
          <w:tcPr>
            <w:tcW w:w="982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по заходах:</w:t>
            </w:r>
          </w:p>
        </w:tc>
        <w:tc>
          <w:tcPr>
            <w:tcW w:w="1430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4022,0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689" w:type="dxa"/>
          </w:tcPr>
          <w:p>
            <w:pPr>
              <w:pStyle w:val="ListParagraph"/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5022,0</w:t>
            </w:r>
          </w:p>
        </w:tc>
      </w:tr>
    </w:tbl>
    <w:p>
      <w:pPr>
        <w:spacing w:beforeAutospacing="0" w:after="0" w:afterAutospacing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>
      <w:pPr>
        <w:pStyle w:val="ListParagraph"/>
        <w:spacing w:beforeAutospacing="0" w:after="0" w:afterAutospacing="0" w:line="240" w:lineRule="auto"/>
        <w:ind w:left="360"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Начальник управління                                                 Алла ПЕТРЕНКО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sectPr>
      <w:type w:val="nextPage"/>
      <w:pgSz w:w="11906" w:h="16838" w:code="0"/>
      <w:pgMar w:top="851" w:right="851" w:bottom="539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00000000" w:usb1="00000000" w:usb2="00000000" w:usb3="00000000" w:csb0="000001FE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F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7A2D8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A2729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EA77E39"/>
    <w:multiLevelType w:val="hybridMultilevel"/>
    <w:tmpl w:val="00000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B683A"/>
    <w:rsid w:val="00374364"/>
    <w:rsid w:val="006963FA"/>
    <w:rsid w:val="009D1EC6"/>
    <w:rsid w:val="00DC4FD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ru-RU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lang w:eastAsia="en-US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docdata">
    <w:name w:val="docdata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ASKOD</cp:lastModifiedBy>
  <cp:revision>16</cp:revision>
  <dcterms:created xsi:type="dcterms:W3CDTF">2021-03-03T14:03:00Z</dcterms:created>
  <dcterms:modified xsi:type="dcterms:W3CDTF">2023-11-08T14:35:52Z</dcterms:modified>
</cp:coreProperties>
</file>