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52BA" w14:textId="77777777" w:rsidR="00521189" w:rsidRDefault="00521189" w:rsidP="00521189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>Додаток</w:t>
      </w:r>
      <w:r w:rsidRPr="0044387B">
        <w:rPr>
          <w:rFonts w:ascii="Times New Roman" w:hAnsi="Times New Roman"/>
          <w:sz w:val="28"/>
          <w:szCs w:val="28"/>
        </w:rPr>
        <w:t xml:space="preserve"> №</w:t>
      </w:r>
      <w:r w:rsidRPr="0044387B">
        <w:rPr>
          <w:rFonts w:ascii="Times New Roman" w:hAnsi="Times New Roman"/>
          <w:sz w:val="28"/>
          <w:szCs w:val="28"/>
          <w:lang w:val="uk-UA"/>
        </w:rPr>
        <w:t>1 до Програми</w:t>
      </w:r>
    </w:p>
    <w:p w14:paraId="47AF59AD" w14:textId="77777777" w:rsidR="00521189" w:rsidRDefault="00521189" w:rsidP="0052118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від 21.12.2017 року</w:t>
      </w:r>
    </w:p>
    <w:p w14:paraId="5BC9DA37" w14:textId="035E83E4" w:rsidR="00521189" w:rsidRPr="005C3E26" w:rsidRDefault="00521189" w:rsidP="0052118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№771-36-07</w:t>
      </w:r>
    </w:p>
    <w:p w14:paraId="69C553B5" w14:textId="77777777" w:rsidR="00521189" w:rsidRPr="001561C0" w:rsidRDefault="00521189" w:rsidP="00521189">
      <w:pPr>
        <w:pStyle w:val="a3"/>
        <w:jc w:val="center"/>
        <w:rPr>
          <w:b/>
          <w:color w:val="000000"/>
          <w:sz w:val="28"/>
          <w:szCs w:val="28"/>
        </w:rPr>
      </w:pPr>
      <w:r w:rsidRPr="001561C0">
        <w:rPr>
          <w:b/>
          <w:color w:val="000000"/>
          <w:sz w:val="28"/>
          <w:szCs w:val="28"/>
        </w:rPr>
        <w:t>ПОРЯДОК</w:t>
      </w:r>
    </w:p>
    <w:p w14:paraId="52293DE4" w14:textId="77777777" w:rsidR="00521189" w:rsidRPr="009252E9" w:rsidRDefault="00521189" w:rsidP="00521189">
      <w:pPr>
        <w:pStyle w:val="a3"/>
        <w:jc w:val="center"/>
        <w:rPr>
          <w:b/>
          <w:color w:val="000000"/>
          <w:sz w:val="28"/>
          <w:szCs w:val="28"/>
          <w:lang w:val="uk-UA"/>
        </w:rPr>
      </w:pPr>
      <w:r w:rsidRPr="001561C0">
        <w:rPr>
          <w:b/>
          <w:color w:val="000000"/>
          <w:sz w:val="28"/>
          <w:szCs w:val="28"/>
        </w:rPr>
        <w:t>повного</w:t>
      </w:r>
      <w:r w:rsidRPr="001561C0">
        <w:rPr>
          <w:b/>
          <w:color w:val="000000"/>
          <w:sz w:val="28"/>
          <w:szCs w:val="28"/>
          <w:lang w:val="uk-UA"/>
        </w:rPr>
        <w:t xml:space="preserve"> або </w:t>
      </w:r>
      <w:r w:rsidRPr="001561C0">
        <w:rPr>
          <w:b/>
          <w:color w:val="000000"/>
          <w:sz w:val="28"/>
          <w:szCs w:val="28"/>
        </w:rPr>
        <w:t>часткового відшкодування вартості лікарських засобів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14:paraId="13382654" w14:textId="77777777" w:rsidR="00521189" w:rsidRPr="00194584" w:rsidRDefault="00521189" w:rsidP="00521189">
      <w:pPr>
        <w:pStyle w:val="a3"/>
        <w:jc w:val="both"/>
        <w:rPr>
          <w:color w:val="000000"/>
          <w:sz w:val="28"/>
          <w:szCs w:val="28"/>
          <w:lang w:val="uk-UA"/>
        </w:rPr>
      </w:pPr>
      <w:r w:rsidRPr="0011413B">
        <w:rPr>
          <w:color w:val="000000"/>
          <w:sz w:val="28"/>
          <w:szCs w:val="28"/>
          <w:lang w:val="uk-UA"/>
        </w:rPr>
        <w:t>1. 1. Цей порядок визначає механізм повного або часткового відшкодування вартості лікарських засобів суб’єктам господарювання,</w:t>
      </w:r>
      <w:r>
        <w:rPr>
          <w:color w:val="000000"/>
          <w:sz w:val="28"/>
          <w:szCs w:val="28"/>
          <w:lang w:val="uk-UA"/>
        </w:rPr>
        <w:t xml:space="preserve"> </w:t>
      </w:r>
      <w:r w:rsidRPr="0011413B">
        <w:rPr>
          <w:color w:val="000000"/>
          <w:sz w:val="28"/>
          <w:szCs w:val="28"/>
          <w:lang w:val="uk-UA"/>
        </w:rPr>
        <w:t xml:space="preserve"> які</w:t>
      </w:r>
      <w:r>
        <w:rPr>
          <w:color w:val="000000"/>
          <w:sz w:val="28"/>
          <w:szCs w:val="28"/>
          <w:lang w:val="uk-UA"/>
        </w:rPr>
        <w:t xml:space="preserve"> уклали Договір на повне або часткове відшкодування вартості лікарських засобів та </w:t>
      </w:r>
      <w:r w:rsidRPr="0011413B">
        <w:rPr>
          <w:color w:val="000000"/>
          <w:sz w:val="28"/>
          <w:szCs w:val="28"/>
          <w:lang w:val="uk-UA"/>
        </w:rPr>
        <w:t xml:space="preserve">проводять господарську діяльність на підставі ліцензії на провадження господарської діяльності з роздрібної торгівлі лікарськими засобами, розташованим </w:t>
      </w:r>
      <w:r>
        <w:rPr>
          <w:color w:val="000000"/>
          <w:sz w:val="28"/>
          <w:szCs w:val="28"/>
          <w:lang w:val="uk-UA"/>
        </w:rPr>
        <w:t xml:space="preserve"> </w:t>
      </w:r>
      <w:r w:rsidRPr="0011413B">
        <w:rPr>
          <w:color w:val="000000"/>
          <w:sz w:val="28"/>
          <w:szCs w:val="28"/>
          <w:lang w:val="uk-UA"/>
        </w:rPr>
        <w:t>в м. Бровари, перелік яких визначається Броварським міським центром первинної медико-санітарної допомоги.</w:t>
      </w:r>
    </w:p>
    <w:p w14:paraId="6C231777" w14:textId="77777777" w:rsidR="00521189" w:rsidRPr="00DD5624" w:rsidRDefault="00521189" w:rsidP="00521189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94584">
        <w:rPr>
          <w:rFonts w:ascii="Times New Roman" w:hAnsi="Times New Roman"/>
          <w:color w:val="000000"/>
          <w:sz w:val="28"/>
          <w:szCs w:val="28"/>
          <w:lang w:val="uk-UA"/>
        </w:rPr>
        <w:t>2. Дія порядку поширюється на відшкодування групам  населення, у разі амбулаторного лікування, яких лікарські засоби за рецептами відпускаються безоплатно або на пільгових умовах, що  наведені в додатках 1(а),1(б),2,3,4,5 Міської програми по забезпе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че</w:t>
      </w:r>
      <w:r w:rsidRPr="00194584">
        <w:rPr>
          <w:rFonts w:ascii="Times New Roman" w:hAnsi="Times New Roman"/>
          <w:color w:val="000000"/>
          <w:sz w:val="28"/>
          <w:szCs w:val="28"/>
          <w:lang w:val="uk-UA"/>
        </w:rPr>
        <w:t>нню лікарськими засобами  та виробами медичного призначення окремих категорій населення міста Бровари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9481DDA" w14:textId="77777777" w:rsidR="00521189" w:rsidRPr="00194584" w:rsidRDefault="00521189" w:rsidP="00521189">
      <w:pPr>
        <w:pStyle w:val="a3"/>
        <w:jc w:val="both"/>
        <w:rPr>
          <w:color w:val="000000"/>
          <w:sz w:val="28"/>
          <w:szCs w:val="28"/>
          <w:lang w:val="uk-UA"/>
        </w:rPr>
      </w:pPr>
      <w:r w:rsidRPr="00194584">
        <w:rPr>
          <w:color w:val="000000"/>
          <w:sz w:val="28"/>
          <w:szCs w:val="28"/>
          <w:lang w:val="uk-UA"/>
        </w:rPr>
        <w:t>3. Ціни на лікарські засоби  за одиницю товару для відшкодування  повинні формуватись  відповідно  до Постанови КМУ від 17 жовтня 2008 р. № 955 “Про заходи щодо стабілізації цін на лікарські засоби і медичні вироби" зі змінами</w:t>
      </w:r>
      <w:r>
        <w:rPr>
          <w:color w:val="000000"/>
          <w:sz w:val="28"/>
          <w:szCs w:val="28"/>
          <w:lang w:val="uk-UA"/>
        </w:rPr>
        <w:t>.</w:t>
      </w:r>
    </w:p>
    <w:p w14:paraId="7EAE0424" w14:textId="77777777" w:rsidR="00521189" w:rsidRPr="00194584" w:rsidRDefault="00521189" w:rsidP="00521189">
      <w:pPr>
        <w:pStyle w:val="a3"/>
        <w:jc w:val="both"/>
        <w:rPr>
          <w:color w:val="000000"/>
          <w:sz w:val="28"/>
          <w:szCs w:val="28"/>
          <w:lang w:val="uk-UA"/>
        </w:rPr>
      </w:pPr>
      <w:r w:rsidRPr="00194584">
        <w:rPr>
          <w:color w:val="000000"/>
          <w:sz w:val="28"/>
          <w:szCs w:val="28"/>
          <w:lang w:val="uk-UA"/>
        </w:rPr>
        <w:t>4. Рецепти на лікарські засоби виписуються лікарям</w:t>
      </w:r>
      <w:r>
        <w:rPr>
          <w:color w:val="000000"/>
          <w:sz w:val="28"/>
          <w:szCs w:val="28"/>
          <w:lang w:val="uk-UA"/>
        </w:rPr>
        <w:t>и</w:t>
      </w:r>
      <w:r w:rsidRPr="00194584">
        <w:rPr>
          <w:color w:val="000000"/>
          <w:sz w:val="28"/>
          <w:szCs w:val="28"/>
          <w:lang w:val="uk-UA"/>
        </w:rPr>
        <w:t xml:space="preserve"> КЗ БМР БМЦ ПМСД.</w:t>
      </w:r>
    </w:p>
    <w:p w14:paraId="74E1D202" w14:textId="77777777" w:rsidR="00521189" w:rsidRPr="00194584" w:rsidRDefault="00521189" w:rsidP="00521189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5</w:t>
      </w:r>
      <w:r w:rsidRPr="00194584">
        <w:rPr>
          <w:color w:val="000000"/>
          <w:sz w:val="28"/>
          <w:szCs w:val="28"/>
        </w:rPr>
        <w:t>. Лікарські засоби для відшкодування виписуються на рецептурних бланках відповідної форми, передбаченої законодавством.</w:t>
      </w:r>
    </w:p>
    <w:p w14:paraId="16429D87" w14:textId="77777777" w:rsidR="00521189" w:rsidRPr="00EF6D54" w:rsidRDefault="00521189" w:rsidP="00521189">
      <w:pPr>
        <w:pStyle w:val="a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194584">
        <w:rPr>
          <w:color w:val="000000"/>
          <w:sz w:val="28"/>
          <w:szCs w:val="28"/>
        </w:rPr>
        <w:t>Медичні працівники, які мають право виписувати рецепти, є відповідальними за призначення хворому лікарських засобів та додержання правил виписування рецептів згідно із законодавством України. Рецепти виписуються хворому за наявності відповідних показань з обов’язковим записом про призначення лікарського засобу в медичній документації</w:t>
      </w:r>
      <w:r>
        <w:rPr>
          <w:color w:val="000000"/>
          <w:sz w:val="28"/>
          <w:szCs w:val="28"/>
          <w:lang w:val="uk-UA"/>
        </w:rPr>
        <w:t>.</w:t>
      </w:r>
    </w:p>
    <w:p w14:paraId="14A1EED4" w14:textId="77777777" w:rsidR="00521189" w:rsidRPr="00194584" w:rsidRDefault="00521189" w:rsidP="00521189">
      <w:pPr>
        <w:pStyle w:val="a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Pr="00194584">
        <w:rPr>
          <w:color w:val="000000"/>
          <w:sz w:val="28"/>
          <w:szCs w:val="28"/>
        </w:rPr>
        <w:t xml:space="preserve">. Строк дії рецепту становить 30 календарних днів з моменту його видачі крім випадків, передбачених законодавством, та зберігається у суб’єкта господарювання протягом трьох років </w:t>
      </w:r>
      <w:r w:rsidRPr="00194584">
        <w:rPr>
          <w:color w:val="000000"/>
          <w:sz w:val="28"/>
          <w:szCs w:val="28"/>
          <w:lang w:val="uk-UA"/>
        </w:rPr>
        <w:t>.</w:t>
      </w:r>
    </w:p>
    <w:p w14:paraId="235409FE" w14:textId="77777777" w:rsidR="00521189" w:rsidRPr="00194584" w:rsidRDefault="00521189" w:rsidP="00521189">
      <w:pPr>
        <w:pStyle w:val="a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Pr="00194584">
        <w:rPr>
          <w:color w:val="000000"/>
          <w:sz w:val="28"/>
          <w:szCs w:val="28"/>
          <w:lang w:val="uk-UA"/>
        </w:rPr>
        <w:t xml:space="preserve">. Суб’єкт господарювання двічі на місяць складає реєстр відпущених лікарських засобів (далі-реєстр), в якому стосовно кожного лікарського засобу зазначаються його торговельна назва, дозування та </w:t>
      </w:r>
      <w:r>
        <w:rPr>
          <w:color w:val="000000"/>
          <w:sz w:val="28"/>
          <w:szCs w:val="28"/>
          <w:lang w:val="uk-UA"/>
        </w:rPr>
        <w:t xml:space="preserve"> форма випуску, номер рецепту</w:t>
      </w:r>
      <w:r w:rsidRPr="00194584">
        <w:rPr>
          <w:color w:val="000000"/>
          <w:sz w:val="28"/>
          <w:szCs w:val="28"/>
          <w:lang w:val="uk-UA"/>
        </w:rPr>
        <w:t>, кількість відпущених упаковок, роздрібна ціна, сума, що підлягає відшкодуванню за звітний період.</w:t>
      </w:r>
    </w:p>
    <w:p w14:paraId="6A1019FB" w14:textId="77777777" w:rsidR="00521189" w:rsidRPr="00DD5624" w:rsidRDefault="00521189" w:rsidP="00521189">
      <w:pPr>
        <w:pStyle w:val="a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9</w:t>
      </w:r>
      <w:r w:rsidRPr="00DD5624">
        <w:rPr>
          <w:color w:val="000000"/>
          <w:sz w:val="28"/>
          <w:szCs w:val="28"/>
          <w:lang w:val="uk-UA"/>
        </w:rPr>
        <w:t>. Суб’єкт господарювання відповідно до реєстру складає акт виконаних робіт, в якому зазначається період, за який відпущені лікарські засоби, сума до відшкодування без ПДВ, ПДВ, загальна сума до відшкодування.</w:t>
      </w:r>
    </w:p>
    <w:p w14:paraId="17723252" w14:textId="5BF6662B" w:rsidR="00521189" w:rsidRDefault="00521189" w:rsidP="00521189">
      <w:pPr>
        <w:pStyle w:val="a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</w:t>
      </w:r>
      <w:r w:rsidRPr="00DD5624">
        <w:rPr>
          <w:color w:val="000000"/>
          <w:sz w:val="28"/>
          <w:szCs w:val="28"/>
          <w:lang w:val="uk-UA"/>
        </w:rPr>
        <w:t>. Відшкодування суб’єкту господарювання зазначеної в акті суми розпорядник коштів перераховує в п’ятнадцятиденний термін з дня отримання звіту ( згідно умов договору).</w:t>
      </w:r>
    </w:p>
    <w:p w14:paraId="13012B3D" w14:textId="77777777" w:rsidR="00521189" w:rsidRDefault="00521189" w:rsidP="00521189">
      <w:pPr>
        <w:pStyle w:val="a3"/>
        <w:jc w:val="right"/>
        <w:rPr>
          <w:color w:val="000000"/>
          <w:sz w:val="28"/>
          <w:szCs w:val="28"/>
          <w:lang w:val="uk-UA"/>
        </w:rPr>
      </w:pPr>
    </w:p>
    <w:p w14:paraId="2EE48686" w14:textId="77777777" w:rsidR="00521189" w:rsidRPr="000D74DC" w:rsidRDefault="00521189" w:rsidP="00521189">
      <w:pPr>
        <w:pStyle w:val="a3"/>
        <w:rPr>
          <w:color w:val="000000"/>
          <w:sz w:val="27"/>
          <w:szCs w:val="27"/>
        </w:rPr>
      </w:pPr>
      <w:r w:rsidRPr="007020FF">
        <w:rPr>
          <w:sz w:val="28"/>
          <w:lang w:val="uk-UA"/>
        </w:rPr>
        <w:t>Міський голова</w:t>
      </w:r>
      <w:r>
        <w:rPr>
          <w:sz w:val="28"/>
          <w:lang w:val="uk-UA"/>
        </w:rPr>
        <w:t xml:space="preserve">                                                               </w:t>
      </w:r>
      <w:r w:rsidRPr="007020FF">
        <w:rPr>
          <w:sz w:val="28"/>
          <w:lang w:val="uk-UA"/>
        </w:rPr>
        <w:t xml:space="preserve"> І.В. Сапожко</w:t>
      </w:r>
    </w:p>
    <w:p w14:paraId="478F7862" w14:textId="77777777" w:rsidR="004E21D5" w:rsidRDefault="004E21D5"/>
    <w:sectPr w:rsidR="004E21D5" w:rsidSect="0052118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EB"/>
    <w:rsid w:val="00092BEB"/>
    <w:rsid w:val="004E21D5"/>
    <w:rsid w:val="0052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92AA"/>
  <w15:chartTrackingRefBased/>
  <w15:docId w15:val="{EB5606D7-8B58-4C8F-83CF-BFC9A156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1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2022-09-23T11:10:00Z</dcterms:created>
  <dcterms:modified xsi:type="dcterms:W3CDTF">2022-09-23T11:11:00Z</dcterms:modified>
</cp:coreProperties>
</file>