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83A62" w:rsidRPr="00E83A62" w:rsidP="00E83A62" w14:paraId="574AFA5A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83A62">
        <w:rPr>
          <w:rFonts w:ascii="Times New Roman" w:hAnsi="Times New Roman" w:cs="Times New Roman"/>
          <w:sz w:val="28"/>
          <w:szCs w:val="28"/>
        </w:rPr>
        <w:t>Додаток 3</w:t>
      </w:r>
    </w:p>
    <w:p w:rsidR="00E83A62" w:rsidRPr="00E83A62" w:rsidP="00E83A62" w14:paraId="72732BFA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83A6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E83A62" w:rsidRPr="00E83A62" w:rsidP="00E83A62" w14:paraId="476B1B7E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83A6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E83A62" w:rsidRPr="00E83A62" w:rsidP="00E83A62" w14:paraId="730A8C68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83A6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83A62" w:rsidRPr="00E83A62" w:rsidP="00E83A62" w14:paraId="76B9779A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83A62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E83A62" w:rsidRPr="00E83A62" w:rsidP="00E83A62" w14:paraId="442E38AB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E83A62" w:rsidRPr="00E83A62" w:rsidP="00E83A62" w14:paraId="3C40DD5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83A6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спеціалізованого комунального підприємства</w:t>
      </w:r>
    </w:p>
    <w:p w:rsidR="00E83A62" w:rsidRPr="00E83A62" w:rsidP="00E83A62" w14:paraId="1F788862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83A62">
        <w:rPr>
          <w:rFonts w:eastAsia="Calibri"/>
          <w:b/>
          <w:bCs/>
          <w:sz w:val="28"/>
          <w:szCs w:val="28"/>
          <w:lang w:val="uk-UA" w:eastAsia="en-US"/>
        </w:rPr>
        <w:t>Броварської міської ради Броварського району Київської області «</w:t>
      </w:r>
      <w:r w:rsidRPr="00E83A62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E83A62">
        <w:rPr>
          <w:rFonts w:eastAsia="Calibri"/>
          <w:b/>
          <w:bCs/>
          <w:sz w:val="28"/>
          <w:szCs w:val="28"/>
          <w:lang w:val="uk-UA" w:eastAsia="en-US"/>
        </w:rPr>
        <w:t>»</w:t>
      </w:r>
    </w:p>
    <w:p w:rsidR="00E83A62" w:rsidRPr="00E83A62" w:rsidP="00E83A62" w14:paraId="6E14E46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83A62">
        <w:rPr>
          <w:b/>
          <w:bCs/>
          <w:sz w:val="28"/>
          <w:szCs w:val="28"/>
          <w:lang w:val="uk-UA"/>
        </w:rPr>
        <w:t>та підлягає списанню:</w:t>
      </w:r>
    </w:p>
    <w:p w:rsidR="00E83A62" w:rsidRPr="00E83A62" w:rsidP="00E83A62" w14:paraId="328B243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275"/>
        <w:gridCol w:w="851"/>
        <w:gridCol w:w="5103"/>
        <w:gridCol w:w="1559"/>
        <w:gridCol w:w="1559"/>
        <w:gridCol w:w="993"/>
        <w:gridCol w:w="992"/>
      </w:tblGrid>
      <w:tr w14:paraId="46E4FC59" w14:textId="77777777" w:rsidTr="00E83A62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1EF992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№ п/</w:t>
            </w:r>
            <w:r w:rsidRPr="00E83A6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677AB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Назва основних</w:t>
            </w:r>
          </w:p>
          <w:p w:rsidR="00E83A62" w:rsidRPr="00E83A62" w:rsidP="00E83A62" w14:paraId="69DF80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3E5AFC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Інвен-тарний</w:t>
            </w:r>
          </w:p>
          <w:p w:rsidR="00E83A62" w:rsidRPr="00E83A62" w:rsidP="00E83A62" w14:paraId="43A4D1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50252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Кількість</w:t>
            </w:r>
          </w:p>
          <w:p w:rsidR="00E83A62" w:rsidRPr="00E83A62" w:rsidP="00E83A62" w14:paraId="6512C3AB" w14:textId="77777777">
            <w:pPr>
              <w:spacing w:after="0"/>
              <w:rPr>
                <w:rFonts w:ascii="Times New Roman" w:hAnsi="Times New Roman" w:cs="Times New Roman"/>
              </w:rPr>
            </w:pPr>
          </w:p>
          <w:p w:rsidR="00E83A62" w:rsidRPr="00E83A62" w:rsidP="00E83A62" w14:paraId="1BE95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619A16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6F4F46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Первіс</w:t>
            </w:r>
          </w:p>
          <w:p w:rsidR="00E83A62" w:rsidRPr="00E83A62" w:rsidP="00E83A62" w14:paraId="4F4F9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на вартість</w:t>
            </w:r>
          </w:p>
          <w:p w:rsidR="00E83A62" w:rsidRPr="00E83A62" w:rsidP="00E83A62" w14:paraId="3C7C6E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A62" w:rsidRPr="00E83A62" w:rsidP="00E83A62" w14:paraId="0C9779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2A1004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Знос</w:t>
            </w:r>
          </w:p>
          <w:p w:rsidR="00E83A62" w:rsidRPr="00E83A62" w:rsidP="00E83A62" w14:paraId="4395A7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A62" w:rsidRPr="00E83A62" w:rsidP="00E83A62" w14:paraId="5F4706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A62" w:rsidRPr="00E83A62" w:rsidP="00E83A62" w14:paraId="42D34C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83A62" w:rsidRPr="00E83A62" w:rsidP="00E83A62" w14:paraId="3F2ABF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65FA40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Залиш-</w:t>
            </w:r>
          </w:p>
          <w:p w:rsidR="00E83A62" w:rsidRPr="00E83A62" w:rsidP="00E83A62" w14:paraId="4C91B8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кова</w:t>
            </w:r>
            <w:r w:rsidRPr="00E83A62">
              <w:rPr>
                <w:rFonts w:ascii="Times New Roman" w:hAnsi="Times New Roman" w:cs="Times New Roman"/>
              </w:rPr>
              <w:t xml:space="preserve"> вар</w:t>
            </w:r>
          </w:p>
          <w:p w:rsidR="00E83A62" w:rsidRPr="00E83A62" w:rsidP="00E83A62" w14:paraId="0D6C32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тість</w:t>
            </w:r>
          </w:p>
          <w:p w:rsidR="00E83A62" w:rsidRPr="00E83A62" w:rsidP="00E83A62" w14:paraId="0AD257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427613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Рік </w:t>
            </w:r>
            <w:r w:rsidRPr="00E83A62">
              <w:rPr>
                <w:rFonts w:ascii="Times New Roman" w:hAnsi="Times New Roman" w:cs="Times New Roman"/>
              </w:rPr>
              <w:t>вве-дення</w:t>
            </w:r>
            <w:r w:rsidRPr="00E83A62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7A347427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59B1ADD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1067AE5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7498C64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3FC71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26A3F33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7AB66E7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43B934E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33307CF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A62" w:rsidRPr="00E83A62" w:rsidP="00E83A62" w14:paraId="66377FF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00E5EF65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958E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258A2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Факсимільний апарат </w:t>
            </w:r>
            <w:r w:rsidRPr="00E83A62">
              <w:rPr>
                <w:rFonts w:ascii="Times New Roman" w:hAnsi="Times New Roman" w:cs="Times New Roman"/>
                <w:lang w:val="en-US"/>
              </w:rPr>
              <w:t>Panasonic</w:t>
            </w:r>
            <w:r w:rsidRPr="00E83A62">
              <w:rPr>
                <w:rFonts w:ascii="Times New Roman" w:hAnsi="Times New Roman" w:cs="Times New Roman"/>
              </w:rPr>
              <w:t xml:space="preserve"> </w:t>
            </w:r>
            <w:r w:rsidRPr="00E83A62">
              <w:rPr>
                <w:rFonts w:ascii="Times New Roman" w:hAnsi="Times New Roman" w:cs="Times New Roman"/>
                <w:lang w:val="en-US"/>
              </w:rPr>
              <w:t>KX</w:t>
            </w:r>
            <w:r w:rsidRPr="00E83A62">
              <w:rPr>
                <w:rFonts w:ascii="Times New Roman" w:hAnsi="Times New Roman" w:cs="Times New Roman"/>
              </w:rPr>
              <w:t xml:space="preserve"> </w:t>
            </w:r>
            <w:r w:rsidRPr="00E83A62">
              <w:rPr>
                <w:rFonts w:ascii="Times New Roman" w:hAnsi="Times New Roman" w:cs="Times New Roman"/>
                <w:lang w:val="en-US"/>
              </w:rPr>
              <w:t>FT</w:t>
            </w:r>
            <w:r w:rsidRPr="00E83A62">
              <w:rPr>
                <w:rFonts w:ascii="Times New Roman" w:hAnsi="Times New Roman" w:cs="Times New Roman"/>
              </w:rPr>
              <w:t xml:space="preserve"> 74 </w:t>
            </w:r>
            <w:r w:rsidRPr="00E83A6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D5B32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10605240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EABF2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584AD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Механічні пошкодження корпусу апарата, не вмикається, зламана трубка (мікрофон та динамік), відсутня індикація на табло. Апарати даного типу зняті з виробництва і відсутні запчастини до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DF6E8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44F0D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7D4CD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9E9FE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2003</w:t>
            </w:r>
          </w:p>
        </w:tc>
      </w:tr>
      <w:tr w14:paraId="3B4193F5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01D9D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</w:t>
            </w:r>
          </w:p>
          <w:p w:rsidR="00E83A62" w:rsidRPr="00E83A62" w:rsidP="00E83A62" w14:paraId="5B34FC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ABC76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Факсимільний апарат </w:t>
            </w:r>
            <w:r w:rsidRPr="00E83A62">
              <w:rPr>
                <w:rFonts w:ascii="Times New Roman" w:hAnsi="Times New Roman" w:cs="Times New Roman"/>
                <w:lang w:val="en-US"/>
              </w:rPr>
              <w:t>Panasonic</w:t>
            </w:r>
            <w:r w:rsidRPr="00E83A62">
              <w:rPr>
                <w:rFonts w:ascii="Times New Roman" w:hAnsi="Times New Roman" w:cs="Times New Roman"/>
              </w:rPr>
              <w:t xml:space="preserve"> </w:t>
            </w:r>
            <w:r w:rsidRPr="00E83A62">
              <w:rPr>
                <w:rFonts w:ascii="Times New Roman" w:hAnsi="Times New Roman" w:cs="Times New Roman"/>
                <w:lang w:val="en-US"/>
              </w:rPr>
              <w:t>KX</w:t>
            </w:r>
            <w:r w:rsidRPr="00E83A62">
              <w:rPr>
                <w:rFonts w:ascii="Times New Roman" w:hAnsi="Times New Roman" w:cs="Times New Roman"/>
              </w:rPr>
              <w:t xml:space="preserve"> </w:t>
            </w:r>
            <w:r w:rsidRPr="00E83A62">
              <w:rPr>
                <w:rFonts w:ascii="Times New Roman" w:hAnsi="Times New Roman" w:cs="Times New Roman"/>
                <w:lang w:val="en-US"/>
              </w:rPr>
              <w:t>FT</w:t>
            </w:r>
            <w:r w:rsidRPr="00E83A62">
              <w:rPr>
                <w:rFonts w:ascii="Times New Roman" w:hAnsi="Times New Roman" w:cs="Times New Roman"/>
              </w:rPr>
              <w:t xml:space="preserve"> 984 </w:t>
            </w:r>
            <w:r w:rsidRPr="00E83A62">
              <w:rPr>
                <w:rFonts w:ascii="Times New Roman" w:hAnsi="Times New Roman" w:cs="Times New Roman"/>
                <w:lang w:val="en-US"/>
              </w:rPr>
              <w:t>UA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B2D1E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10404605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CF417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B2832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Механічні пошкодження плати та корпусу апарата, не вмикається, зламано механізм подачі паперу, відсутня індикація на табло. Апарати даного типу зняті з виробництва і відсутні запчастини до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01E30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146D6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5A38C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E5C05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2011</w:t>
            </w:r>
          </w:p>
        </w:tc>
      </w:tr>
      <w:tr w14:paraId="6D54C79A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DD5EA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29522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Холодильник </w:t>
            </w:r>
            <w:r w:rsidRPr="00E83A62">
              <w:rPr>
                <w:rFonts w:ascii="Times New Roman" w:hAnsi="Times New Roman" w:cs="Times New Roman"/>
              </w:rPr>
              <w:t>NoRD</w:t>
            </w:r>
            <w:r w:rsidRPr="00E83A62">
              <w:rPr>
                <w:rFonts w:ascii="Times New Roman" w:hAnsi="Times New Roman" w:cs="Times New Roman"/>
              </w:rPr>
              <w:t>/214.1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E4766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10605229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4405E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486A5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Корпус пошкоджений, покритий корозією, ущільнююча резинка на дверях розірвана та двері </w:t>
            </w:r>
            <w:r w:rsidRPr="00E83A62">
              <w:rPr>
                <w:rFonts w:ascii="Times New Roman" w:hAnsi="Times New Roman" w:cs="Times New Roman"/>
              </w:rPr>
              <w:t>пошкоджені корозією, не підлягає заміні у зв’язку з відсутністю аналогів запчастин в України.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C90C5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8FCA0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800000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EAF6E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B2FA1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2001</w:t>
            </w:r>
          </w:p>
        </w:tc>
      </w:tr>
      <w:tr w14:paraId="489AD22B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87A60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9C38500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E83A62">
              <w:rPr>
                <w:rFonts w:ascii="Times New Roman" w:hAnsi="Times New Roman" w:cs="Times New Roman"/>
              </w:rPr>
              <w:t xml:space="preserve">Системний блок </w:t>
            </w:r>
            <w:r w:rsidRPr="00E83A62">
              <w:rPr>
                <w:rFonts w:ascii="Times New Roman" w:hAnsi="Times New Roman" w:cs="Times New Roman"/>
                <w:lang w:val="en-US"/>
              </w:rPr>
              <w:t xml:space="preserve">Asus </w:t>
            </w:r>
            <w:r w:rsidRPr="00E83A62">
              <w:rPr>
                <w:rFonts w:ascii="Times New Roman" w:hAnsi="Times New Roman" w:cs="Times New Roman"/>
                <w:lang w:val="en-US"/>
              </w:rPr>
              <w:t>PSkri</w:t>
            </w:r>
            <w:r w:rsidRPr="00E83A62">
              <w:rPr>
                <w:rFonts w:ascii="Times New Roman" w:hAnsi="Times New Roman" w:cs="Times New Roman"/>
                <w:lang w:val="en-US"/>
              </w:rPr>
              <w:t xml:space="preserve"> am/DDR 2 1024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CD226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10404622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512F3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31AAF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Потертості, подряпини та інші пошкодження корпусу, системний блок не вмикається, відсутність будь – яких ознак живлення (не світяться світло діоди, не спрацьовує звуковий сигнал), материнська плата несправна.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1C5E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13277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2083,33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827A7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45B9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2011</w:t>
            </w:r>
          </w:p>
        </w:tc>
      </w:tr>
      <w:tr w14:paraId="61F6900E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67D8A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92C74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Принтер </w:t>
            </w:r>
            <w:r w:rsidRPr="00E83A62">
              <w:rPr>
                <w:rFonts w:ascii="Times New Roman" w:hAnsi="Times New Roman" w:cs="Times New Roman"/>
              </w:rPr>
              <w:t>Canon</w:t>
            </w:r>
            <w:r w:rsidRPr="00E83A62">
              <w:rPr>
                <w:rFonts w:ascii="Times New Roman" w:hAnsi="Times New Roman" w:cs="Times New Roman"/>
              </w:rPr>
              <w:t xml:space="preserve"> LBP 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98EF8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10402717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CF058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B7F9C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Під час спроби друку було виявлено, що принтер не здатний правильно витягти папір для друку з лотка та не проходить через механізм подачі паперу. Ця поломка призводить до неможливості виготовлення друкованих документів через відсутність подачі паперу до принтера.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9AAC7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1933,00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7ABE9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92D87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2B8AD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2004</w:t>
            </w:r>
          </w:p>
        </w:tc>
      </w:tr>
      <w:tr w14:paraId="49BAED82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B0153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CE113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Комп</w:t>
            </w:r>
            <w:r w:rsidRPr="00E83A62">
              <w:rPr>
                <w:rFonts w:ascii="Times New Roman" w:hAnsi="Times New Roman" w:cs="Times New Roman"/>
                <w:lang w:val="en-US"/>
              </w:rPr>
              <w:t>’</w:t>
            </w:r>
            <w:r w:rsidRPr="00E83A62">
              <w:rPr>
                <w:rFonts w:ascii="Times New Roman" w:hAnsi="Times New Roman" w:cs="Times New Roman"/>
              </w:rPr>
              <w:t>ютер</w:t>
            </w:r>
            <w:r w:rsidRPr="00E83A62">
              <w:rPr>
                <w:rFonts w:ascii="Times New Roman" w:hAnsi="Times New Roman" w:cs="Times New Roman"/>
              </w:rPr>
              <w:t xml:space="preserve"> </w:t>
            </w:r>
            <w:r w:rsidRPr="00E83A62">
              <w:rPr>
                <w:rFonts w:ascii="Times New Roman" w:hAnsi="Times New Roman" w:cs="Times New Roman"/>
              </w:rPr>
              <w:t>Celereon</w:t>
            </w:r>
            <w:r w:rsidRPr="00E83A62">
              <w:rPr>
                <w:rFonts w:ascii="Times New Roman" w:hAnsi="Times New Roman" w:cs="Times New Roman"/>
              </w:rPr>
              <w:t xml:space="preserve"> 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1BDD4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10402517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A83AE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8BFDC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Під час спроби завантаження операційної системи було виявлено. що системний блок не проходить Post-тестування і відображає повідомлення про помилку. Комп’ютер не завантажується та не надає доступ до операційної системи. Поломка може бути зумовлена несправністю процесора, пам’яті або інших ключових компонентів.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371AD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3164,00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B0B02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3164,00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07B62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8719D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2000</w:t>
            </w:r>
          </w:p>
        </w:tc>
      </w:tr>
      <w:tr w14:paraId="75E46AC6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33671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A9F2E8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3A62">
              <w:rPr>
                <w:rFonts w:ascii="Times New Roman" w:hAnsi="Times New Roman" w:cs="Times New Roman"/>
              </w:rPr>
              <w:t>Монітор LCD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7C97A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10403298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77682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8753F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Під час роботи було виявлено, що монітор випадково вмикається та вимикається без впливу зовнішніх факторів або дій користувача. Це призводить до незручностей та перебоїв у роботі. Поломка виявилася в несправності електронного контролера живлення монітора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50FE1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1396,60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D51FE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1396,60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DA2D4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ABAA8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2009</w:t>
            </w:r>
          </w:p>
        </w:tc>
      </w:tr>
      <w:tr w14:paraId="08D8A5DB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6E12D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7AB00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Принтер HP DJ 11801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63BA1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10402710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8BEC1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91820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В процесі діагностики </w:t>
            </w:r>
            <w:r w:rsidRPr="00E83A62">
              <w:rPr>
                <w:rFonts w:ascii="Times New Roman" w:hAnsi="Times New Roman" w:cs="Times New Roman"/>
              </w:rPr>
              <w:t>вироба</w:t>
            </w:r>
            <w:r w:rsidRPr="00E83A62">
              <w:rPr>
                <w:rFonts w:ascii="Times New Roman" w:hAnsi="Times New Roman" w:cs="Times New Roman"/>
              </w:rPr>
              <w:t xml:space="preserve"> було встановлено, що вийшла з ладу центральна плата. Ремонт принтера неможливий з причини зняття з виробництва комплектуючих. Решта </w:t>
            </w:r>
            <w:r w:rsidRPr="00E83A62">
              <w:rPr>
                <w:rFonts w:ascii="Times New Roman" w:hAnsi="Times New Roman" w:cs="Times New Roman"/>
              </w:rPr>
              <w:t>комплектуючих зношена та не придатна до подальшої експлуатації.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D9DD9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BB7E9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2520,00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9766D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F50C6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2004</w:t>
            </w:r>
          </w:p>
        </w:tc>
      </w:tr>
      <w:tr w14:paraId="5972EEAB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A5F71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A9F10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Монітор LCD 19 L</w:t>
            </w:r>
            <w:r w:rsidRPr="00E83A62">
              <w:rPr>
                <w:rFonts w:ascii="Times New Roman" w:hAnsi="Times New Roman" w:cs="Times New Roman"/>
                <w:lang w:val="en-US"/>
              </w:rPr>
              <w:t>GL 1942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33CB5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10403233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B00C6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7BF02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Під час включення монітора виявлено, що на екрані з’явилися вертикальні смуги, які перешкоджають нормальному перегляду зображення. Поломка виявилася в несправності матриці монітора, що призводить до виникнення артефактів на екрані.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5C2E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1441,00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1E3FD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1441,00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28431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4714B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2009</w:t>
            </w:r>
          </w:p>
        </w:tc>
      </w:tr>
      <w:tr w14:paraId="53DBA61B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93AF6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61456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Джерело UPS 500 VA PC (джерело безперебійного живлення)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54863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515FD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7A910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Під час роботи виявлено, що джерело UPS генерує завищений шумовий рівень і нестабільно надає живлення до підключених пристроїв. Це призводить до випадкових відключень комп’ютера та інших пристроїв, що працюють від </w:t>
            </w:r>
            <w:r w:rsidRPr="00E83A62">
              <w:rPr>
                <w:rFonts w:ascii="Times New Roman" w:hAnsi="Times New Roman" w:cs="Times New Roman"/>
                <w:lang w:val="en-US"/>
              </w:rPr>
              <w:t>UPS</w:t>
            </w:r>
            <w:r w:rsidRPr="00E83A62">
              <w:rPr>
                <w:rFonts w:ascii="Times New Roman" w:hAnsi="Times New Roman" w:cs="Times New Roman"/>
              </w:rPr>
              <w:t xml:space="preserve">. Помилка виявилась в несправності внутрішніх компонентів джерела </w:t>
            </w:r>
            <w:r w:rsidRPr="00E83A62">
              <w:rPr>
                <w:rFonts w:ascii="Times New Roman" w:hAnsi="Times New Roman" w:cs="Times New Roman"/>
                <w:lang w:val="en-US"/>
              </w:rPr>
              <w:t>UPS</w:t>
            </w:r>
            <w:r w:rsidRPr="00E83A62">
              <w:rPr>
                <w:rFonts w:ascii="Times New Roman" w:hAnsi="Times New Roman" w:cs="Times New Roman"/>
              </w:rPr>
              <w:t>. Решта комплектуючих зношена та не придатна до подальшої експлуатації.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BE60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516,58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29125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516,58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545E4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56522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2002</w:t>
            </w:r>
          </w:p>
        </w:tc>
      </w:tr>
      <w:tr w14:paraId="6FB1454D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C802A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BE2E9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Монітор LCD 19 </w:t>
            </w:r>
            <w:r w:rsidRPr="00E83A62"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B16F3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10403235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A96C4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4FD1A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Під час роботи було виявлено, що на екрані монітора виникли «</w:t>
            </w:r>
            <w:r w:rsidRPr="00E83A62">
              <w:rPr>
                <w:rFonts w:ascii="Times New Roman" w:hAnsi="Times New Roman" w:cs="Times New Roman"/>
              </w:rPr>
              <w:t>псевдорегенераційні</w:t>
            </w:r>
            <w:r w:rsidRPr="00E83A62">
              <w:rPr>
                <w:rFonts w:ascii="Times New Roman" w:hAnsi="Times New Roman" w:cs="Times New Roman"/>
              </w:rPr>
              <w:t xml:space="preserve">» плями, які намагаються регенеруватися та змінювати форму. Більше того, плями рухаються відповідно до руху курсору миші, що створює додатковий дискомфорт при роботі. Поломка виявилася в несправності матриці монітора та </w:t>
            </w:r>
            <w:r w:rsidRPr="00E83A62">
              <w:rPr>
                <w:rFonts w:ascii="Times New Roman" w:hAnsi="Times New Roman" w:cs="Times New Roman"/>
              </w:rPr>
              <w:t>підсвітки</w:t>
            </w:r>
            <w:r w:rsidRPr="00E83A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CDF02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1435,50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26B20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1435,50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2BD34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3F991B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2009</w:t>
            </w:r>
          </w:p>
        </w:tc>
      </w:tr>
      <w:tr w14:paraId="0690FAB9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EBC96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3D947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Автоматизоване робоче місце ATHLON </w:t>
            </w:r>
            <w:r w:rsidRPr="00E83A62">
              <w:rPr>
                <w:rFonts w:ascii="Times New Roman" w:hAnsi="Times New Roman" w:cs="Times New Roman"/>
              </w:rPr>
              <w:t>Samsung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19FE5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10402709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E384D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10C25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 xml:space="preserve">Системний блок не запускається та не вмикається. Монітор не отримує сигналу від системного </w:t>
            </w:r>
            <w:r w:rsidRPr="00E83A62">
              <w:rPr>
                <w:rFonts w:ascii="Times New Roman" w:hAnsi="Times New Roman" w:cs="Times New Roman"/>
              </w:rPr>
              <w:t>блоку.Після</w:t>
            </w:r>
            <w:r w:rsidRPr="00E83A62">
              <w:rPr>
                <w:rFonts w:ascii="Times New Roman" w:hAnsi="Times New Roman" w:cs="Times New Roman"/>
              </w:rPr>
              <w:t xml:space="preserve"> візуального огляду та діагностики, було визначено, що причиною дефектів є несправність на материнській платі системного блоку. Зокрема. було виявлено несправність інтегрованого контролера живлення, який регулює </w:t>
            </w:r>
            <w:r w:rsidRPr="00E83A62">
              <w:rPr>
                <w:rFonts w:ascii="Times New Roman" w:hAnsi="Times New Roman" w:cs="Times New Roman"/>
              </w:rPr>
              <w:t>подачу електроенергії  до всіх компонентів системного блоку.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A0B77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4E64C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10260,00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217CC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5FFEF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2004</w:t>
            </w:r>
          </w:p>
        </w:tc>
      </w:tr>
      <w:tr w14:paraId="0A273AB7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2EF41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FB78C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Системний блок Е 5500/</w:t>
            </w:r>
            <w:r w:rsidRPr="00E83A62">
              <w:rPr>
                <w:rFonts w:ascii="Times New Roman" w:hAnsi="Times New Roman" w:cs="Times New Roman"/>
              </w:rPr>
              <w:t>Asus</w:t>
            </w:r>
            <w:r w:rsidRPr="00E83A62">
              <w:rPr>
                <w:rFonts w:ascii="Times New Roman" w:hAnsi="Times New Roman" w:cs="Times New Roman"/>
              </w:rPr>
              <w:t xml:space="preserve"> </w:t>
            </w:r>
            <w:r w:rsidRPr="00E83A62">
              <w:rPr>
                <w:rFonts w:ascii="Times New Roman" w:hAnsi="Times New Roman" w:cs="Times New Roman"/>
              </w:rPr>
              <w:t>PSkpi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F8582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10404612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2FFBC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69D303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Системний блок не запускається та не вмикається. Монітор не отримує сигналу від системного блоку. Після візуального огляду та діагностики, було визначено, що причиною дефектів є пошкодження поверхневих монтажних компонентів на материнській платі системного блоку. Зокрема. було виявлено, що декілька резисторів та конденсаторів на материнській платі вийшли з ладу через коротке замикання в електричній мережі.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5F3EF1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2605,83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0CCB8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2605,83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77BD9D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4061FC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62">
              <w:rPr>
                <w:rFonts w:ascii="Times New Roman" w:hAnsi="Times New Roman" w:cs="Times New Roman"/>
              </w:rPr>
              <w:t>2011</w:t>
            </w:r>
          </w:p>
        </w:tc>
      </w:tr>
      <w:tr w14:paraId="4292030F" w14:textId="77777777" w:rsidTr="00E83A62">
        <w:tblPrEx>
          <w:tblW w:w="15026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62" w:rsidRPr="00E83A62" w:rsidP="00E83A62" w14:paraId="1E0424FF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200C0C0D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83A62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0937182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21A66A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6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08491FE3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7858EA0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83A62">
              <w:rPr>
                <w:bCs/>
                <w:color w:val="000000"/>
                <w:sz w:val="22"/>
                <w:szCs w:val="22"/>
                <w:lang w:val="uk-UA"/>
              </w:rPr>
              <w:t>29 987,51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06161E7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83A62">
              <w:rPr>
                <w:bCs/>
                <w:color w:val="000000"/>
                <w:sz w:val="22"/>
                <w:szCs w:val="22"/>
                <w:lang w:val="uk-UA"/>
              </w:rPr>
              <w:t>29 987,51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199B05C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83A62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62" w:rsidRPr="00E83A62" w:rsidP="00E83A62" w14:paraId="6B3A9C7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83A62" w:rsidRPr="00E83A62" w:rsidP="00E83A62" w14:paraId="768C3156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3A62" w:rsidRPr="00E83A62" w:rsidP="00E83A62" w14:paraId="7B4D96BE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3A62" w:rsidRPr="00EE4FE5" w:rsidP="00E83A62" w14:paraId="6A9CE371" w14:textId="708F8FB7">
      <w:pPr>
        <w:tabs>
          <w:tab w:val="left" w:pos="5040"/>
          <w:tab w:val="left" w:pos="5216"/>
        </w:tabs>
        <w:spacing w:after="0"/>
        <w:rPr>
          <w:sz w:val="28"/>
          <w:szCs w:val="28"/>
        </w:rPr>
      </w:pPr>
      <w:r w:rsidRPr="00E83A6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0308A79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83A62" w:rsidR="00E83A6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83A62"/>
    <w:rsid w:val="00E97F96"/>
    <w:rsid w:val="00EA126F"/>
    <w:rsid w:val="00EE4FE5"/>
    <w:rsid w:val="00F04D2F"/>
    <w:rsid w:val="00F1699F"/>
    <w:rsid w:val="00F64E3E"/>
    <w:rsid w:val="00FA239F"/>
    <w:rsid w:val="00FB594B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8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E8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8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3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0C56C9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777</Words>
  <Characters>4430</Characters>
  <Application>Microsoft Office Word</Application>
  <DocSecurity>8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2023-12-01T12:30:00Z</dcterms:modified>
</cp:coreProperties>
</file>