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4"/>
          <w:szCs w:val="24"/>
        </w:rPr>
        <w:t>ПРОЕКТ</w:t>
        <w:tab/>
      </w:r>
      <w:r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ПС-331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</w:rPr>
      </w:pPr>
      <w:permStart w:id="0" w:edGrp="everyone"/>
      <w:r>
        <w:rPr>
          <w:rFonts w:ascii="Times New Roman" w:hAnsi="Times New Roman"/>
          <w:sz w:val="28"/>
        </w:rPr>
        <w:t>ЗАТВЕРДЖЕНО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>Р</w:t>
      </w:r>
      <w:r>
        <w:rPr>
          <w:rFonts w:ascii="Times New Roman" w:hAnsi="Times New Roman"/>
          <w:sz w:val="28"/>
          <w:szCs w:val="28"/>
        </w:rPr>
        <w:t>ішення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Броварської міської ради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Броварського району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Київської області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>від________ №____________</w:t>
      </w:r>
    </w:p>
    <w:p>
      <w:pPr>
        <w:spacing w:beforeAutospacing="0" w:after="0" w:afterAutospacing="0"/>
        <w:rPr>
          <w:rFonts w:ascii="Times New Roman" w:hAnsi="Times New Roman"/>
          <w:sz w:val="28"/>
          <w:szCs w:val="28"/>
        </w:rPr>
      </w:pPr>
    </w:p>
    <w:p>
      <w:pPr>
        <w:spacing w:beforeAutospacing="0" w:after="0" w:afterAutospacing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Положення</w:t>
      </w:r>
    </w:p>
    <w:p>
      <w:pPr>
        <w:spacing w:beforeAutospacing="0" w:after="0" w:afterAutospacing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про управління соціального захисту населення Броварської міської ради Броварського району Київської області</w:t>
      </w:r>
    </w:p>
    <w:p>
      <w:pPr>
        <w:spacing w:beforeAutospacing="0" w:after="0" w:afterAutospacing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>
      <w:pPr>
        <w:pStyle w:val="ListParagraph"/>
        <w:numPr>
          <w:ilvl w:val="0"/>
          <w:numId w:val="3"/>
        </w:numPr>
        <w:spacing w:beforeAutospacing="0" w:after="0" w:afterAutospacing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Загальні положення</w:t>
      </w:r>
    </w:p>
    <w:p>
      <w:pPr>
        <w:pStyle w:val="ListParagraph"/>
        <w:spacing w:beforeAutospacing="0" w:after="0" w:afterAutospacing="0" w:line="240" w:lineRule="auto"/>
        <w:rPr>
          <w:rFonts w:ascii="Times New Roman" w:hAnsi="Times New Roman"/>
          <w:sz w:val="32"/>
          <w:szCs w:val="32"/>
        </w:rPr>
      </w:pPr>
    </w:p>
    <w:p>
      <w:pPr>
        <w:spacing w:beforeAutospacing="0" w:after="0" w:afterAutospacing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1.1.Управління соціального захисту  населення Броварської міської ради Броварського району Київської області  (далі – управління) є виконавчим органом Броварської міської ради  Броварського району Київської області (далі – міська рада), що утворюється міською радою, є підконтрольним та підзвітним міській раді, підпорядкованим її виконавчому комітету, міському голові. З питань здійснення делегованих їм повноважень органів виконавчої влади – підконтрольним Департаменту соціального захисту населення Київської обласної державної адміністрації.</w:t>
      </w:r>
    </w:p>
    <w:p>
      <w:pPr>
        <w:spacing w:beforeAutospacing="0" w:after="0" w:afterAutospacing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Управління має скорочену назву – УСЗН Броварської МР.</w:t>
      </w:r>
    </w:p>
    <w:p>
      <w:pPr>
        <w:pStyle w:val="1"/>
        <w:spacing w:beforeAutospacing="0" w:after="0" w:afterAutospacing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1.2.Управління у своїй діяльності керується Конституцією України, Кодексом законів про працю України, Законами України «Про місцеве самоврядування в Україні», «Про службу в органах місцевого самоврядування», «Про запобігання корупції», та іншими законами України, постановами Верховної Ради України, актами Президента України, Кабінету Міністрів України, наказами Міністерства соціальної політики України (далі - Мінсоцполітики), іншими нормативно-правовими актами, рішеннями міської ради та її виконавчого комітету, розпорядженнями міського голови, а також цим Положенням.</w:t>
      </w:r>
    </w:p>
    <w:p>
      <w:pPr>
        <w:spacing w:beforeAutospacing="0" w:after="0" w:afterAutospacing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1.3.Управління забезпечує реалізацію державної соціальної політики у Броварській міській територіальній громаді (далі- громада) у сфері соціального захисту населення.</w:t>
      </w:r>
    </w:p>
    <w:p>
      <w:pPr>
        <w:spacing w:beforeAutospacing="0" w:after="0" w:afterAutospacing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1.4.Управління утримується за рахунок коштів місцевого бюджету. Граничну чисельність, структуру, фонд оплати праці працівників та видатки на утримання управління в межах виділених асигнувань затверджує міська рада. Штатний розпис управління затверджує міський голова.</w:t>
      </w:r>
    </w:p>
    <w:p>
      <w:pPr>
        <w:spacing w:beforeAutospacing="0" w:after="0" w:afterAutospacing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1.5.Управління є юридичною особою публічного права, має самостійний баланс, рахунки в органах Казначейства, печатку із зображення Державного Герба України та своїм найменуванням, власні бланки.</w:t>
      </w:r>
    </w:p>
    <w:p>
      <w:pPr>
        <w:spacing w:beforeAutospacing="0" w:after="0" w:afterAutospacing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1.6.Юридична адреса управління: вул. Героїв України, буд.18, м. Бровари, Броварський  район, Київська область, Україна, 07400.</w:t>
      </w:r>
    </w:p>
    <w:p>
      <w:pPr>
        <w:spacing w:beforeAutospacing="0" w:after="0" w:afterAutospacing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1.7.Управління не є платником податку як неприбуткова установа.</w:t>
      </w:r>
    </w:p>
    <w:p>
      <w:pPr>
        <w:spacing w:beforeAutospacing="0" w:after="0" w:afterAutospacing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1.8.У разі припинення діяльності управління ( у результаті ліквідації, злиття, поділу, приєднання або перетворення) передача активів та майна управління здійснюється одній або кільком неприбутковим організаціям відповідного виду, або зараховується до доходу місцевого бюджету.</w:t>
      </w:r>
    </w:p>
    <w:p>
      <w:pPr>
        <w:spacing w:beforeAutospacing="0" w:after="0" w:afterAutospacing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1.9.Забороняється розподіл отриманих доходів(прибутків) серед працівників установи (крім оплати їх праці, нарахування єдиного соціального внеску), членів органів управління та інших, пов′язаних з ними осіб.</w:t>
      </w:r>
    </w:p>
    <w:p>
      <w:pPr>
        <w:spacing w:beforeAutospacing="0" w:after="0" w:afterAutospacing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1.10.Доходи, (прибутки) управління використовуються виключно для фінансування видатків на утримання управління, реалізацію мети, (цілей, завдань) та напрямів діяльності, визначених цим Положенням.</w:t>
      </w:r>
    </w:p>
    <w:p>
      <w:pPr>
        <w:spacing w:beforeAutospacing="0" w:after="0" w:afterAutospacing="0" w:line="240" w:lineRule="auto"/>
        <w:ind w:left="360" w:hanging="360"/>
        <w:jc w:val="center"/>
        <w:rPr>
          <w:rFonts w:ascii="Times New Roman" w:hAnsi="Times New Roman"/>
          <w:b/>
          <w:sz w:val="32"/>
          <w:szCs w:val="32"/>
        </w:rPr>
      </w:pPr>
    </w:p>
    <w:p>
      <w:pPr>
        <w:spacing w:beforeAutospacing="0" w:after="0" w:afterAutospacing="0" w:line="240" w:lineRule="auto"/>
        <w:ind w:left="360" w:hanging="36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2. Мета діяльності та основні завдання управління</w:t>
      </w:r>
    </w:p>
    <w:p>
      <w:pPr>
        <w:spacing w:beforeAutospacing="0" w:after="0" w:afterAutospacing="0" w:line="240" w:lineRule="auto"/>
        <w:ind w:left="360" w:hanging="360"/>
        <w:jc w:val="center"/>
        <w:rPr>
          <w:rFonts w:ascii="Times New Roman" w:hAnsi="Times New Roman"/>
          <w:b/>
          <w:sz w:val="32"/>
          <w:szCs w:val="32"/>
        </w:rPr>
      </w:pPr>
    </w:p>
    <w:p>
      <w:pPr>
        <w:spacing w:beforeAutospacing="0" w:after="0" w:afterAutospacing="0" w:line="240" w:lineRule="auto"/>
        <w:ind w:left="360" w:hanging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Метою діяльності та основними завданнями управління є:</w:t>
      </w:r>
    </w:p>
    <w:p>
      <w:pPr>
        <w:spacing w:beforeAutospacing="0" w:after="0" w:afterAutospacing="0" w:line="240" w:lineRule="auto"/>
        <w:ind w:left="360" w:hanging="360"/>
        <w:jc w:val="both"/>
        <w:rPr>
          <w:rFonts w:ascii="Times New Roman" w:hAnsi="Times New Roman"/>
          <w:sz w:val="28"/>
          <w:szCs w:val="28"/>
        </w:rPr>
      </w:pPr>
    </w:p>
    <w:p>
      <w:pPr>
        <w:spacing w:beforeAutospacing="0" w:after="0" w:afterAutospacing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2.1.забезпечення реалізації державної політики з питань соціального захисту населення, державної ветеранської політики, виконання програм із здійснення заходів у цій сфері;</w:t>
      </w:r>
    </w:p>
    <w:p>
      <w:pPr>
        <w:spacing w:beforeAutospacing="0" w:after="0" w:afterAutospacing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2.2. призначення та виплата соціальної допомоги, компенсацій та інших соціальних виплат, встановлених законодавством України;</w:t>
      </w:r>
    </w:p>
    <w:p>
      <w:pPr>
        <w:spacing w:beforeAutospacing="0" w:after="0" w:afterAutospacing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2.3.організація соціального обслуговування населення, надання соціальних послуг шляхом розвитку спеціалізованих закладів, установ та служб та залучення недержавних організацій , які надають соціальні послуги;</w:t>
      </w:r>
    </w:p>
    <w:p>
      <w:pPr>
        <w:spacing w:beforeAutospacing="0" w:after="0" w:afterAutospacing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2.4.розроблення та організація виконання комплексних програм та заходів щодо поліпшення становища соціально вразливих верств населення, сімей та громадян, які перебувають у складних життєвих обставинах, та всебічне сприяння в отриманні ними соціальних виплат та послуг за місцем проживання, перебування;</w:t>
      </w:r>
    </w:p>
    <w:p>
      <w:pPr>
        <w:spacing w:beforeAutospacing="0" w:after="0" w:afterAutospacing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2.5.забезпечення соціальної інтеграції осіб з інвалідністю, сприяння створенню умов для безперешкодного доступу осіб з  інвалідністю до суб’єктів соціальної інфраструктури;</w:t>
      </w:r>
    </w:p>
    <w:p>
      <w:pPr>
        <w:spacing w:beforeAutospacing="0" w:after="0" w:afterAutospacing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2.6.здійснення нагляду за додержанням вимог законодавства під час призначення (перерахунку) та виплати пенсій органами Пенсійного фонду України, проведення інформаційно-роз’яснювальної роботи;</w:t>
      </w:r>
    </w:p>
    <w:p>
      <w:pPr>
        <w:spacing w:beforeAutospacing="0" w:after="0" w:afterAutospacing="0" w:line="240" w:lineRule="auto"/>
        <w:jc w:val="both"/>
        <w:rPr>
          <w:rFonts w:ascii="Times New Roman" w:hAnsi="Times New Roman"/>
          <w:b/>
          <w:sz w:val="32"/>
          <w:szCs w:val="32"/>
        </w:rPr>
      </w:pPr>
    </w:p>
    <w:p>
      <w:pPr>
        <w:spacing w:beforeAutospacing="0" w:after="0" w:afterAutospacing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3. Функції</w:t>
      </w:r>
    </w:p>
    <w:p>
      <w:pPr>
        <w:spacing w:beforeAutospacing="0" w:after="0" w:afterAutospacing="0" w:line="240" w:lineRule="auto"/>
        <w:jc w:val="both"/>
        <w:rPr>
          <w:rFonts w:ascii="Times New Roman" w:hAnsi="Times New Roman"/>
          <w:b/>
          <w:sz w:val="32"/>
          <w:szCs w:val="32"/>
        </w:rPr>
      </w:pPr>
    </w:p>
    <w:p>
      <w:pPr>
        <w:spacing w:beforeAutospacing="0" w:after="0" w:afterAutospacing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Управління в межах компетенції:</w:t>
      </w:r>
    </w:p>
    <w:p>
      <w:pPr>
        <w:spacing w:beforeAutospacing="0" w:after="0" w:afterAutospacing="0" w:line="240" w:lineRule="auto"/>
        <w:jc w:val="both"/>
        <w:rPr>
          <w:rFonts w:ascii="Times New Roman" w:hAnsi="Times New Roman"/>
          <w:sz w:val="28"/>
          <w:szCs w:val="28"/>
        </w:rPr>
      </w:pPr>
    </w:p>
    <w:p>
      <w:pPr>
        <w:spacing w:beforeAutospacing="0" w:after="0" w:afterAutospacing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3.1.організовує виконання Конституції і законів України, актів Президента України, Кабінету Міністрів України, наказів Міністерства соціальної політики України та здійснює контроль за їх реалізацією;</w:t>
      </w:r>
    </w:p>
    <w:p>
      <w:pPr>
        <w:spacing w:beforeAutospacing="0" w:after="0" w:afterAutospacing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3.2.забезпечує у межах своїх повноважень захист прав і законних інтересів фізичних та юридичних осіб;</w:t>
      </w:r>
    </w:p>
    <w:p>
      <w:pPr>
        <w:spacing w:beforeAutospacing="0" w:after="0" w:afterAutospacing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3.3.бере участь у підготовці пропозицій до проектів програм соціально-економічного розвитку громади;</w:t>
      </w:r>
    </w:p>
    <w:p>
      <w:pPr>
        <w:spacing w:beforeAutospacing="0" w:after="0" w:afterAutospacing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3.4.вносить пропозиції щодо проекту місцевого бюджету;</w:t>
      </w:r>
    </w:p>
    <w:p>
      <w:pPr>
        <w:spacing w:beforeAutospacing="0" w:after="0" w:afterAutospacing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3.5.забезпечує ефективне і цільове використання відповідних бюджетних коштів;</w:t>
      </w:r>
    </w:p>
    <w:p>
      <w:pPr>
        <w:spacing w:beforeAutospacing="0" w:after="0" w:afterAutospacing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3.6.бере участь у підготовці заходів щодо регіонального розвитку;</w:t>
      </w:r>
    </w:p>
    <w:p>
      <w:pPr>
        <w:spacing w:beforeAutospacing="0" w:after="0" w:afterAutospacing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3.7.розробляє проекти рішень міської ради, виконавчого комітету, розпоряджень міського голови, з питань, віднесених до повноважень управління;</w:t>
      </w:r>
    </w:p>
    <w:p>
      <w:pPr>
        <w:spacing w:beforeAutospacing="0" w:after="0" w:afterAutospacing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3.8.забезпечує здійснення заходів щодо запобігання і протидії корупції;</w:t>
      </w:r>
    </w:p>
    <w:p>
      <w:pPr>
        <w:spacing w:beforeAutospacing="0" w:after="0" w:afterAutospacing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3.9.розглядає в установленому законодавством  порядку звернення громадян;</w:t>
      </w:r>
    </w:p>
    <w:p>
      <w:pPr>
        <w:spacing w:beforeAutospacing="0" w:after="0" w:afterAutospacing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3.10.відповідно до Закону України «Про доступ до публічної інформації, забезпечує доступ до публічної інформації, розпорядником якої є управління. З цією метою призначається особа, відповідальна за виконання вищезазначеного напрямку роботи, про що зазначається в посадових обов’язках такого працівника;</w:t>
      </w:r>
    </w:p>
    <w:p>
      <w:pPr>
        <w:spacing w:beforeAutospacing="0" w:after="0" w:afterAutospacing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3.11.постійно інформує населення про стан здійснення визначених законом повноважень;</w:t>
      </w:r>
    </w:p>
    <w:p>
      <w:pPr>
        <w:spacing w:beforeAutospacing="0" w:after="0" w:afterAutospacing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3.12.забезпечує у межах своїх повноважень виконання завдань мобілізаційної підготовки, цивільного захисту населення;</w:t>
      </w:r>
    </w:p>
    <w:p>
      <w:pPr>
        <w:spacing w:beforeAutospacing="0" w:after="0" w:afterAutospacing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3.13.організовує роботу з укомплектування, зберігання, обліку та використання архівних документів;</w:t>
      </w:r>
    </w:p>
    <w:p>
      <w:pPr>
        <w:spacing w:beforeAutospacing="0" w:after="0" w:afterAutospacing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3.14.забезпечує у межах своїх повноважень реалізацію державної політики стосовно захисту інформації з обмеженим доступом;</w:t>
      </w:r>
    </w:p>
    <w:p>
      <w:pPr>
        <w:spacing w:beforeAutospacing="0" w:after="0" w:afterAutospacing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3.15.забезпечує захист персональних даних;</w:t>
      </w:r>
    </w:p>
    <w:p>
      <w:pPr>
        <w:spacing w:beforeAutospacing="0" w:after="0" w:afterAutospacing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3.16.готує та подає в установленому порядку аналітичні матеріали і статистичну звітність з питань, що належить до його компетенції;</w:t>
      </w:r>
    </w:p>
    <w:p>
      <w:pPr>
        <w:spacing w:beforeAutospacing="0" w:after="0" w:afterAutospacing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3.17.залучає громадські та благодійні організації до виконання соціальних програм і здійснення відповідних заходів;</w:t>
      </w:r>
    </w:p>
    <w:p>
      <w:pPr>
        <w:spacing w:beforeAutospacing="0" w:after="0" w:afterAutospacing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3.18.здійснює нагляд за додержанням вимог законодавства під час призначення (перерахунку) та виплати пенсій органами Пенсійного фонду України, проводить  інформаційно-роз’яснювальну роботу;</w:t>
      </w:r>
    </w:p>
    <w:p>
      <w:pPr>
        <w:spacing w:beforeAutospacing="0" w:after="0" w:afterAutospacing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3.19.з питань реалізації заходів соціальної підтримки населення:</w:t>
      </w:r>
    </w:p>
    <w:p>
      <w:pPr>
        <w:spacing w:beforeAutospacing="0" w:after="0" w:afterAutospacing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організовує в межах своєї компетенції роботу щодо відшкодування витрат на оплату послуг зв’язку, пільгового проїзду автомобільним та залізничним транспортом окремим категоріям громадян, та інших пільг, передбачених законодавством; </w:t>
      </w:r>
    </w:p>
    <w:p>
      <w:pPr>
        <w:spacing w:beforeAutospacing="0" w:after="0" w:afterAutospacing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здійснює прийом заяв з необхідними документами та /або відомостями про призначення та надання житлової субсидії;</w:t>
      </w:r>
    </w:p>
    <w:p>
      <w:pPr>
        <w:spacing w:beforeAutospacing="0" w:after="0" w:afterAutospacing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</w:p>
    <w:p>
      <w:pPr>
        <w:spacing w:beforeAutospacing="0" w:after="0" w:afterAutospacing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</w:p>
    <w:p>
      <w:pPr>
        <w:spacing w:beforeAutospacing="0" w:after="0" w:afterAutospacing="0" w:line="240" w:lineRule="auto"/>
        <w:jc w:val="both"/>
        <w:rPr>
          <w:rFonts w:ascii="Times New Roman" w:hAnsi="Times New Roman"/>
          <w:sz w:val="28"/>
          <w:szCs w:val="28"/>
        </w:rPr>
      </w:pPr>
    </w:p>
    <w:p>
      <w:pPr>
        <w:spacing w:beforeAutospacing="0" w:after="0" w:afterAutospacing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-здійснює прийом заяв з  необхідними документами та / або відомостями про надання пільг на оплату житлово-комунальних послуг, придбання твердого палива і скрапленого газу;</w:t>
      </w:r>
    </w:p>
    <w:p>
      <w:pPr>
        <w:spacing w:beforeAutospacing="0" w:after="0" w:afterAutospacing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здійснює призначення та виплату:</w:t>
      </w:r>
    </w:p>
    <w:p>
      <w:pPr>
        <w:numPr>
          <w:ilvl w:val="0"/>
          <w:numId w:val="1"/>
        </w:numPr>
        <w:spacing w:beforeAutospacing="0" w:after="0" w:afterAutospacing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державної допомоги сім’ям з дітьми; допомоги на дітей, які виховуються в багатодітних сім’ях; державної соціальної допомоги малозабезпеченим сім’ям; державної соціальної допомоги на дітей-сиріт та дітей, позбавлених батьківського піклування, грошового забезпечення батькам-вихователям і прийомним батькам за надання соціальних послуг у дитячих будинках сімейного типу та прийомних сім’ях за принципом «гроші ходять за дитиною», оплати послуг із здійснення патронату над дитиною та виплати соціальної допомоги на утримання дитини в сім’ї патронатного вихователя; державної соціальної допомоги особам з інвалідністю з дитинства та дітям з інвалідністю;  державної соціальної допомоги особам, які не мають права на пенсію та особам з інвалідністю; тимчасової державної соціальної допомоги непрацюючій особі, яка досягла пенсійного віку, але не набула права на пенсійну виплату; тимчасової державної допомоги дітям, батьки яких ухиляються від сплати аліментів, не мають можливості утримувати дитину або місце проживання їх невідоме; одноразової матеріальної допомоги особам з інвалідністю та непрацюючим малозабезпеченим особам; щомісячної грошової допомоги особі, яка проживає разом з особою з інвалідністю І чи ІІ групи внаслідок психічного розладу, яка за висновком лікарської комісії медичного закладу потребує постійного стороннього догляду, на догляд за нею; одноразової грошової допомоги особам, які отримали тілесні ушкодження під час участі у масових акціях громадського протесту, що відбулися у період з 21 листопада 2013 року по 21 лютого 2014 року одноразової грошової допомоги членам сімей осіб, смерть яких пов’язана з участю у масових акціях громадського протесту, що відбулися у період з 21 листопада 2013 року по 21 лютого 2014 року, а також особам, яким посмертно присвоєно звання Герой України за громадянську мужність, патріотизм, героїчне відстоювання конституційних засад демократії, прав і свобод людини, самовіддане служіння українському народові, виявлені під час Революції гідності; одноразової грошової допомоги в разі загибелі (смерті) або інвалідності деяких категорій осіб; одноразової грошової допомоги постраждалим і внутрішньо переміщеним особам, які перебувають у складних життєвих обставинах, що спричинені соціальним становищем, внаслідок яких особа частково або повністю не має здатності чи можливості самостійно піклуватися про особисте (сімейне) життя і брати участь у суспільному житті, допомоги на проживання внутрішньо переміщеним особам,а також інших видів державної допомоги відповідно до законодавства України; </w:t>
      </w:r>
    </w:p>
    <w:p>
      <w:pPr>
        <w:numPr>
          <w:ilvl w:val="0"/>
          <w:numId w:val="1"/>
        </w:numPr>
        <w:spacing w:beforeAutospacing="0" w:after="0" w:afterAutospacing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відшкодування вартості послуги з догляду за дитиною до трьох років «муніципальна няня»;</w:t>
      </w:r>
    </w:p>
    <w:p>
      <w:pPr>
        <w:numPr>
          <w:ilvl w:val="0"/>
          <w:numId w:val="1"/>
        </w:numPr>
        <w:tabs>
          <w:tab w:val="num" w:pos="0"/>
          <w:tab w:val="clear" w:pos="795"/>
        </w:tabs>
        <w:spacing w:beforeAutospacing="0" w:after="0" w:afterAutospacing="0" w:line="240" w:lineRule="auto"/>
        <w:ind w:left="0" w:firstLine="43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виплату щомісячної компенсації непрацюючій працездатній особі, яка доглядає за особою з  інвалідністю I групи, а також за престарілим, який досяг 80-річного віку;</w:t>
      </w:r>
    </w:p>
    <w:p>
      <w:pPr>
        <w:pStyle w:val="ListParagraph"/>
        <w:numPr>
          <w:ilvl w:val="0"/>
          <w:numId w:val="1"/>
        </w:numPr>
        <w:spacing w:beforeAutospacing="0" w:after="0" w:afterAutospacing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одноразової винагороди жінкам, яким присвоєно почесне звання    «Мати-</w:t>
      </w:r>
      <w:r>
        <w:rPr>
          <w:rFonts w:ascii="Times New Roman" w:hAnsi="Times New Roman"/>
          <w:sz w:val="28"/>
          <w:szCs w:val="28"/>
        </w:rPr>
        <w:t>героїня»;</w:t>
      </w:r>
    </w:p>
    <w:p>
      <w:pPr>
        <w:spacing w:beforeAutospacing="0" w:after="0" w:afterAutospacing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5) одноразової  компенсації  особам  з  інвалідністю  та  дітям з інвалідністю,        постраждалим внаслідок дії вибухонебезпечних предметів;</w:t>
      </w:r>
    </w:p>
    <w:p>
      <w:pPr>
        <w:spacing w:beforeAutospacing="0" w:after="0" w:afterAutospacing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6) щорічної допомоги на оздоровлення особам з інвалідністю та дітям з інвалідністю, постраждалих внаслідок дії вибухонебезпечних предметів;</w:t>
      </w:r>
    </w:p>
    <w:p>
      <w:pPr>
        <w:spacing w:beforeAutospacing="0" w:after="0" w:afterAutospacing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7) одноразової матеріальної допомоги особам, які постраждали від торгівлі людьми;</w:t>
      </w:r>
    </w:p>
    <w:p>
      <w:pPr>
        <w:spacing w:beforeAutospacing="0" w:after="0" w:afterAutospacing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8) одноразової грошової допомоги у разі загибелі (смерті) або інвалідності деяких категорій осіб відповідно до Закону України «Про статус ветеранів війни, гарантії їх соціального захисту, отримувачами яких є члени сімей загиблих (померлих) Захисників та Захисниць України.  </w:t>
      </w:r>
    </w:p>
    <w:p>
      <w:pPr>
        <w:spacing w:beforeAutospacing="0" w:after="0" w:afterAutospacing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  бере участь у роботі комісій, утворених при виконавчому комітеті, з питань соціального захисту населення;</w:t>
      </w:r>
    </w:p>
    <w:p>
      <w:pPr>
        <w:spacing w:beforeAutospacing="0" w:after="0" w:afterAutospacing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  формує  податковий розрахунок сум доходу, нарахованого (сплаченого) на   користь платників податку, і сум утриманого з  них податку отримувачів державних соціальних допомог;</w:t>
      </w:r>
    </w:p>
    <w:p>
      <w:pPr>
        <w:pStyle w:val="ListParagraph"/>
        <w:spacing w:beforeAutospacing="0" w:after="0" w:afterAutospacing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-    проводить інвентаризацію особових справ  та рахунків осіб, які одержують соціальну допомогу, в установленому законодавством порядку;</w:t>
      </w:r>
    </w:p>
    <w:p>
      <w:pPr>
        <w:spacing w:beforeAutospacing="0" w:after="0" w:afterAutospacing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 забезпечує розгляд заяв та прийняття рішень відповідно до затверджених    стандартів надання послуг;</w:t>
      </w:r>
    </w:p>
    <w:p>
      <w:pPr>
        <w:spacing w:beforeAutospacing="0" w:after="0" w:afterAutospacing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3.20. у сфері реалізації державних соціальних гарантій окремим категоріям громадян:</w:t>
      </w:r>
    </w:p>
    <w:p>
      <w:pPr>
        <w:spacing w:beforeAutospacing="0" w:after="0" w:afterAutospacing="0" w:line="240" w:lineRule="auto"/>
        <w:ind w:right="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   розробляє проекти місцевих програм щодо підтримки Захисників і Захисниць України, членів сімей загиблих Захисників і Захисниць України;</w:t>
      </w:r>
    </w:p>
    <w:p>
      <w:pPr>
        <w:pStyle w:val="NoSpacing"/>
        <w:ind w:right="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-    координує заходи, спрямовані на підтримку Захисників і Захисниць України, членів їх сімей, членів сімей загиблих (померлих) Захисників і Захисниць України;</w:t>
      </w:r>
    </w:p>
    <w:p>
      <w:pPr>
        <w:spacing w:beforeAutospacing="0" w:after="0" w:afterAutospacing="0" w:line="240" w:lineRule="auto"/>
        <w:ind w:right="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  організовує  роботу  щодо  реалізації заходів всебічної підтримки, залежно від потреб конкретного ветерана та його родини;</w:t>
      </w:r>
    </w:p>
    <w:p>
      <w:pPr>
        <w:spacing w:beforeAutospacing="0" w:after="0" w:afterAutospacing="0" w:line="240" w:lineRule="auto"/>
        <w:ind w:right="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організовує   призначення   та  виплату допомоги, компенсацій та надання  інших соціальних гарантій громадянам, які постраждали внаслідок Чорнобильської катастрофи, відповідно до законодавства України;</w:t>
      </w:r>
    </w:p>
    <w:p>
      <w:pPr>
        <w:numPr>
          <w:ilvl w:val="0"/>
          <w:numId w:val="2"/>
        </w:numPr>
        <w:spacing w:beforeAutospacing="0" w:after="0" w:afterAutospacing="0" w:line="240" w:lineRule="auto"/>
        <w:ind w:left="0" w:right="1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здійснює підготовку документів щодо визначення статусу осіб, які постраждали внаслідок Чорнобильської катастрофи;</w:t>
      </w:r>
    </w:p>
    <w:p>
      <w:pPr>
        <w:numPr>
          <w:ilvl w:val="0"/>
          <w:numId w:val="2"/>
        </w:numPr>
        <w:spacing w:beforeAutospacing="0" w:after="0" w:afterAutospacing="0" w:line="240" w:lineRule="auto"/>
        <w:ind w:left="0" w:right="1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організовує санаторно-курортне лікування осіб з інвалідністю, ветеранів війни та праці, жертв нацистських переслідувань, учасників антитерористичної операції, громадян, які постраждали внаслідок Чорнобильської катастрофи, а також виплату грошових компенсацій вартості санаторно – курортного лікування деяким категоріям громадян відповідно до законодавства України;</w:t>
      </w:r>
    </w:p>
    <w:p>
      <w:pPr>
        <w:numPr>
          <w:ilvl w:val="0"/>
          <w:numId w:val="2"/>
        </w:numPr>
        <w:tabs>
          <w:tab w:val="num" w:pos="360"/>
        </w:tabs>
        <w:spacing w:beforeAutospacing="0" w:after="0" w:afterAutospacing="0" w:line="240" w:lineRule="auto"/>
        <w:ind w:left="0" w:right="1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видає відповідні посвідчення категоріям громадян, які мають право на    пільги відповідно до законодавства України;</w:t>
      </w:r>
    </w:p>
    <w:p>
      <w:pPr>
        <w:numPr>
          <w:ilvl w:val="0"/>
          <w:numId w:val="2"/>
        </w:numPr>
        <w:spacing w:beforeAutospacing="0" w:after="0" w:afterAutospacing="0" w:line="240" w:lineRule="auto"/>
        <w:ind w:left="0" w:right="1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організовує та здійснює виплату одноразової  матеріальної допомоги особам, які постраждали від торгівлі людьми;</w:t>
      </w:r>
    </w:p>
    <w:p>
      <w:pPr>
        <w:spacing w:beforeAutospacing="0" w:after="0" w:afterAutospacing="0" w:line="240" w:lineRule="auto"/>
        <w:ind w:right="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   веде облік внутрішньо переміщених осіб;</w:t>
      </w:r>
    </w:p>
    <w:p>
      <w:pPr>
        <w:spacing w:beforeAutospacing="0" w:after="0" w:afterAutospacing="0" w:line="240" w:lineRule="auto"/>
        <w:ind w:right="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 здійснює заходи щодо надання послуг із професійної адаптації </w:t>
      </w:r>
      <w:r>
        <w:rPr>
          <w:rFonts w:ascii="Times New Roman" w:hAnsi="Times New Roman"/>
          <w:bCs/>
          <w:sz w:val="28"/>
          <w:szCs w:val="28"/>
          <w:shd w:val="clear" w:color="auto" w:fill="FFFFFF"/>
        </w:rPr>
        <w:t>ветеранам війни, особам, які мають особливі заслуги перед Батьківщиною, членам сімей таких осіб, членам сімей загиблих (померлих) ветеранів війни, членам сімей загиблих (померлих) Захисників та Захисниць України;</w:t>
      </w:r>
    </w:p>
    <w:p>
      <w:pPr>
        <w:spacing w:beforeAutospacing="0" w:after="0" w:afterAutospacing="0" w:line="240" w:lineRule="auto"/>
        <w:ind w:right="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 здійснює  виплату  грошової компенсації за належні для отримання жилі приміщення деяким категоріям осіб, які захищали незалежність, суверенітет та територіальну цілісність України , а також членів їх сімей;</w:t>
      </w:r>
    </w:p>
    <w:p>
      <w:pPr>
        <w:spacing w:beforeAutospacing="0" w:after="0" w:afterAutospacing="0" w:line="240" w:lineRule="auto"/>
        <w:ind w:right="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здійснює виплату грошової компенсації за належні для отримання жилі  приміщення для внутрішньо переміщених осіб, які захищали незалежність,   суверенітет та територіальну цілісність України;</w:t>
      </w:r>
    </w:p>
    <w:p>
      <w:pPr>
        <w:pStyle w:val="ListParagraph"/>
        <w:spacing w:beforeAutospacing="0" w:after="0" w:afterAutospacing="0" w:line="240" w:lineRule="auto"/>
        <w:ind w:left="0" w:right="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-  здійснює виплату грошової компенсації за належні для отримання жилі приміщення деяким категоріям осіб, які брали участь у бойових діях на території інших держав, а також членів їх сімей;</w:t>
      </w:r>
    </w:p>
    <w:p>
      <w:pPr>
        <w:spacing w:beforeAutospacing="0" w:after="0" w:afterAutospacing="0" w:line="240" w:lineRule="auto"/>
        <w:ind w:right="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 здійснює      виплату     матеріальної     допомоги    військовослужбовцям,   </w:t>
      </w:r>
    </w:p>
    <w:p>
      <w:pPr>
        <w:spacing w:beforeAutospacing="0" w:after="0" w:afterAutospacing="0" w:line="240" w:lineRule="auto"/>
        <w:ind w:right="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звільненим з військової строкової служби.</w:t>
      </w:r>
    </w:p>
    <w:p>
      <w:pPr>
        <w:spacing w:beforeAutospacing="0" w:after="0" w:afterAutospacing="0" w:line="240" w:lineRule="auto"/>
        <w:ind w:right="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3.21.у сфері соціального обслуговування та надання соціальних послуг населенню:</w:t>
      </w:r>
    </w:p>
    <w:p>
      <w:pPr>
        <w:spacing w:beforeAutospacing="0" w:after="0" w:afterAutospacing="0" w:line="240" w:lineRule="auto"/>
        <w:ind w:right="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здійснює    організаційно – методичне     забезпечення  та   контроль     за додержанням    законодавства    про    надання соціальних послуг Броварським     міським територіальним центром соціального обслуговування  Броварського    району Київської області;</w:t>
      </w:r>
    </w:p>
    <w:p>
      <w:pPr>
        <w:spacing w:beforeAutospacing="0" w:after="0" w:afterAutospacing="0" w:line="240" w:lineRule="auto"/>
        <w:ind w:right="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координує     роботу   та  здійснює організаційно-методичне забезпечення міського центру    комплексної    реабілітації    дітей з інвалідністю Броварської міської ради Броварського району Київської   області ;    </w:t>
      </w:r>
    </w:p>
    <w:p>
      <w:pPr>
        <w:spacing w:beforeAutospacing="0" w:after="0" w:afterAutospacing="0" w:line="240" w:lineRule="auto"/>
        <w:ind w:right="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координує роботу та здійснює організаційно-методичне забезпечення Центру соціальних служб  Броварської міської ради Броварського району Київської області ;</w:t>
      </w:r>
    </w:p>
    <w:p>
      <w:pPr>
        <w:spacing w:beforeAutospacing="0" w:after="0" w:afterAutospacing="0" w:line="240" w:lineRule="auto"/>
        <w:ind w:right="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подає  пропозиції   під  час формування проекту місцевого бюджету щодо передбачення коштів у складі видатків на фінансування місцевих програм      соціального    захисту;</w:t>
      </w:r>
    </w:p>
    <w:p>
      <w:pPr>
        <w:spacing w:beforeAutospacing="0" w:after="0" w:afterAutospacing="0" w:line="240" w:lineRule="auto"/>
        <w:ind w:right="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 забезпечує виконання державної політики з питань надання соціальних послуг особам, окремим соціальним групам, які перебувають у складних життєвих обставинах і не можуть самостійно їх подолати;</w:t>
      </w:r>
    </w:p>
    <w:p>
      <w:pPr>
        <w:spacing w:beforeAutospacing="0" w:after="0" w:afterAutospacing="0" w:line="240" w:lineRule="auto"/>
        <w:ind w:right="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сприяє   влаштуванню   за   потреби   до   будинків – інтернатів  громадян похилого віку, осіб з  інвалідністю та дітей з інвалідністю;</w:t>
      </w:r>
    </w:p>
    <w:p>
      <w:pPr>
        <w:pStyle w:val="NoSpacing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-  вживає    заходів   до    соціального    захисту   бездомних громадян та осіб, звільнених з місць позбавлення волі;</w:t>
      </w:r>
    </w:p>
    <w:p>
      <w:pPr>
        <w:pStyle w:val="rvps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організовує процедуру визначення потреб населення  Броварської міської територіальної громади у соціальних послугах  з метою отримання об’єктивних даних (кількісних та якісних), необхідних для забезпечення розвитку на території громади системи надання соціальних послуг, що функціонує на засадах </w:t>
      </w:r>
    </w:p>
    <w:p>
      <w:pPr>
        <w:pStyle w:val="NoSpacing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безбар’єрності, безперервності, послідовності надання соціальних послуг та їх різноманітності;</w:t>
      </w:r>
    </w:p>
    <w:p>
      <w:pPr>
        <w:pStyle w:val="NoSpacing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- приймає рішення щодо надання або відмову у наданні соціальних послуг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особам/сім’ям, які </w:t>
      </w:r>
      <w:r>
        <w:rPr>
          <w:rFonts w:ascii="Times New Roman" w:hAnsi="Times New Roman"/>
          <w:sz w:val="28"/>
          <w:szCs w:val="28"/>
          <w:lang w:val="uk-UA"/>
        </w:rPr>
        <w:t>перебувають у складних життєвих обставинах та які не можуть самостійно подолати негативний вплив цих обставин;</w:t>
      </w:r>
    </w:p>
    <w:p>
      <w:pPr>
        <w:pStyle w:val="NoSpacing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- з</w:t>
      </w:r>
      <w:r>
        <w:rPr>
          <w:rFonts w:ascii="Times New Roman" w:hAnsi="Times New Roman"/>
          <w:sz w:val="28"/>
          <w:szCs w:val="28"/>
          <w:shd w:val="clear" w:color="auto" w:fill="FFFFFF"/>
        </w:rPr>
        <w:t>абезпечує ведення Реєстру надавачів та отримувачів соціальних послуг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;</w:t>
      </w:r>
    </w:p>
    <w:p>
      <w:pPr>
        <w:pStyle w:val="NoSpacing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- в</w:t>
      </w:r>
      <w:r>
        <w:rPr>
          <w:rFonts w:ascii="Times New Roman" w:hAnsi="Times New Roman"/>
          <w:sz w:val="28"/>
          <w:szCs w:val="28"/>
          <w:shd w:val="clear" w:color="auto" w:fill="FFFFFF"/>
        </w:rPr>
        <w:t>еде облік фізичних осіб, які надають соціальні послуги з догляду на професійній основі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;</w:t>
      </w:r>
    </w:p>
    <w:p>
      <w:pPr>
        <w:pStyle w:val="NoSpacing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3.22. у сфері соціальної інтеграції осіб з інвалідністю:</w:t>
      </w:r>
    </w:p>
    <w:p>
      <w:pPr>
        <w:spacing w:beforeAutospacing="0" w:after="0" w:afterAutospacing="0" w:line="240" w:lineRule="auto"/>
        <w:ind w:right="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здійснює    облік    осіб   з  інвалідністю,  дітей з інвалідністю та інших осіб, які    мають   право   на   безоплатне   забезпечення допоміжними засобами реабілітаціі (технічними та іншими засобами реабілітаціі);</w:t>
      </w:r>
    </w:p>
    <w:p>
      <w:pPr>
        <w:spacing w:beforeAutospacing="0" w:after="0" w:afterAutospacing="0" w:line="240" w:lineRule="auto"/>
        <w:ind w:right="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здійснює роботу з оформлення документів для визначення права осіб з інвалідністю та дітей з інвалідністю на безоплатне та пільгове забезпечення автомобілями;</w:t>
      </w:r>
    </w:p>
    <w:p>
      <w:pPr>
        <w:numPr>
          <w:ilvl w:val="0"/>
          <w:numId w:val="2"/>
        </w:numPr>
        <w:tabs>
          <w:tab w:val="num" w:pos="0"/>
          <w:tab w:val="num" w:pos="180"/>
        </w:tabs>
        <w:spacing w:beforeAutospacing="0" w:after="0" w:afterAutospacing="0" w:line="240" w:lineRule="auto"/>
        <w:ind w:left="0" w:right="1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здійснює   направлення   до    центрів    реабілітації   дітей   з    інвалідністю відповідно до поданих заяв та документів;</w:t>
      </w:r>
    </w:p>
    <w:p>
      <w:pPr>
        <w:pStyle w:val="ListParagraph"/>
        <w:numPr>
          <w:ilvl w:val="0"/>
          <w:numId w:val="2"/>
        </w:numPr>
        <w:tabs>
          <w:tab w:val="num" w:pos="0"/>
          <w:tab w:val="num" w:pos="284"/>
        </w:tabs>
        <w:spacing w:beforeAutospacing="0" w:after="0" w:afterAutospacing="0" w:line="240" w:lineRule="auto"/>
        <w:ind w:left="0" w:right="1" w:firstLine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здійснює   виплату   грошових  компенсацій, передбачених законодавством України;</w:t>
      </w:r>
    </w:p>
    <w:p>
      <w:pPr>
        <w:numPr>
          <w:ilvl w:val="0"/>
          <w:numId w:val="2"/>
        </w:numPr>
        <w:tabs>
          <w:tab w:val="num" w:pos="0"/>
          <w:tab w:val="num" w:pos="180"/>
        </w:tabs>
        <w:spacing w:beforeAutospacing="0" w:after="0" w:afterAutospacing="0" w:line="240" w:lineRule="auto"/>
        <w:ind w:right="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інформує  місцевий   центр  зайнятості про осіб з  інвалідністю, які виявили </w:t>
      </w:r>
    </w:p>
    <w:p>
      <w:pPr>
        <w:tabs>
          <w:tab w:val="num" w:pos="0"/>
        </w:tabs>
        <w:spacing w:beforeAutospacing="0" w:after="0" w:afterAutospacing="0" w:line="240" w:lineRule="auto"/>
        <w:ind w:right="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бажання працювати ;</w:t>
      </w:r>
    </w:p>
    <w:p>
      <w:pPr>
        <w:tabs>
          <w:tab w:val="num" w:pos="0"/>
        </w:tabs>
        <w:spacing w:beforeAutospacing="0" w:after="0" w:afterAutospacing="0" w:line="240" w:lineRule="auto"/>
        <w:ind w:right="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бере участь у створенні  безперешкодного  середовища для мало мобільних   </w:t>
      </w:r>
    </w:p>
    <w:p>
      <w:pPr>
        <w:spacing w:beforeAutospacing="0" w:after="0" w:afterAutospacing="0" w:line="240" w:lineRule="auto"/>
        <w:ind w:right="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категорій населення;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</w:t>
      </w:r>
    </w:p>
    <w:p>
      <w:pPr>
        <w:spacing w:beforeAutospacing="0" w:after="0" w:afterAutospacing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3.23.забезпечує ведення єдиної інформаційної системи соціальної сфери (ЄІССС) централізованого банку даних з проблем інвалідності (ЦБІ), Єдиної інформаційної бази даних про внутрішньо переміщених осіб, інших інформаційних систем та реєстрів, визначених Мінсоцполітики, підтримує єдине інформаційне і телекомунікаційне середовище у складі інформаційної інфраструктури Мінсоцполітики та власний сегмент локальної мережі;</w:t>
      </w:r>
    </w:p>
    <w:p>
      <w:pPr>
        <w:spacing w:beforeAutospacing="0" w:after="0" w:afterAutospacing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3.24.інформує населення з питань, що належать до його компетенції, у тому числі через засоби масової інформації;</w:t>
      </w:r>
    </w:p>
    <w:p>
      <w:pPr>
        <w:spacing w:beforeAutospacing="0" w:after="0" w:afterAutospacing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3.25.здійснює інші передбачені чинним законодавством повноваження.</w:t>
      </w:r>
    </w:p>
    <w:p>
      <w:pPr>
        <w:spacing w:beforeAutospacing="0" w:after="0" w:afterAutospacing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>
      <w:pPr>
        <w:spacing w:beforeAutospacing="0" w:after="0" w:afterAutospacing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4. Права та обов’язки управління</w:t>
      </w:r>
    </w:p>
    <w:p>
      <w:pPr>
        <w:spacing w:beforeAutospacing="0" w:after="0" w:afterAutospacing="0" w:line="240" w:lineRule="auto"/>
        <w:jc w:val="both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</w:t>
      </w:r>
    </w:p>
    <w:p>
      <w:pPr>
        <w:spacing w:beforeAutospacing="0" w:after="0" w:afterAutospacing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Управління має право:</w:t>
      </w:r>
    </w:p>
    <w:p>
      <w:pPr>
        <w:spacing w:beforeAutospacing="0" w:after="0" w:afterAutospacing="0" w:line="240" w:lineRule="auto"/>
        <w:jc w:val="both"/>
        <w:rPr>
          <w:rFonts w:ascii="Times New Roman" w:hAnsi="Times New Roman"/>
          <w:sz w:val="28"/>
          <w:szCs w:val="28"/>
        </w:rPr>
      </w:pPr>
    </w:p>
    <w:p>
      <w:pPr>
        <w:spacing w:beforeAutospacing="0" w:after="0" w:afterAutospacing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4.1.одержувати в установленому законодавством порядку від інших органів місцевого самоврядування, підприємств, установ та організацій незалежно від форми власності та їх посадових осіб інформацію, документи і матеріали, необхідні для виконання покладених на нього завдань;</w:t>
      </w:r>
    </w:p>
    <w:p>
      <w:pPr>
        <w:spacing w:beforeAutospacing="0" w:after="0" w:afterAutospacing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4.2.залучати до виконання окремих робіт, участі у вивченні окремих спеціалістів, фахівців виконавчих органів міської ради, підприємств, установ, організацій ( за погодженням з їх керівниками);</w:t>
      </w:r>
    </w:p>
    <w:p>
      <w:pPr>
        <w:spacing w:beforeAutospacing="0" w:after="0" w:afterAutospacing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4.3.подавати міській раді та її виконавчому комітету пропозиції з питань, що належать до компетенції управління;</w:t>
      </w:r>
    </w:p>
    <w:p>
      <w:pPr>
        <w:spacing w:beforeAutospacing="0" w:after="0" w:afterAutospacing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4.4.користуватись в установленому порядку інформаційними базами органів виконавчої влади, системами зв’язку і комунікацій, мережами спеціального зв’язку та іншими технічними засобами;</w:t>
      </w:r>
    </w:p>
    <w:p>
      <w:pPr>
        <w:spacing w:beforeAutospacing="0" w:after="0" w:afterAutospacing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4.5.скликати в установленому порядку наради, проводити семінари та конференції з питань, що належить до його компетенції.</w:t>
      </w:r>
    </w:p>
    <w:p>
      <w:pPr>
        <w:spacing w:beforeAutospacing="0" w:after="0" w:afterAutospacing="0" w:line="240" w:lineRule="auto"/>
        <w:jc w:val="both"/>
        <w:rPr>
          <w:rFonts w:ascii="Times New Roman" w:hAnsi="Times New Roman"/>
          <w:b/>
          <w:sz w:val="32"/>
          <w:szCs w:val="32"/>
        </w:rPr>
      </w:pPr>
    </w:p>
    <w:p>
      <w:pPr>
        <w:spacing w:beforeAutospacing="0" w:after="0" w:afterAutospacing="0" w:line="240" w:lineRule="auto"/>
        <w:jc w:val="both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                   5. Структура та керівництво управління</w:t>
      </w:r>
    </w:p>
    <w:p>
      <w:pPr>
        <w:spacing w:beforeAutospacing="0" w:after="0" w:afterAutospacing="0" w:line="240" w:lineRule="auto"/>
        <w:jc w:val="both"/>
        <w:rPr>
          <w:rFonts w:ascii="Times New Roman" w:hAnsi="Times New Roman"/>
          <w:sz w:val="28"/>
          <w:szCs w:val="28"/>
        </w:rPr>
      </w:pPr>
    </w:p>
    <w:p>
      <w:pPr>
        <w:spacing w:beforeAutospacing="0" w:after="0" w:afterAutospacing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5.1. Управління має  наступні структурні підрозділи :</w:t>
      </w:r>
    </w:p>
    <w:p>
      <w:pPr>
        <w:spacing w:beforeAutospacing="0" w:after="0" w:afterAutospacing="0" w:line="240" w:lineRule="auto"/>
        <w:jc w:val="both"/>
        <w:rPr>
          <w:rFonts w:ascii="Times New Roman" w:hAnsi="Times New Roman"/>
          <w:sz w:val="28"/>
          <w:szCs w:val="28"/>
        </w:rPr>
      </w:pPr>
    </w:p>
    <w:p>
      <w:pPr>
        <w:spacing w:beforeAutospacing="0" w:after="0" w:afterAutospacing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відділ прийому громадян ;</w:t>
      </w:r>
    </w:p>
    <w:p>
      <w:pPr>
        <w:spacing w:beforeAutospacing="0" w:after="0" w:afterAutospacing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відділ прийняття рішень;</w:t>
      </w:r>
    </w:p>
    <w:p>
      <w:pPr>
        <w:spacing w:beforeAutospacing="0" w:after="0" w:afterAutospacing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відділ формування виплатних документів;</w:t>
      </w:r>
    </w:p>
    <w:p>
      <w:pPr>
        <w:spacing w:beforeAutospacing="0" w:after="0" w:afterAutospacing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відділ по роботі  з внутрішньо переміщеними особами;</w:t>
      </w:r>
    </w:p>
    <w:p>
      <w:pPr>
        <w:spacing w:beforeAutospacing="0" w:after="0" w:afterAutospacing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відділ контролю;</w:t>
      </w:r>
    </w:p>
    <w:p>
      <w:pPr>
        <w:spacing w:beforeAutospacing="0" w:after="0" w:afterAutospacing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відділ з питань ветеранської політики;</w:t>
      </w:r>
    </w:p>
    <w:p>
      <w:pPr>
        <w:spacing w:beforeAutospacing="0" w:after="0" w:afterAutospacing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відділ у справах захисту населення від наслідків аварії на ЧАЕС та оздоровлення пільгових категорій громадян;</w:t>
      </w:r>
    </w:p>
    <w:p>
      <w:pPr>
        <w:spacing w:beforeAutospacing="0" w:after="0" w:afterAutospacing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відділ координації надання соціальних послуг;</w:t>
      </w:r>
    </w:p>
    <w:p>
      <w:pPr>
        <w:spacing w:beforeAutospacing="0" w:after="0" w:afterAutospacing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відділ обліково-економічної роботи.</w:t>
      </w:r>
    </w:p>
    <w:p>
      <w:pPr>
        <w:spacing w:beforeAutospacing="0" w:after="0" w:afterAutospacing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5.2.Управління очолює начальник, який призначається на посаду  та звільняється з посади міським головою, у порядку визначеному законодавством України.</w:t>
      </w:r>
    </w:p>
    <w:p>
      <w:pPr>
        <w:spacing w:beforeAutospacing="0" w:after="0" w:afterAutospacing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5.3.Начальник управління має заступників, які призначаються                                 на посаду та звільняються з посади міським головою .</w:t>
      </w:r>
    </w:p>
    <w:p>
      <w:pPr>
        <w:spacing w:beforeAutospacing="0" w:after="0" w:afterAutospacing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5.4. Начальник управління:</w:t>
      </w:r>
    </w:p>
    <w:p>
      <w:pPr>
        <w:spacing w:beforeAutospacing="0" w:after="0" w:afterAutospacing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здійснює керівництво управлінням, несе персональну відповідальність за  організацію та результати його діяльності, сприяє створенню належних умов праці в управлінні;</w:t>
      </w:r>
    </w:p>
    <w:p>
      <w:pPr>
        <w:spacing w:beforeAutospacing="0" w:after="0" w:afterAutospacing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подає на затвердження міській раді положення про управління;</w:t>
      </w:r>
    </w:p>
    <w:p>
      <w:pPr>
        <w:spacing w:beforeAutospacing="0" w:after="0" w:afterAutospacing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вживає заходів щодо вдосконалення організації та підвищення ефективності  </w:t>
      </w:r>
    </w:p>
    <w:p>
      <w:pPr>
        <w:spacing w:beforeAutospacing="0" w:after="0" w:afterAutospacing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роботи управління;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</w:t>
      </w:r>
    </w:p>
    <w:p>
      <w:pPr>
        <w:spacing w:beforeAutospacing="0" w:after="0" w:afterAutospacing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звітує про виконання покладених на управління завдань;</w:t>
      </w:r>
    </w:p>
    <w:p>
      <w:pPr>
        <w:spacing w:beforeAutospacing="0" w:after="0" w:afterAutospacing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представляє  інтереси  управління  у  взаємовідносинах з іншими органами  </w:t>
      </w:r>
    </w:p>
    <w:p>
      <w:pPr>
        <w:spacing w:beforeAutospacing="0" w:after="0" w:afterAutospacing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місцевого самоврядування, підприємствами, установами та організаціями;</w:t>
      </w:r>
    </w:p>
    <w:p>
      <w:pPr>
        <w:spacing w:beforeAutospacing="0" w:after="0" w:afterAutospacing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видає  у  межах  своїх  повноважень накази,  організовує  контроль  за      їх  </w:t>
      </w:r>
    </w:p>
    <w:p>
      <w:pPr>
        <w:spacing w:beforeAutospacing="0" w:after="0" w:afterAutospacing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виконанням;</w:t>
      </w:r>
    </w:p>
    <w:p>
      <w:pPr>
        <w:spacing w:beforeAutospacing="0" w:after="0" w:afterAutospacing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подає   на   затвердження   міському   голові   кошторис  управління;</w:t>
      </w:r>
    </w:p>
    <w:p>
      <w:pPr>
        <w:spacing w:beforeAutospacing="0" w:after="0" w:afterAutospacing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розпоряджається коштами у межах затвердженого кошторису  управління;</w:t>
      </w:r>
    </w:p>
    <w:p>
      <w:pPr>
        <w:spacing w:beforeAutospacing="0" w:after="0" w:afterAutospacing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розглядає  питання   заохочення,  притягнення  до  дисциплінарної   </w:t>
      </w:r>
    </w:p>
    <w:p>
      <w:pPr>
        <w:spacing w:beforeAutospacing="0" w:after="0" w:afterAutospacing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відповідальності працівників    управління;</w:t>
      </w:r>
    </w:p>
    <w:p>
      <w:pPr>
        <w:spacing w:beforeAutospacing="0" w:after="0" w:afterAutospacing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проводить   особистий   прийом    громадян    з    питань,   що   належать до</w:t>
      </w:r>
    </w:p>
    <w:p>
      <w:pPr>
        <w:spacing w:beforeAutospacing="0" w:after="0" w:afterAutospacing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повноважень управління;</w:t>
      </w:r>
    </w:p>
    <w:p>
      <w:pPr>
        <w:spacing w:beforeAutospacing="0" w:after="0" w:afterAutospacing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затверджує   положення   про   структурні   підрозділи,  посадові інструкції  </w:t>
      </w:r>
    </w:p>
    <w:p>
      <w:pPr>
        <w:spacing w:beforeAutospacing="0" w:after="0" w:afterAutospacing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працівників управління;</w:t>
      </w:r>
    </w:p>
    <w:p>
      <w:pPr>
        <w:spacing w:beforeAutospacing="0" w:after="0" w:afterAutospacing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забезпечує  дотримання  працівниками управління   правил   внутрішнього </w:t>
      </w:r>
    </w:p>
    <w:p>
      <w:pPr>
        <w:spacing w:beforeAutospacing="0" w:after="0" w:afterAutospacing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трудового розпорядку та виконавської дисципліни;</w:t>
      </w:r>
    </w:p>
    <w:p>
      <w:pPr>
        <w:spacing w:beforeAutospacing="0" w:after="0" w:afterAutospacing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у  межах  своїх  повноважень  проводить  роботу  із   запобігання корупції, </w:t>
      </w:r>
    </w:p>
    <w:p>
      <w:pPr>
        <w:spacing w:beforeAutospacing="0" w:after="0" w:afterAutospacing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виявлення та припинення її проявів, усунення наслідків корупційних діянь;</w:t>
      </w:r>
    </w:p>
    <w:p>
      <w:pPr>
        <w:spacing w:beforeAutospacing="0" w:after="0" w:afterAutospacing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надає довіреності від імені юридичної особи, що видається її органом або іншою особою, уповноваженою на це її установчими документами.</w:t>
      </w:r>
    </w:p>
    <w:p>
      <w:pPr>
        <w:spacing w:beforeAutospacing="0" w:after="0" w:afterAutospacing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5.5. Начальник управління за погодженням із заступником міського голови з питань діяльності виконавчих органів ради розподіляє обов’язки між  заступниками начальника управління та визначає ступінь їх відповідальності .</w:t>
      </w:r>
    </w:p>
    <w:p>
      <w:pPr>
        <w:spacing w:beforeAutospacing="0" w:after="0" w:afterAutospacing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5.6.Ступінь відповідальності інших працівників встановлюється у відповідних посадових інструкціях.</w:t>
      </w:r>
    </w:p>
    <w:p>
      <w:pPr>
        <w:spacing w:beforeAutospacing="0" w:after="0" w:afterAutospacing="0" w:line="240" w:lineRule="auto"/>
        <w:jc w:val="both"/>
        <w:rPr>
          <w:rFonts w:ascii="Times New Roman" w:hAnsi="Times New Roman"/>
          <w:sz w:val="28"/>
          <w:szCs w:val="28"/>
        </w:rPr>
      </w:pPr>
    </w:p>
    <w:p>
      <w:pPr>
        <w:spacing w:beforeAutospacing="0" w:after="0" w:afterAutospacing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6. Взаємовідносини з іншими підрозділами</w:t>
      </w:r>
    </w:p>
    <w:p>
      <w:pPr>
        <w:spacing w:beforeAutospacing="0" w:after="0" w:afterAutospacing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>
      <w:pPr>
        <w:spacing w:beforeAutospacing="0" w:after="0" w:afterAutospacing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 Управління в установленому законодавством порядку та у межах повноважень взаємодіє з іншими органами місцевого самоврядування, а також з підприємствами, установами, громадянами та об’єднаннями громадян з метою створення умов для провадження послідовної та узгодженої діяльності щодо строків,   періодичності   одержання   і   передачі   інформації,   необхідної    для </w:t>
      </w:r>
    </w:p>
    <w:p>
      <w:pPr>
        <w:spacing w:beforeAutospacing="0" w:after="0" w:afterAutospacing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належного виконання покладених на нього завдань та здійснення запланованих заходів.</w:t>
      </w:r>
    </w:p>
    <w:p>
      <w:pPr>
        <w:spacing w:beforeAutospacing="0" w:after="0" w:afterAutospacing="0" w:line="240" w:lineRule="auto"/>
        <w:jc w:val="both"/>
        <w:rPr>
          <w:rFonts w:ascii="Times New Roman" w:hAnsi="Times New Roman"/>
          <w:b/>
          <w:sz w:val="32"/>
          <w:szCs w:val="32"/>
        </w:rPr>
      </w:pPr>
    </w:p>
    <w:p>
      <w:pPr>
        <w:spacing w:beforeAutospacing="0" w:after="0" w:afterAutospacing="0" w:line="240" w:lineRule="auto"/>
        <w:jc w:val="both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        7. Заключна частина про ліквідацію та реорганізацію</w:t>
      </w:r>
    </w:p>
    <w:p>
      <w:pPr>
        <w:spacing w:beforeAutospacing="0" w:after="0" w:afterAutospacing="0" w:line="240" w:lineRule="auto"/>
        <w:jc w:val="both"/>
        <w:rPr>
          <w:rFonts w:ascii="Times New Roman" w:hAnsi="Times New Roman"/>
          <w:b/>
          <w:sz w:val="32"/>
          <w:szCs w:val="32"/>
        </w:rPr>
      </w:pPr>
    </w:p>
    <w:p>
      <w:pPr>
        <w:spacing w:beforeAutospacing="0" w:after="0" w:afterAutospacing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7.1.Зміни в положення про управління затверджуються міською радою</w:t>
      </w:r>
    </w:p>
    <w:p>
      <w:pPr>
        <w:spacing w:beforeAutospacing="0" w:after="0" w:afterAutospacing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7.2.Реорганізація та ліквідація управління проводиться за рішенням міської ради.</w:t>
      </w:r>
    </w:p>
    <w:p>
      <w:pPr>
        <w:spacing w:beforeAutospacing="0" w:after="0" w:afterAutospacing="0" w:line="240" w:lineRule="auto"/>
        <w:jc w:val="both"/>
        <w:rPr>
          <w:rFonts w:ascii="Times New Roman" w:hAnsi="Times New Roman"/>
          <w:sz w:val="28"/>
          <w:szCs w:val="28"/>
        </w:rPr>
      </w:pPr>
    </w:p>
    <w:p>
      <w:pPr>
        <w:spacing w:beforeAutospacing="0" w:after="0" w:afterAutospacing="0" w:line="240" w:lineRule="auto"/>
        <w:jc w:val="both"/>
        <w:rPr>
          <w:rFonts w:ascii="Times New Roman" w:hAnsi="Times New Roman"/>
          <w:sz w:val="28"/>
          <w:szCs w:val="28"/>
        </w:rPr>
      </w:pPr>
    </w:p>
    <w:p>
      <w:pPr>
        <w:spacing w:beforeAutospacing="0" w:after="0" w:afterAutospacing="0" w:line="240" w:lineRule="auto"/>
        <w:jc w:val="both"/>
        <w:rPr>
          <w:rFonts w:ascii="Times New Roman" w:hAnsi="Times New Roman"/>
          <w:sz w:val="28"/>
          <w:szCs w:val="28"/>
        </w:rPr>
      </w:pPr>
    </w:p>
    <w:p>
      <w:pPr>
        <w:spacing w:beforeAutospacing="0" w:after="0" w:afterAutospacing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Міський голова                          </w:t>
        <w:tab/>
        <w:tab/>
        <w:tab/>
        <w:tab/>
        <w:tab/>
        <w:t>Ігор САПОЖКО</w:t>
      </w:r>
      <w:permEnd w:id="0"/>
    </w:p>
    <w:sectPr>
      <w:headerReference w:type="default" r:id="rId4"/>
      <w:footerReference w:type="default" r:id="rId5"/>
      <w:type w:val="nextPage"/>
      <w:pgSz w:w="11906" w:h="16838" w:code="0"/>
      <w:pgMar w:top="1135" w:right="707" w:bottom="993" w:left="1701" w:header="708" w:footer="708" w:gutter="0"/>
      <w:cols w:space="720" w:equalWidth="1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noProof/>
        <w:sz w:val="24"/>
        <w:szCs w:val="24"/>
        <w:lang w:val="ru-RU"/>
      </w:rPr>
      <w:t>#</w:t>
    </w:r>
    <w:r>
      <w:rPr>
        <w:rFonts w:ascii="Times New Roman" w:hAnsi="Times New Roman"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tabs>
        <w:tab w:val="center" w:pos="4819"/>
        <w:tab w:val="right" w:pos="9639"/>
      </w:tabs>
      <w:spacing w:beforeAutospacing="0" w:after="0" w:afterAutospacing="0" w:line="240" w:lineRule="auto"/>
      <w:jc w:val="right"/>
      <w:rPr>
        <w:rFonts w:ascii="Antiqua" w:hAnsi="Antiqua"/>
        <w:color w:val="7F7F7F"/>
        <w:sz w:val="28"/>
        <w:szCs w:val="20"/>
        <w:lang w:val="hr-HR" w:eastAsia="ru-RU"/>
      </w:rPr>
    </w:pPr>
    <w:r>
      <w:rPr>
        <w:rFonts w:ascii="Antiqua" w:hAnsi="Antiqua"/>
        <w:color w:val="7F7F7F" w:themeColor="text1" w:themeTint="80"/>
        <w:sz w:val="28"/>
        <w:szCs w:val="20"/>
        <w:lang w:val="hr-HR" w:eastAsia="ru-RU"/>
      </w:rPr>
      <w:t>Продовження додатку</w:t>
    </w:r>
  </w:p>
  <w:p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AD706F0"/>
    <w:multiLevelType w:val="hybridMultilevel"/>
    <w:tmpl w:val="00000000"/>
    <w:lvl w:ilvl="0">
      <w:start w:val="2"/>
      <w:numFmt w:val="bullet"/>
      <w:lvlText w:val="-"/>
      <w:lvlJc w:val="left"/>
      <w:pPr>
        <w:tabs>
          <w:tab w:val="num" w:pos="-405"/>
        </w:tabs>
        <w:ind w:left="-405" w:hanging="360"/>
      </w:pPr>
      <w:rPr>
        <w:rFonts w:ascii="Times New Roman" w:hAnsi="Times New Roman"/>
      </w:rPr>
    </w:lvl>
    <w:lvl w:ilvl="1">
      <w:start w:val="1"/>
      <w:numFmt w:val="decimal"/>
      <w:lvlText w:val="%2."/>
      <w:lvlJc w:val="left"/>
      <w:pPr>
        <w:tabs>
          <w:tab w:val="num" w:pos="675"/>
        </w:tabs>
        <w:ind w:left="675" w:hanging="360"/>
      </w:pPr>
    </w:lvl>
    <w:lvl w:ilvl="2">
      <w:start w:val="1"/>
      <w:numFmt w:val="decimal"/>
      <w:lvlText w:val="%3."/>
      <w:lvlJc w:val="left"/>
      <w:pPr>
        <w:tabs>
          <w:tab w:val="num" w:pos="1395"/>
        </w:tabs>
        <w:ind w:left="1395" w:hanging="360"/>
      </w:pPr>
    </w:lvl>
    <w:lvl w:ilvl="3">
      <w:start w:val="1"/>
      <w:numFmt w:val="decimal"/>
      <w:lvlText w:val="%4."/>
      <w:lvlJc w:val="left"/>
      <w:pPr>
        <w:tabs>
          <w:tab w:val="num" w:pos="2115"/>
        </w:tabs>
        <w:ind w:left="2115" w:hanging="360"/>
      </w:pPr>
    </w:lvl>
    <w:lvl w:ilvl="4">
      <w:start w:val="1"/>
      <w:numFmt w:val="decimal"/>
      <w:lvlText w:val="%5."/>
      <w:lvlJc w:val="left"/>
      <w:pPr>
        <w:tabs>
          <w:tab w:val="num" w:pos="2835"/>
        </w:tabs>
        <w:ind w:left="2835" w:hanging="360"/>
      </w:pPr>
    </w:lvl>
    <w:lvl w:ilvl="5">
      <w:start w:val="1"/>
      <w:numFmt w:val="decimal"/>
      <w:lvlText w:val="%6."/>
      <w:lvlJc w:val="left"/>
      <w:pPr>
        <w:tabs>
          <w:tab w:val="num" w:pos="3555"/>
        </w:tabs>
        <w:ind w:left="3555" w:hanging="360"/>
      </w:pPr>
    </w:lvl>
    <w:lvl w:ilvl="6">
      <w:start w:val="1"/>
      <w:numFmt w:val="decimal"/>
      <w:lvlText w:val="%7."/>
      <w:lvlJc w:val="left"/>
      <w:pPr>
        <w:tabs>
          <w:tab w:val="num" w:pos="4275"/>
        </w:tabs>
        <w:ind w:left="4275" w:hanging="360"/>
      </w:pPr>
    </w:lvl>
    <w:lvl w:ilvl="7">
      <w:start w:val="1"/>
      <w:numFmt w:val="decimal"/>
      <w:lvlText w:val="%8."/>
      <w:lvlJc w:val="left"/>
      <w:pPr>
        <w:tabs>
          <w:tab w:val="num" w:pos="4995"/>
        </w:tabs>
        <w:ind w:left="4995" w:hanging="360"/>
      </w:pPr>
    </w:lvl>
    <w:lvl w:ilvl="8">
      <w:start w:val="1"/>
      <w:numFmt w:val="decimal"/>
      <w:lvlText w:val="%9."/>
      <w:lvlJc w:val="left"/>
      <w:pPr>
        <w:tabs>
          <w:tab w:val="num" w:pos="5715"/>
        </w:tabs>
        <w:ind w:left="5715" w:hanging="360"/>
      </w:pPr>
    </w:lvl>
  </w:abstractNum>
  <w:abstractNum w:abstractNumId="1">
    <w:nsid w:val="6FCF2DE3"/>
    <w:multiLevelType w:val="hybridMultilevel"/>
    <w:tmpl w:val="00000000"/>
    <w:lvl w:ilvl="0">
      <w:start w:val="1"/>
      <w:numFmt w:val="decimal"/>
      <w:lvlText w:val="%1)"/>
      <w:lvlJc w:val="left"/>
      <w:pPr>
        <w:tabs>
          <w:tab w:val="num" w:pos="795"/>
        </w:tabs>
        <w:ind w:left="795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47737FD"/>
    <w:multiLevelType w:val="hybrid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X0AjOWDyNmQg363tkFQNmkViH4E+Dq0tqmi2XyP+npLdmfTyCsTz9noxFGLtUx6rYnhKv8iQ59gJ&#10;DGjJVlBgOA==&#10;" w:salt="uW4mCi2pX5IlRJc4nUSU4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/>
        <w:sz w:val="22"/>
        <w:szCs w:val="22"/>
        <w:lang w:val="uk-UA" w:eastAsia="uk-UA" w:bidi="ar-SA"/>
      </w:rPr>
    </w:rPrDefault>
    <w:pPrDefault>
      <w:pPr>
        <w:keepNext w:val="0"/>
        <w:keepLines w:val="0"/>
        <w:pageBreakBefore w:val="0"/>
        <w:widowControl/>
        <w:suppressLineNumbers w:val="0"/>
        <w:shd w:val="clear" w:color="auto" w:fill="auto"/>
        <w:suppressAutoHyphens w:val="0"/>
        <w:bidi w:val="0"/>
        <w:spacing w:before="0" w:beforeAutospacing="0" w:after="200" w:afterAutospacing="0" w:line="276" w:lineRule="auto"/>
        <w:ind w:left="0" w:right="0" w:firstLine="0"/>
        <w:contextualSpacing w:val="0"/>
        <w:jc w:val="left"/>
        <w:outlineLvl w:val="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</w:style>
  <w:style w:type="paragraph" w:styleId="Header">
    <w:name w:val="header"/>
    <w:basedOn w:val="Normal"/>
    <w:link w:val="a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paragraph" w:styleId="Footer">
    <w:name w:val="footer"/>
    <w:basedOn w:val="Normal"/>
    <w:link w:val="a0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paragraph" w:customStyle="1" w:styleId="1">
    <w:name w:val="Абзац списка1"/>
    <w:basedOn w:val="Normal"/>
    <w:pPr>
      <w:ind w:left="720"/>
    </w:pPr>
    <w:rPr>
      <w:lang w:val="ru-RU" w:eastAsia="ru-RU"/>
    </w:rPr>
  </w:style>
  <w:style w:type="paragraph" w:styleId="ListParagraph">
    <w:name w:val="List Paragraph"/>
    <w:basedOn w:val="Normal"/>
    <w:qFormat/>
    <w:pPr>
      <w:ind w:left="720"/>
      <w:contextualSpacing/>
    </w:pPr>
    <w:rPr>
      <w:lang w:val="ru-RU" w:eastAsia="ru-RU"/>
    </w:rPr>
  </w:style>
  <w:style w:type="paragraph" w:styleId="NoSpacing">
    <w:name w:val="No Spacing"/>
    <w:qFormat/>
    <w:pPr>
      <w:spacing w:beforeAutospacing="0" w:after="0" w:afterAutospacing="0" w:line="240" w:lineRule="auto"/>
    </w:pPr>
    <w:rPr>
      <w:lang w:val="ru-RU" w:eastAsia="ru-RU"/>
    </w:rPr>
  </w:style>
  <w:style w:type="paragraph" w:customStyle="1" w:styleId="rvps2">
    <w:name w:val="rvps2"/>
    <w:basedOn w:val="Normal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FootnoteText">
    <w:name w:val="footnote text"/>
    <w:link w:val="a1"/>
    <w:semiHidden/>
    <w:pPr>
      <w:spacing w:beforeAutospacing="0" w:after="0" w:afterAutospacing="0" w:line="240" w:lineRule="auto"/>
    </w:pPr>
    <w:rPr>
      <w:sz w:val="20"/>
      <w:szCs w:val="20"/>
    </w:rPr>
  </w:style>
  <w:style w:type="paragraph" w:styleId="EndnoteText">
    <w:name w:val="endnote text"/>
    <w:link w:val="a2"/>
    <w:semiHidden/>
    <w:pPr>
      <w:spacing w:beforeAutospacing="0" w:after="0" w:afterAutospacing="0" w:line="240" w:lineRule="auto"/>
    </w:pPr>
    <w:rPr>
      <w:sz w:val="20"/>
      <w:szCs w:val="20"/>
    </w:rPr>
  </w:style>
  <w:style w:type="character" w:styleId="Hyperlink">
    <w:name w:val="Hyperlink"/>
    <w:rPr>
      <w:color w:val="0000FF"/>
      <w:u w:val="single"/>
    </w:rPr>
  </w:style>
  <w:style w:type="character" w:styleId="LineNumber">
    <w:name w:val="line number"/>
    <w:basedOn w:val="DefaultParagraphFont"/>
    <w:semiHidden/>
  </w:style>
  <w:style w:type="character" w:customStyle="1" w:styleId="a">
    <w:name w:val="Верхний колонтитул Знак"/>
    <w:basedOn w:val="DefaultParagraphFont"/>
    <w:link w:val="Header"/>
  </w:style>
  <w:style w:type="character" w:customStyle="1" w:styleId="a0">
    <w:name w:val="Нижний колонтитул Знак"/>
    <w:basedOn w:val="DefaultParagraphFont"/>
    <w:link w:val="Footer"/>
  </w:style>
  <w:style w:type="character" w:styleId="FootnoteReference">
    <w:name w:val="footnote reference"/>
    <w:semiHidden/>
    <w:rPr>
      <w:vertAlign w:val="superscript"/>
    </w:rPr>
  </w:style>
  <w:style w:type="character" w:customStyle="1" w:styleId="a1">
    <w:name w:val="Текст сноски Знак"/>
    <w:link w:val="FootnoteText"/>
    <w:semiHidden/>
    <w:rPr>
      <w:sz w:val="20"/>
      <w:szCs w:val="20"/>
    </w:rPr>
  </w:style>
  <w:style w:type="character" w:styleId="EndnoteReference">
    <w:name w:val="endnote reference"/>
    <w:semiHidden/>
    <w:rPr>
      <w:vertAlign w:val="superscript"/>
    </w:rPr>
  </w:style>
  <w:style w:type="character" w:customStyle="1" w:styleId="a2">
    <w:name w:val="Текст концевой сноски Знак"/>
    <w:link w:val="EndnoteText"/>
    <w:semiHidden/>
    <w:rPr>
      <w:sz w:val="20"/>
      <w:szCs w:val="20"/>
    </w:rPr>
  </w:style>
  <w:style w:type="character" w:customStyle="1" w:styleId="FootnoteTextChar">
    <w:name w:val="Footnote Text Char"/>
    <w:semiHidden/>
    <w:rPr>
      <w:sz w:val="20"/>
      <w:szCs w:val="20"/>
    </w:rPr>
  </w:style>
  <w:style w:type="character" w:customStyle="1" w:styleId="EndnoteTextChar">
    <w:name w:val="Endnote Text Char"/>
    <w:semiHidden/>
    <w:rPr>
      <w:sz w:val="20"/>
      <w:szCs w:val="20"/>
    </w:rPr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8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21.0001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ASKOD</cp:lastModifiedBy>
  <cp:revision>17</cp:revision>
  <dcterms:created xsi:type="dcterms:W3CDTF">2023-03-27T06:26:00Z</dcterms:created>
  <dcterms:modified xsi:type="dcterms:W3CDTF">2023-12-01T13:30:25Z</dcterms:modified>
</cp:coreProperties>
</file>