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ПС-331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від________ №____________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Положення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 управління соціального захисту населення Броварської міської ради Броварського району Київської області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pStyle w:val="ListParagraph"/>
        <w:numPr>
          <w:ilvl w:val="0"/>
          <w:numId w:val="3"/>
        </w:num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Загальні положення</w:t>
      </w:r>
    </w:p>
    <w:p>
      <w:pPr>
        <w:pStyle w:val="ListParagraph"/>
        <w:spacing w:beforeAutospacing="0" w:after="0" w:afterAutospacing="0" w:line="240" w:lineRule="auto"/>
        <w:rPr>
          <w:rFonts w:ascii="Times New Roman" w:hAnsi="Times New Roman"/>
          <w:sz w:val="32"/>
          <w:szCs w:val="32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1.1.Управління соціального захисту  населення Броварської міської ради Броварського району Київської області  (далі – управління) є виконавчим органом Броварської міської ради  Броварського району Київської області (далі – міська рада), що утворюється міською радою, є підконтрольним та підзвітним міській раді, підпорядкованим її виконавчому комітету, міському голові. З питань здійснення делегованих їм повноважень органів виконавчої влади – підконтрольним Департаменту соціального захисту населення Київської обласної державної адміністрації.</w:t>
      </w: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має скорочену назву – УСЗН Броварської МР.</w:t>
      </w:r>
    </w:p>
    <w:p>
      <w:pPr>
        <w:pStyle w:val="1"/>
        <w:spacing w:beforeAutospacing="0" w:after="0" w:afterAutospacing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1.2.Управління у своїй діяльності керується Конституцією України, Кодексом законів про працю України, Законами України «Про місцеве самоврядування в Україні», «Про службу в органах місцевого самоврядування», «Про запобігання корупції»,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 (далі - Мінсоцполітики), іншими нормативно-правовими актами, рішеннями міської ради та її виконавчого комітету, розпорядженнями міського голови, а також цим Положенням.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1.3.Управління забезпечує реалізацію державної соціальної політики у Броварській міській територіальній громаді (далі- громада) у сфері соціального захисту населення.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1.4.Управління утримується за рахунок коштів місцевого бюджету. Граничну чисельність, структуру, фонд оплати праці працівників та видатки на утримання управління в межах виділених асигнувань затверджує міська рада. Штатний розпис управління затверджує міський голова.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1.5.Управління є юридичною особою публічного права, має самостійний баланс, рахунки в органах Казначейства, печатку із зображення Державного Герба України та своїм найменуванням, власні бланки.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1.6.Юридична адреса управління: вул. Героїв України, буд.18, м. Бровари, Броварський  район, Київська область, Україна, 07400.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1.7.Управління не є платником податку як неприбуткова установа.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1.8.У разі припинення діяльності управління ( у результаті ліквідації, злиття, поділу, приєднання або перетворення) передача активів та майна управління здійснюється одній або кільком неприбутковим організаціям відповідного виду, або зараховується до доходу місцевого бюджету.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1.9.Забороняється розподіл отриманих доходів(прибутків) серед працівників установи (крім оплати їх праці, нарахування єдиного соціального внеску), членів органів управління та інших, пов′язаних з ними осіб.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1.10.Доходи, (прибутки) управління використовуються виключно для фінансування видатків на утримання управління, реалізацію мети, (цілей, завдань) та напрямів діяльності, визначених цим Положенням.</w:t>
      </w:r>
    </w:p>
    <w:p>
      <w:pPr>
        <w:spacing w:beforeAutospacing="0" w:after="0" w:afterAutospacing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2. Мета діяльності та основні завдання управління</w:t>
      </w:r>
    </w:p>
    <w:p>
      <w:pPr>
        <w:spacing w:beforeAutospacing="0" w:after="0" w:afterAutospacing="0" w:line="240" w:lineRule="auto"/>
        <w:ind w:left="360" w:hanging="360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діяльності та основними завданнями управління є:</w:t>
      </w:r>
    </w:p>
    <w:p>
      <w:pPr>
        <w:spacing w:beforeAutospacing="0" w:after="0" w:afterAutospacing="0" w:line="240" w:lineRule="auto"/>
        <w:ind w:left="360" w:hanging="360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2.1.забезпечення реалізації державної політики з питань соціального захисту населення, державної ветеранської політики, виконання програм із здійснення заходів у цій сфері;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призначення та виплата соціальної допомоги, компенсацій та інших соціальних виплат, встановлених законодавством України;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2.3.організація соціального обслуговування населення, надання соціальних послуг шляхом розвитку спеціалізованих закладів, установ та служб та залучення недержавних організацій , які надають соціальні послуги;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2.4.розроблення та організація виконання комплексних програм та заходів щодо поліпшення становища соціально вразливих верств населення, сімей та громадян, які перебувають у складних життєвих обставинах, та всебічне сприяння в отриманні ними соціальних виплат та послуг за місцем проживання, перебування;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2.5.забезпечення соціальної інтеграції осіб з інвалідністю, сприяння створенню умов для безперешкодного доступу осіб з  інвалідністю до суб’єктів соціальної інфраструктури;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2.6.здійснення нагляду за додержанням вимог законодавства під час призначення (перерахунку) та виплати пенсій органами Пенсійного фонду України, проведення інформаційно-роз’яснювальної роботи;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3. Функції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в межах компетенції: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3.1.організовує виконання Конституції і законів України, актів Президента України, Кабінету Міністрів України, наказів Міністерства соціальної політики України та здійснює контроль за їх реалізацією;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3.2.забезпечує у межах своїх повноважень захист прав і законних інтересів фізичних та юридичних осіб;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3.3.бере участь у підготовці пропозицій до проектів програм соціально-економічного розвитку громади;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3.4.вносить пропозиції щодо проекту місцевого бюджету;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3.5.забезпечує ефективне і цільове використання відповідних бюджетних коштів;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3.6.бере участь у підготовці заходів щодо регіонального розвитку;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3.7.розробляє проекти рішень міської ради, виконавчого комітету, розпоряджень міського голови, з питань, віднесених до повноважень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3.8.забезпечує здійснення заходів щодо запобігання і протидії корупції;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3.9.розглядає в установленому законодавством  порядку звернення громадян;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3.10.відповідно до Закону України «Про доступ до публічної інформації, забезпечує доступ до публічної інформації, розпорядником якої є управління. З цією метою призначається особа, відповідальна за виконання вищезазначеного напрямку роботи, про що зазначається в посадових обов’язках такого працівника;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3.11.постійно інформує населення про стан здійснення визначених законом повноважень;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3.12.забезпечує у межах своїх повноважень виконання завдань мобілізаційної підготовки, цивільного захисту населення;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3.13.організовує роботу з укомплектування, зберігання, обліку та використання архівних документів;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3.14.забезпечує у межах своїх повноважень реалізацію державної політики стосовно захисту інформації з обмеженим доступом;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3.15.забезпечує захист персональних даних;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3.16.готує та подає в установленому порядку аналітичні матеріали і статистичну звітність з питань, що належить до його компетенції;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3.17.залучає громадські та благодійні організації до виконання соціальних програм і здійснення відповідних заходів;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3.18.здійснює нагляд за додержанням вимог законодавства під час призначення (перерахунку) та виплати пенсій органами Пенсійного фонду України, проводить  інформаційно-роз’яснювальну роботу;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3.19.з питань реалізації заходів соціальної підтримки населення:</w:t>
      </w: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організовує в межах своєї компетенції роботу щодо відшкодування витрат на оплату послуг зв’язку, пільгового проїзду автомобільним та залізничним транспортом окремим категоріям громадян, та інших пільг, передбачених законодавством; </w:t>
      </w: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прийом заяв з необхідними документами та /або відомостями про призначення та надання житлової субсидії;</w:t>
      </w: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-здійснює прийом заяв з  необхідними документами та / або відомостями про надання пільг на оплату житлово-комунальних послуг, придбання твердого палива і скрапленого газу;</w:t>
      </w:r>
    </w:p>
    <w:p>
      <w:pPr>
        <w:spacing w:beforeAutospacing="0" w:after="0" w:afterAutospacing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призначення та виплату:</w:t>
      </w:r>
    </w:p>
    <w:p>
      <w:pPr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дитиною», оплати послуг із здійснення патронату над дитиною 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  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 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 розладу, яка за висновком лікарської комісії медичного закладу потребує постійного стороннього догляду, на догляд за нею;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гідності; одноразової грошової допомоги в разі загибелі (смерті) або інвалідності деяких категорій осіб; одноразової грошової допомоги постраждалим і внутрішньо переміщеним особам, які перебувають у складних життєвих обставинах, що спричинені соціальним становищем, внаслідок яких особа частково або повністю не має здатності чи можливості самостійно піклуватися про особисте (сімейне) життя і брати участь у суспільному житті, допомоги на проживання внутрішньо переміщеним особам,а також інших видів державної допомоги відповідно до законодавства України; </w:t>
      </w:r>
    </w:p>
    <w:p>
      <w:pPr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відшкодування вартості послуги з догляду за дитиною до трьох років «муніципальна няня»;</w:t>
      </w:r>
    </w:p>
    <w:p>
      <w:pPr>
        <w:numPr>
          <w:ilvl w:val="0"/>
          <w:numId w:val="1"/>
        </w:numPr>
        <w:tabs>
          <w:tab w:val="num" w:pos="0"/>
          <w:tab w:val="clear" w:pos="795"/>
        </w:tabs>
        <w:spacing w:beforeAutospacing="0" w:after="0" w:afterAutospacing="0" w:line="240" w:lineRule="auto"/>
        <w:ind w:left="0" w:firstLine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виплату щомісячної компенсації непрацюючій працездатній особі, яка доглядає за особою з  інвалідністю I групи, а також за престарілим, який досяг 80-річного віку;</w:t>
      </w:r>
    </w:p>
    <w:p>
      <w:pPr>
        <w:pStyle w:val="ListParagraph"/>
        <w:numPr>
          <w:ilvl w:val="0"/>
          <w:numId w:val="1"/>
        </w:num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одноразової винагороди жінкам, яким присвоєно почесне звання    «Мати-</w:t>
      </w:r>
      <w:r>
        <w:rPr>
          <w:rFonts w:ascii="Times New Roman" w:hAnsi="Times New Roman"/>
          <w:sz w:val="28"/>
          <w:szCs w:val="28"/>
        </w:rPr>
        <w:t>героїня»;</w:t>
      </w: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5) одноразової  компенсації  особам  з  інвалідністю  та  дітям з інвалідністю,        постраждалим внаслідок дії вибухонебезпечних предметів;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6) щорічної допомоги на оздоровлення особам з інвалідністю та дітям з інвалідністю, постраждалих внаслідок дії вибухонебезпечних предметів;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7) одноразової матеріальної допомоги особам, які постраждали від торгівлі людьми;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8) одноразової грошової допомоги у разі загибелі (смерті) або інвалідності деяких категорій осіб відповідно до Закону України «Про статус ветеранів війни, гарантії їх соціального захисту, отримувачами яких є члени сімей загиблих (померлих) Захисників та Захисниць України.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бере участь у роботі комісій, утворених при виконавчому комітеті, з питань соціального захисту населення;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формує  податковий розрахунок сум доходу, нарахованого (сплаченого) на   користь платників податку, і сум утриманого з  них податку отримувачів державних соціальних допомог;</w:t>
      </w:r>
    </w:p>
    <w:p>
      <w:pPr>
        <w:pStyle w:val="ListParagraph"/>
        <w:spacing w:beforeAutospacing="0" w:after="0" w:afterAutospacing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проводить інвентаризацію особових справ  та рахунків осіб, які одержують соціальну допомогу, в установленому законодавством порядку;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забезпечує розгляд заяв та прийняття рішень відповідно до затверджених    стандартів надання послуг;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у сфері реалізації державних соціальних гарантій окремим категоріям громадян: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розробляє проекти місцевих програм щодо підтримки Захисників і Захисниць України, членів сімей загиблих Захисників і Захисниць України;</w:t>
      </w:r>
    </w:p>
    <w:p>
      <w:pPr>
        <w:pStyle w:val="NoSpacing"/>
        <w:ind w:righ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  координує заходи, спрямовані на підтримку Захисників і Захисниць України, членів їх сімей, членів сімей загиблих (померлих) Захисників і Захисниць України;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організовує  роботу  щодо  реалізації заходів всебічної підтримки, залежно від потреб конкретного ветерана та його родини;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організовує   призначення   та  виплату допомоги, компенсацій та надання  інших соціальних гарантій громадянам, які постраждали внаслідок Чорнобильської катастрофи, відповідно до законодавства України;</w:t>
      </w:r>
    </w:p>
    <w:p>
      <w:pPr>
        <w:numPr>
          <w:ilvl w:val="0"/>
          <w:numId w:val="2"/>
        </w:numPr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підготовку документів щодо визначення статусу осіб, які постраждали внаслідок Чорнобильської катастрофи;</w:t>
      </w:r>
    </w:p>
    <w:p>
      <w:pPr>
        <w:numPr>
          <w:ilvl w:val="0"/>
          <w:numId w:val="2"/>
        </w:numPr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організовує санаторно-курортне лікування осіб з інвалідністю, ветеранів війни та праці, жертв нацистських переслідувань, учасників антитерористичної операції, громадян, які постраждали внаслідок Чорнобильської катастрофи, а також виплату грошових компенсацій вартості санаторно – курортного лікування деяким категоріям громадян відповідно до законодавства України;</w:t>
      </w:r>
    </w:p>
    <w:p>
      <w:pPr>
        <w:numPr>
          <w:ilvl w:val="0"/>
          <w:numId w:val="2"/>
        </w:numPr>
        <w:tabs>
          <w:tab w:val="num" w:pos="360"/>
        </w:tabs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видає відповідні посвідчення категоріям громадян, які мають право на    пільги відповідно до законодавства України;</w:t>
      </w:r>
    </w:p>
    <w:p>
      <w:pPr>
        <w:numPr>
          <w:ilvl w:val="0"/>
          <w:numId w:val="2"/>
        </w:numPr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організовує та здійснює виплату одноразової  матеріальної допомоги особам, які постраждали від торгівлі людьми;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  веде облік внутрішньо переміщених осіб;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здійснює заходи щодо надання послуг із професійної адаптації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ветеранам війни, особам, які мають особливі заслуги перед Батьківщиною, членам сімей таких осіб, членам сімей загиблих (померлих) ветеранів війни, членам сімей загиблих (померлих) Захисників та Захисниць України;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здійснює  виплату 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, а також членів їх сімей;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виплату грошової компенсації за належні для отримання жилі  приміщення для внутрішньо переміщених осіб, які захищали незалежність,   суверенітет та територіальну цілісність України;</w:t>
      </w:r>
    </w:p>
    <w:p>
      <w:pPr>
        <w:pStyle w:val="ListParagraph"/>
        <w:spacing w:beforeAutospacing="0" w:after="0" w:afterAutospacing="0" w:line="240" w:lineRule="auto"/>
        <w:ind w:left="0" w:right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здійснює виплату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здійснює      виплату     матеріальної     допомоги    військовослужбовцям,   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звільненим з військової строкової служби.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3.21.у сфері соціального обслуговування та надання соціальних послуг населенню: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   організаційно – методичне     забезпечення  та   контроль     за додержанням    законодавства    про    надання соціальних послуг Броварським     міським територіальним центром соціального обслуговування  Броварського    району Київської області;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координує     роботу   та  здійснює організаційно-методичне забезпечення міського центру    комплексної    реабілітації    дітей з інвалідністю Броварської міської ради Броварського району Київської   області ;    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координує роботу та здійснює організаційно-методичне забезпечення Центру соціальних служб  Броварської міської ради Броварського району Київської області 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подає  пропозиції   під  час формування проекту місцевого бюджету щодо передбачення коштів у складі видатків на фінансування місцевих програм      соціального    захисту;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 забезпечує виконання державної політики з питань надання соціальних послуг особам, окремим соціальним групам, які перебувають у складних життєвих обставинах і не можуть самостійно їх подолати;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сприяє   влаштуванню   за   потреби   до   будинків – інтернатів  громадян похилого віку, осіб з  інвалідністю та дітей з інвалідністю;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вживає    заходів   до    соціального    захисту   бездомних громадян та осіб, звільнених з місць позбавлення волі;</w:t>
      </w:r>
    </w:p>
    <w:p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організовує процедуру визначення потреб населення  Броварської міської територіальної громади у соціальних послугах  з метою отримання об’єктивних даних (кількісних та якісних), необхідних для забезпечення розвитку на території громади системи надання соціальних послуг, що функціонує на засадах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безбар’єрності, безперервності, послідовності надання соціальних послуг та їх різноманітності;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приймає рішення щодо надання або відмову у наданні соціальних послуг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особам/сім’ям, які </w:t>
      </w:r>
      <w:r>
        <w:rPr>
          <w:rFonts w:ascii="Times New Roman" w:hAnsi="Times New Roman"/>
          <w:sz w:val="28"/>
          <w:szCs w:val="28"/>
          <w:lang w:val="uk-UA"/>
        </w:rPr>
        <w:t>перебувають у складних життєвих обставинах та які не можуть самостійно подолати негативний вплив цих обставин;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 з</w:t>
      </w:r>
      <w:r>
        <w:rPr>
          <w:rFonts w:ascii="Times New Roman" w:hAnsi="Times New Roman"/>
          <w:sz w:val="28"/>
          <w:szCs w:val="28"/>
          <w:shd w:val="clear" w:color="auto" w:fill="FFFFFF"/>
        </w:rPr>
        <w:t>абезпечує ведення Реєстру надавачів та отримувачів соціальних послуг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- в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еде облік фізичних осіб, які надають соціальні послуги з догляду на професійній основі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3.22. у сфері соціальної інтеграції осіб з інвалідністю: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здійснює    облік    осіб   з  інвалідністю,  дітей з інвалідністю та інших осіб, які    мають   право   на   безоплатне   забезпечення допоміжними засобами реабілітаціі (технічними та іншими засобами реабілітаціі);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роботу з оформлення документів для визначення права осіб з інвалідністю та дітей з інвалідністю на безоплатне та пільгове забезпечення автомобілями;</w:t>
      </w:r>
    </w:p>
    <w:p>
      <w:pPr>
        <w:numPr>
          <w:ilvl w:val="0"/>
          <w:numId w:val="2"/>
        </w:numPr>
        <w:tabs>
          <w:tab w:val="num" w:pos="0"/>
          <w:tab w:val="num" w:pos="180"/>
        </w:tabs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здійснює   направлення   до    центрів    реабілітації   дітей   з    інвалідністю відповідно до поданих заяв та документів;</w:t>
      </w:r>
    </w:p>
    <w:p>
      <w:pPr>
        <w:pStyle w:val="ListParagraph"/>
        <w:numPr>
          <w:ilvl w:val="0"/>
          <w:numId w:val="2"/>
        </w:numPr>
        <w:tabs>
          <w:tab w:val="num" w:pos="0"/>
          <w:tab w:val="num" w:pos="284"/>
        </w:tabs>
        <w:spacing w:beforeAutospacing="0" w:after="0" w:afterAutospacing="0" w:line="240" w:lineRule="auto"/>
        <w:ind w:left="0" w:right="1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здійснює   виплату   грошових  компенсацій, передбачених законодавством України;</w:t>
      </w:r>
    </w:p>
    <w:p>
      <w:pPr>
        <w:numPr>
          <w:ilvl w:val="0"/>
          <w:numId w:val="2"/>
        </w:numPr>
        <w:tabs>
          <w:tab w:val="num" w:pos="0"/>
          <w:tab w:val="num" w:pos="180"/>
        </w:tabs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інформує  місцевий   центр  зайнятості про осіб з  інвалідністю, які виявили </w:t>
      </w:r>
    </w:p>
    <w:p>
      <w:pPr>
        <w:tabs>
          <w:tab w:val="num" w:pos="0"/>
        </w:tabs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бажання працювати ;</w:t>
      </w:r>
    </w:p>
    <w:p>
      <w:pPr>
        <w:tabs>
          <w:tab w:val="num" w:pos="0"/>
        </w:tabs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бере участь у створенні  безперешкодного  середовища для мало мобільних   </w:t>
      </w:r>
    </w:p>
    <w:p>
      <w:pPr>
        <w:spacing w:beforeAutospacing="0" w:after="0" w:afterAutospacing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категорій населення;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3.23.забезпечує ведення єдиної інформаційної системи соціальної сфери (ЄІССС) централізованого банку даних з проблем інвалідності (ЦБІ), Єдиної інформаційної бази даних про внутрішньо переміщених осіб, інших інформаційних систем та реєстрів, визначених Мінсоцполітики, підтримує єдине інформаційне і телекомунікаційне середовище у складі інформаційної інфраструктури Мінсоцполітики та власний сегмент локальної мережі;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3.24.інформує населення з питань, що належать до його компетенції, у тому числі через засоби масової інформації;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3.25.здійснює інші передбачені чинним законодавством повноваження.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4. Права та обов’язки управління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має право: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4.1.одержувати в установленому законодавством порядку від інших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 за погодженням з їх керівниками);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4.3.подавати міській раді та її виконавчому комітету пропозиції з питань, що належать до компетенції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4.5.скликати в установленому порядку наради, проводити семінари та конференції з питань, що належить до його компетенції.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5. Структура та керівництво управління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Управління має  наступні структурні підрозділи 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прийому громадян 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прийняття рішень;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формування виплатних документів;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по роботі  з внутрішньо переміщеними особами;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контролю;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з питань ветеранської політики;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у справах захисту населення від наслідків аварії на ЧАЕС та оздоровлення пільгових категорій громадян;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координації надання соціальних послуг;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відділ обліково-економічної роботи.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5.2.Управління очолює начальник, який призначається на посаду  та звільняється з посади міським головою, у порядку визначеному законодавством України.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5.3.Начальник управління має заступників, які призначаються                                 на посаду та звільняються з посади міським головою 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Начальник управління: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здійснює керівництво управлінням, несе персональну відповідальність за  організацію та результати його діяльності, сприяє створенню належних умов праці в управлінні;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подає на затвердження міській раді положення про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вживає заходів щодо вдосконалення організації та підвищення ефективності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роботи управління;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звітує про виконання покладених на управління завдань;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представляє  інтереси  управління  у  взаємовідносинах з іншими органами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місцевого самоврядування, підприємствами, установами та організаціями;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видає  у  межах  своїх  повноважень накази,  організовує  контроль  за      їх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виконанням;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подає   на   затвердження   міському   голові   кошторис 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розпоряджається коштами у межах затвердженого кошторису 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розглядає  питання   заохочення,  притягнення  до  дисциплінарної 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відповідальності працівників   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проводить   особистий   прийом    громадян    з    питань,   що   належать до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повноважень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затверджує   положення   про   структурні   підрозділи,  посадові інструкції 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працівників управління;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забезпечує  дотримання  працівниками управління   правил   внутрішнього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трудового розпорядку та виконавської дисципліни;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  межах  своїх  повноважень  проводить  роботу  із   запобігання корупції,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виявлення та припинення її проявів, усунення наслідків корупційних діянь;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надає довіреності від імені юридичної особи, що видається її органом або іншою особою, уповноваженою на це її установчими документами.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Начальник управління за погодженням із заступником міського голови з питань діяльності виконавчих органів ради розподіляє обов’язки між  заступниками начальника управління та визначає ступінь їх відповідальності 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5.6.Ступінь відповідальності інших працівників встановлюється у відповідних посадових інструкціях.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6. Взаємовідносини з іншими підрозділами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Управління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  періодичності   одержання   і   передачі   інформації,   необхідної    для 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належного виконання покладених на нього завдань та здійснення запланованих заходів.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7. Заключна частина про ліквідацію та реорганізацію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7.1.Зміни в положення про управління затверджуються міською радою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7.2.Реорганізація та ліквідація управління проводиться за рішенням міської ради.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</w:t>
        <w:tab/>
        <w:tab/>
        <w:tab/>
        <w:tab/>
        <w:tab/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D706F0"/>
    <w:multiLevelType w:val="hybridMultilevel"/>
    <w:tmpl w:val="00000000"/>
    <w:lvl w:ilvl="0">
      <w:start w:val="2"/>
      <w:numFmt w:val="bullet"/>
      <w:lvlText w:val="-"/>
      <w:lvlJc w:val="left"/>
      <w:pPr>
        <w:tabs>
          <w:tab w:val="num" w:pos="-405"/>
        </w:tabs>
        <w:ind w:left="-405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675"/>
        </w:tabs>
        <w:ind w:left="675" w:hanging="360"/>
      </w:pPr>
    </w:lvl>
    <w:lvl w:ilvl="2">
      <w:start w:val="1"/>
      <w:numFmt w:val="decimal"/>
      <w:lvlText w:val="%3."/>
      <w:lvlJc w:val="left"/>
      <w:pPr>
        <w:tabs>
          <w:tab w:val="num" w:pos="1395"/>
        </w:tabs>
        <w:ind w:left="1395" w:hanging="36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360"/>
      </w:p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360"/>
      </w:pPr>
    </w:lvl>
    <w:lvl w:ilvl="5">
      <w:start w:val="1"/>
      <w:numFmt w:val="decimal"/>
      <w:lvlText w:val="%6."/>
      <w:lvlJc w:val="left"/>
      <w:pPr>
        <w:tabs>
          <w:tab w:val="num" w:pos="3555"/>
        </w:tabs>
        <w:ind w:left="3555" w:hanging="360"/>
      </w:pPr>
    </w:lvl>
    <w:lvl w:ilvl="6">
      <w:start w:val="1"/>
      <w:numFmt w:val="decimal"/>
      <w:lvlText w:val="%7."/>
      <w:lvlJc w:val="left"/>
      <w:pPr>
        <w:tabs>
          <w:tab w:val="num" w:pos="4275"/>
        </w:tabs>
        <w:ind w:left="4275" w:hanging="360"/>
      </w:pPr>
    </w:lvl>
    <w:lvl w:ilvl="7">
      <w:start w:val="1"/>
      <w:numFmt w:val="decimal"/>
      <w:lvlText w:val="%8."/>
      <w:lvlJc w:val="left"/>
      <w:pPr>
        <w:tabs>
          <w:tab w:val="num" w:pos="4995"/>
        </w:tabs>
        <w:ind w:left="4995" w:hanging="360"/>
      </w:pPr>
    </w:lvl>
    <w:lvl w:ilvl="8">
      <w:start w:val="1"/>
      <w:numFmt w:val="decimal"/>
      <w:lvlText w:val="%9."/>
      <w:lvlJc w:val="left"/>
      <w:pPr>
        <w:tabs>
          <w:tab w:val="num" w:pos="5715"/>
        </w:tabs>
        <w:ind w:left="5715" w:hanging="360"/>
      </w:pPr>
    </w:lvl>
  </w:abstractNum>
  <w:abstractNum w:abstractNumId="1">
    <w:nsid w:val="6FCF2DE3"/>
    <w:multiLevelType w:val="hybridMultilevel"/>
    <w:tmpl w:val="00000000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7737F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customStyle="1" w:styleId="1">
    <w:name w:val="Абзац списка1"/>
    <w:basedOn w:val="Normal"/>
    <w:pPr>
      <w:ind w:left="720"/>
    </w:pPr>
    <w:rPr>
      <w:lang w:val="ru-RU" w:eastAsia="ru-RU"/>
    </w:rPr>
  </w:style>
  <w:style w:type="paragraph" w:styleId="ListParagraph">
    <w:name w:val="List Paragraph"/>
    <w:basedOn w:val="Normal"/>
    <w:qFormat/>
    <w:pPr>
      <w:ind w:left="720"/>
      <w:contextualSpacing/>
    </w:pPr>
    <w:rPr>
      <w:lang w:val="ru-RU" w:eastAsia="ru-RU"/>
    </w:rPr>
  </w:style>
  <w:style w:type="paragraph" w:styleId="NoSpacing">
    <w:name w:val="No Spacing"/>
    <w:qFormat/>
    <w:pPr>
      <w:spacing w:beforeAutospacing="0" w:after="0" w:afterAutospacing="0" w:line="240" w:lineRule="auto"/>
    </w:pPr>
    <w:rPr>
      <w:lang w:val="ru-RU" w:eastAsia="ru-RU"/>
    </w:rPr>
  </w:style>
  <w:style w:type="paragraph" w:customStyle="1" w:styleId="rvps2">
    <w:name w:val="rvps2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17</cp:revision>
  <dcterms:created xsi:type="dcterms:W3CDTF">2023-03-27T06:26:00Z</dcterms:created>
  <dcterms:modified xsi:type="dcterms:W3CDTF">2023-12-01T13:30:25Z</dcterms:modified>
</cp:coreProperties>
</file>