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35E5" w14:textId="77777777" w:rsidR="005B1C08" w:rsidRDefault="000E2BC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79B71F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6F565C" w14:textId="77777777" w:rsidR="000E2BC9" w:rsidRPr="00463E47" w:rsidRDefault="000E2BC9" w:rsidP="000E2BC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3750F485" w14:textId="16037D66" w:rsidR="000E2BC9" w:rsidRDefault="000E2BC9" w:rsidP="000E2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191817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14:paraId="37C157C7" w14:textId="77777777" w:rsidR="000E2BC9" w:rsidRDefault="000E2BC9" w:rsidP="000E2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14:paraId="0F512F62" w14:textId="77777777" w:rsidR="000E2BC9" w:rsidRDefault="000E2BC9" w:rsidP="000E2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14:paraId="38937E05" w14:textId="77777777" w:rsidR="000E2BC9" w:rsidRDefault="000E2BC9" w:rsidP="000E2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роки»»</w:t>
      </w:r>
    </w:p>
    <w:bookmarkEnd w:id="0"/>
    <w:p w14:paraId="0D56613B" w14:textId="77777777" w:rsidR="000E2BC9" w:rsidRPr="00A11EB5" w:rsidRDefault="000E2BC9" w:rsidP="000E2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CDEFD" w14:textId="77777777" w:rsidR="000E2BC9" w:rsidRDefault="000E2BC9" w:rsidP="000E2BC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Обг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</w:t>
      </w:r>
      <w:proofErr w:type="spellEnd"/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635F7C" w14:textId="77777777" w:rsidR="000E2BC9" w:rsidRDefault="00984998" w:rsidP="000E2B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реалізації </w:t>
      </w:r>
      <w:r w:rsidR="000E2BC9" w:rsidRPr="007975FE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стосовно ремонтів, утримання об</w:t>
      </w:r>
      <w:r w:rsidRPr="0098499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у 2024 році необхідно профінансувати такі заходи</w:t>
      </w:r>
      <w:r w:rsidR="000E2BC9" w:rsidRPr="007975F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0E2B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052EE25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E954AC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шатрових дахів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«13 000,00»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для капітального ремонту шатрових дахів ж/б за такими адресами вулиці Героїв України,3, Лагунової Марії,17, Олімпійська,3, Металургів,11</w:t>
      </w:r>
      <w:r w:rsidRPr="0078278D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управляючими компаніями замовлено та подано до управління акти обстеження технічного стану несучих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огороджуваних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 дахів багатоквартирних будинків, що виготовлені відповідальними виконавцями з кваліфікаційними сертифікатами);</w:t>
      </w:r>
    </w:p>
    <w:p w14:paraId="5886A99A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Pr="00334BB3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 інженерних 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«6 000,00»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капітального ремонту ГРЩ та ВБС багатоповерхових житлових будинків за такими адресами вулиці Героїв УПА,5, Героїв УПА,13-А,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Незалежності,3, бульв.Незалежності,3-Б, Олімпійська,1, Олімпійська,6-А, Москаленка Сергія,2-А, Москаленка Сергія,2-Б, Москаленка Сергія,8-А, бульв.Незалежності,19-А, Петлюри Симона,25, Петлюри Симона,25-Б, Чорних Запороців,70-Б, Петлюри Симона,21-А, Білодібровна,2, Білодібровна,2-А, Білодібровна,4, Голуба Аркадія,1,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Онікієнка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Олега,69-Б, Голуба Аркадія,1/3, Героїв України,5, Героїв України,9, Київська,294, Київська,296, Київська,300 (об</w:t>
      </w:r>
      <w:r w:rsidRPr="00433FF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 включені на підставі поданих управлінськими компаніями актів обстеження);</w:t>
      </w:r>
    </w:p>
    <w:p w14:paraId="41256092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 </w:t>
      </w:r>
      <w:r w:rsidRPr="008243E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243E9">
        <w:rPr>
          <w:rFonts w:ascii="Times New Roman" w:hAnsi="Times New Roman" w:cs="Times New Roman"/>
          <w:sz w:val="28"/>
          <w:szCs w:val="28"/>
          <w:lang w:val="uk-UA"/>
        </w:rPr>
        <w:t>апітальн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243E9">
        <w:rPr>
          <w:rFonts w:ascii="Times New Roman" w:hAnsi="Times New Roman" w:cs="Times New Roman"/>
          <w:sz w:val="28"/>
          <w:szCs w:val="28"/>
          <w:lang w:val="uk-UA"/>
        </w:rPr>
        <w:t xml:space="preserve"> ремонт шляхопроводу через залізничні колії по </w:t>
      </w:r>
      <w:proofErr w:type="spellStart"/>
      <w:r w:rsidRPr="008243E9"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 w:rsidRPr="008243E9">
        <w:rPr>
          <w:rFonts w:ascii="Times New Roman" w:hAnsi="Times New Roman" w:cs="Times New Roman"/>
          <w:sz w:val="28"/>
          <w:szCs w:val="28"/>
          <w:lang w:val="uk-UA"/>
        </w:rPr>
        <w:t xml:space="preserve"> Олега в </w:t>
      </w:r>
      <w:proofErr w:type="spellStart"/>
      <w:r w:rsidRPr="008243E9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8243E9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Додаткові роботи» встановити обсяг фінансування у розмірі «50 000,00»тис.грн. (Основний договір БМР №3/22 від 13.01.2022 року на суму «80 000,00»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 виконанні виникли додаткові роботи: розширено монолітний тротуар; посилено монолітні плити МП1,МП2; перероблено оздоблення стояків,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ригилів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прогонової будови. Здійснено коригування та отримано експертний звіт №01-3110-23/ЕП/КО від 10.11.2023 року)</w:t>
      </w:r>
    </w:p>
    <w:p w14:paraId="51F6A2E5" w14:textId="10578DBA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об''</w:t>
      </w:r>
      <w:proofErr w:type="spellStart"/>
      <w:r w:rsidRPr="000272BD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0272B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Будівництво загальноосвітньої школи І ступеню по вул. Петлюри Симона (Черняховського), 17-Б.</w:t>
      </w:r>
      <w:r>
        <w:rPr>
          <w:rFonts w:ascii="Times New Roman" w:hAnsi="Times New Roman" w:cs="Times New Roman"/>
          <w:sz w:val="28"/>
          <w:szCs w:val="28"/>
          <w:lang w:val="uk-UA"/>
        </w:rPr>
        <w:t>» встановити обсяг фінансування у розмірі «</w:t>
      </w:r>
      <w:r w:rsidR="00376A29">
        <w:rPr>
          <w:rFonts w:ascii="Times New Roman" w:hAnsi="Times New Roman" w:cs="Times New Roman"/>
          <w:sz w:val="28"/>
          <w:szCs w:val="28"/>
          <w:lang w:val="uk-UA"/>
        </w:rPr>
        <w:t>58 500,00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.(Основний договір БМР №175/20 від 29.09.2020 року на суму «238 279,207»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виконання договору становить «186 588,05361»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14:paraId="40EDC2AF" w14:textId="273CE6B7" w:rsidR="0066437E" w:rsidRDefault="0066437E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об''</w:t>
      </w:r>
      <w:proofErr w:type="spellStart"/>
      <w:r w:rsidRPr="000272BD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66437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«Нове будівництво захисної споруди цивільного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захисту по вул. Петлюри Симона,17-Б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області» встановити обсяг фінансування у розмірі «1 500,00»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7DD40D92" w14:textId="1EEE7E2F" w:rsidR="000E2BC9" w:rsidRPr="00A37280" w:rsidRDefault="0066437E" w:rsidP="0066437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по заходу «Нове будівництво, реконструкція, капітальний ремонт об''</w:t>
      </w:r>
      <w:proofErr w:type="spellStart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="000E2BC9" w:rsidRPr="00694D1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Коригування» встановити обсяг фінансування у розмірі «10 000,00» </w:t>
      </w:r>
      <w:proofErr w:type="spellStart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. (Основний договір БМР №</w:t>
      </w:r>
      <w:r w:rsidR="000E2BC9" w:rsidRPr="00694D1F">
        <w:rPr>
          <w:rFonts w:ascii="Times New Roman" w:hAnsi="Times New Roman" w:cs="Times New Roman"/>
          <w:sz w:val="28"/>
          <w:szCs w:val="28"/>
          <w:lang w:val="en-US"/>
        </w:rPr>
        <w:t>KV</w:t>
      </w:r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 xml:space="preserve">04_02 від 26.01.2021 року на суму «41 842,20» </w:t>
      </w:r>
      <w:proofErr w:type="spellStart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. при виконанн</w:t>
      </w:r>
      <w:r w:rsidR="000E2BC9">
        <w:rPr>
          <w:b/>
          <w:sz w:val="28"/>
          <w:szCs w:val="28"/>
          <w:lang w:val="uk-UA"/>
        </w:rPr>
        <w:t>і</w:t>
      </w:r>
      <w:r w:rsidR="000E2BC9" w:rsidRPr="00694D1F">
        <w:rPr>
          <w:b/>
          <w:sz w:val="28"/>
          <w:szCs w:val="28"/>
          <w:lang w:val="uk-UA"/>
        </w:rPr>
        <w:t xml:space="preserve"> </w:t>
      </w:r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виникли додаткові роботи</w:t>
      </w:r>
      <w:r w:rsidR="000E2BC9">
        <w:rPr>
          <w:b/>
          <w:sz w:val="28"/>
          <w:szCs w:val="28"/>
          <w:lang w:val="uk-UA"/>
        </w:rPr>
        <w:t xml:space="preserve"> </w:t>
      </w:r>
      <w:r w:rsidR="000E2BC9" w:rsidRPr="00AF499C">
        <w:rPr>
          <w:sz w:val="28"/>
          <w:szCs w:val="28"/>
          <w:lang w:val="uk-UA"/>
        </w:rPr>
        <w:t>та</w:t>
      </w:r>
      <w:r w:rsidR="000E2BC9" w:rsidRPr="00AF4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з’ясувалось, що потрібно здійснити Коригування:</w:t>
      </w:r>
      <w:r w:rsidR="000E2BC9">
        <w:rPr>
          <w:b/>
          <w:sz w:val="28"/>
          <w:szCs w:val="28"/>
          <w:lang w:val="uk-UA"/>
        </w:rPr>
        <w:t xml:space="preserve"> </w:t>
      </w:r>
      <w:r w:rsidR="000E2BC9" w:rsidRPr="00694D1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E2BC9" w:rsidRPr="00A37280">
        <w:rPr>
          <w:rFonts w:ascii="Times New Roman" w:eastAsia="Times New Roman" w:hAnsi="Times New Roman"/>
          <w:bCs/>
          <w:sz w:val="28"/>
          <w:szCs w:val="28"/>
          <w:lang w:val="uk-UA"/>
        </w:rPr>
        <w:t>Передбачити додаткові роботи за розділами:</w:t>
      </w:r>
    </w:p>
    <w:p w14:paraId="4B1986D6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Генеральний план</w:t>
      </w:r>
    </w:p>
    <w:p w14:paraId="2D568FB1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proofErr w:type="spellStart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коригування в зв'язку з змінами прокладання зовнішніх мереж (тепломережа, вода та каналізація)</w:t>
      </w:r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 на</w:t>
      </w:r>
      <w:r w:rsidRPr="00A37280">
        <w:rPr>
          <w:rFonts w:ascii="Times New Roman" w:eastAsia="Times New Roman" w:hAnsi="Times New Roman"/>
          <w:color w:val="FF0000"/>
          <w:sz w:val="28"/>
          <w:szCs w:val="28"/>
          <w:lang w:val="uk-UA"/>
        </w:rPr>
        <w:t xml:space="preserve"> </w:t>
      </w:r>
      <w:r w:rsidRPr="00A37280">
        <w:rPr>
          <w:rFonts w:ascii="Times New Roman" w:eastAsia="Times New Roman" w:hAnsi="Times New Roman"/>
          <w:sz w:val="28"/>
          <w:szCs w:val="28"/>
          <w:lang w:val="uk-UA"/>
        </w:rPr>
        <w:t>основі нових ТУ на теплопостачання, водопостачання та каналізацію.</w:t>
      </w:r>
    </w:p>
    <w:p w14:paraId="6CD34BDF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АР (Архітектурні рішення)</w:t>
      </w:r>
    </w:p>
    <w:p w14:paraId="01128A4C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37280">
        <w:rPr>
          <w:rFonts w:ascii="Times New Roman" w:eastAsia="Times New Roman" w:hAnsi="Times New Roman"/>
          <w:sz w:val="28"/>
          <w:szCs w:val="28"/>
          <w:lang w:val="uk-UA"/>
        </w:rPr>
        <w:t>Внести</w:t>
      </w:r>
      <w:proofErr w:type="spellEnd"/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 зміни в архітектурно-планувальні рішення, пов'язані зі змінами інженерних розділів та нових будівельних норм</w:t>
      </w:r>
    </w:p>
    <w:p w14:paraId="3F5048D2" w14:textId="77777777" w:rsidR="000E2BC9" w:rsidRPr="00A37280" w:rsidRDefault="000E2BC9" w:rsidP="000E2BC9">
      <w:pPr>
        <w:pStyle w:val="30"/>
        <w:jc w:val="both"/>
        <w:rPr>
          <w:b w:val="0"/>
          <w:color w:val="FF0000"/>
          <w:sz w:val="28"/>
          <w:szCs w:val="28"/>
        </w:rPr>
      </w:pPr>
      <w:r w:rsidRPr="00A37280">
        <w:rPr>
          <w:b w:val="0"/>
          <w:color w:val="000000"/>
          <w:sz w:val="28"/>
          <w:szCs w:val="28"/>
        </w:rPr>
        <w:t xml:space="preserve">Внести </w:t>
      </w:r>
      <w:proofErr w:type="spellStart"/>
      <w:r w:rsidRPr="00A37280">
        <w:rPr>
          <w:b w:val="0"/>
          <w:color w:val="000000"/>
          <w:sz w:val="28"/>
          <w:szCs w:val="28"/>
        </w:rPr>
        <w:t>зміни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в </w:t>
      </w:r>
      <w:proofErr w:type="spellStart"/>
      <w:r w:rsidRPr="00A37280">
        <w:rPr>
          <w:b w:val="0"/>
          <w:color w:val="000000"/>
          <w:sz w:val="28"/>
          <w:szCs w:val="28"/>
        </w:rPr>
        <w:t>плани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</w:t>
      </w:r>
      <w:proofErr w:type="spellStart"/>
      <w:r w:rsidRPr="00A37280">
        <w:rPr>
          <w:b w:val="0"/>
          <w:color w:val="000000"/>
          <w:sz w:val="28"/>
          <w:szCs w:val="28"/>
        </w:rPr>
        <w:t>покрівлі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, </w:t>
      </w:r>
      <w:proofErr w:type="spellStart"/>
      <w:r w:rsidRPr="00A37280">
        <w:rPr>
          <w:b w:val="0"/>
          <w:color w:val="000000"/>
          <w:sz w:val="28"/>
          <w:szCs w:val="28"/>
        </w:rPr>
        <w:t>розрізи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та </w:t>
      </w:r>
      <w:proofErr w:type="spellStart"/>
      <w:r w:rsidRPr="00A37280">
        <w:rPr>
          <w:b w:val="0"/>
          <w:color w:val="000000"/>
          <w:sz w:val="28"/>
          <w:szCs w:val="28"/>
        </w:rPr>
        <w:t>вузли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(</w:t>
      </w:r>
      <w:proofErr w:type="spellStart"/>
      <w:r w:rsidRPr="00A37280">
        <w:rPr>
          <w:b w:val="0"/>
          <w:color w:val="000000"/>
          <w:sz w:val="28"/>
          <w:szCs w:val="28"/>
        </w:rPr>
        <w:t>зменшення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</w:t>
      </w:r>
      <w:proofErr w:type="spellStart"/>
      <w:r w:rsidRPr="00A37280">
        <w:rPr>
          <w:b w:val="0"/>
          <w:color w:val="000000"/>
          <w:sz w:val="28"/>
          <w:szCs w:val="28"/>
        </w:rPr>
        <w:t>об’ємів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в межах </w:t>
      </w:r>
      <w:proofErr w:type="spellStart"/>
      <w:r w:rsidRPr="00A37280">
        <w:rPr>
          <w:b w:val="0"/>
          <w:color w:val="000000"/>
          <w:sz w:val="28"/>
          <w:szCs w:val="28"/>
        </w:rPr>
        <w:t>нормативних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</w:t>
      </w:r>
      <w:proofErr w:type="spellStart"/>
      <w:r w:rsidRPr="00A37280">
        <w:rPr>
          <w:b w:val="0"/>
          <w:color w:val="000000"/>
          <w:sz w:val="28"/>
          <w:szCs w:val="28"/>
        </w:rPr>
        <w:t>показників</w:t>
      </w:r>
      <w:proofErr w:type="spellEnd"/>
      <w:r w:rsidRPr="00A37280">
        <w:rPr>
          <w:b w:val="0"/>
          <w:color w:val="000000"/>
          <w:sz w:val="28"/>
          <w:szCs w:val="28"/>
        </w:rPr>
        <w:t xml:space="preserve"> ДБН) </w:t>
      </w:r>
    </w:p>
    <w:p w14:paraId="06067783" w14:textId="77777777" w:rsidR="000E2BC9" w:rsidRPr="00A37280" w:rsidRDefault="000E2BC9" w:rsidP="000E2BC9">
      <w:pPr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sz w:val="28"/>
          <w:szCs w:val="28"/>
          <w:lang w:val="uk-UA"/>
        </w:rPr>
        <w:t>Відкоригувати розділ «Енергоефективність» згідно нових</w:t>
      </w:r>
      <w:r w:rsidRPr="00A37280">
        <w:rPr>
          <w:rFonts w:ascii="Montserrat" w:eastAsia="Times New Roman" w:hAnsi="Montserrat"/>
          <w:sz w:val="28"/>
          <w:szCs w:val="28"/>
          <w:lang w:val="uk-UA"/>
        </w:rPr>
        <w:t xml:space="preserve"> </w:t>
      </w:r>
      <w:r w:rsidRPr="00A37280">
        <w:rPr>
          <w:rFonts w:ascii="Times New Roman" w:eastAsia="Times New Roman" w:hAnsi="Times New Roman"/>
          <w:sz w:val="28"/>
          <w:szCs w:val="28"/>
          <w:lang w:val="uk-UA"/>
        </w:rPr>
        <w:t>ДБН В.1.2-11:2021 "Основні вимоги до будівель і споруд. Енергозбереження та енергоефективність", що набув чинність 01.09.2022р. та ДБН В.2.6-31:2021 "Теплова ізоляція та енергоефективність будівель", що набув чинність 01.09.2022р.</w:t>
      </w:r>
    </w:p>
    <w:p w14:paraId="412385A7" w14:textId="77777777" w:rsidR="000E2BC9" w:rsidRPr="00A37280" w:rsidRDefault="000E2BC9" w:rsidP="000E2BC9">
      <w:pPr>
        <w:spacing w:after="0" w:line="240" w:lineRule="auto"/>
        <w:ind w:right="-6"/>
        <w:jc w:val="both"/>
        <w:textAlignment w:val="baseline"/>
        <w:rPr>
          <w:rFonts w:ascii="Montserrat" w:eastAsia="Times New Roman" w:hAnsi="Montserrat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sz w:val="28"/>
          <w:szCs w:val="28"/>
          <w:lang w:val="uk-UA"/>
        </w:rPr>
        <w:t>Передбачити додаткові роботи:</w:t>
      </w:r>
    </w:p>
    <w:p w14:paraId="0ACB1FD4" w14:textId="77777777" w:rsidR="000E2BC9" w:rsidRPr="00A37280" w:rsidRDefault="000E2BC9" w:rsidP="000E2BC9">
      <w:pPr>
        <w:pStyle w:val="30"/>
        <w:jc w:val="both"/>
        <w:rPr>
          <w:b w:val="0"/>
          <w:color w:val="FF0000"/>
          <w:sz w:val="28"/>
          <w:szCs w:val="28"/>
        </w:rPr>
      </w:pPr>
      <w:r w:rsidRPr="00A37280">
        <w:rPr>
          <w:b w:val="0"/>
          <w:sz w:val="28"/>
          <w:szCs w:val="28"/>
        </w:rPr>
        <w:t xml:space="preserve">У </w:t>
      </w:r>
      <w:proofErr w:type="spellStart"/>
      <w:r w:rsidRPr="00A37280">
        <w:rPr>
          <w:b w:val="0"/>
          <w:sz w:val="28"/>
          <w:szCs w:val="28"/>
        </w:rPr>
        <w:t>складі</w:t>
      </w:r>
      <w:proofErr w:type="spellEnd"/>
      <w:r w:rsidRPr="00A37280">
        <w:rPr>
          <w:b w:val="0"/>
          <w:sz w:val="28"/>
          <w:szCs w:val="28"/>
        </w:rPr>
        <w:t xml:space="preserve"> </w:t>
      </w:r>
      <w:proofErr w:type="spellStart"/>
      <w:r w:rsidRPr="00A37280">
        <w:rPr>
          <w:b w:val="0"/>
          <w:sz w:val="28"/>
          <w:szCs w:val="28"/>
        </w:rPr>
        <w:t>робочого</w:t>
      </w:r>
      <w:proofErr w:type="spellEnd"/>
      <w:r w:rsidRPr="00A37280">
        <w:rPr>
          <w:b w:val="0"/>
          <w:sz w:val="28"/>
          <w:szCs w:val="28"/>
        </w:rPr>
        <w:t xml:space="preserve"> проекту </w:t>
      </w:r>
      <w:proofErr w:type="spellStart"/>
      <w:proofErr w:type="gramStart"/>
      <w:r w:rsidRPr="00A37280">
        <w:rPr>
          <w:b w:val="0"/>
          <w:sz w:val="28"/>
          <w:szCs w:val="28"/>
        </w:rPr>
        <w:t>виготовити</w:t>
      </w:r>
      <w:proofErr w:type="spellEnd"/>
      <w:r w:rsidRPr="00A37280">
        <w:rPr>
          <w:b w:val="0"/>
          <w:sz w:val="28"/>
          <w:szCs w:val="28"/>
        </w:rPr>
        <w:t xml:space="preserve">  </w:t>
      </w:r>
      <w:proofErr w:type="spellStart"/>
      <w:r w:rsidRPr="00A37280">
        <w:rPr>
          <w:b w:val="0"/>
          <w:sz w:val="28"/>
          <w:szCs w:val="28"/>
        </w:rPr>
        <w:t>енергетичний</w:t>
      </w:r>
      <w:proofErr w:type="spellEnd"/>
      <w:proofErr w:type="gramEnd"/>
      <w:r w:rsidRPr="00A37280">
        <w:rPr>
          <w:b w:val="0"/>
          <w:sz w:val="28"/>
          <w:szCs w:val="28"/>
        </w:rPr>
        <w:t xml:space="preserve"> </w:t>
      </w:r>
      <w:proofErr w:type="spellStart"/>
      <w:r w:rsidRPr="00A37280">
        <w:rPr>
          <w:b w:val="0"/>
          <w:sz w:val="28"/>
          <w:szCs w:val="28"/>
        </w:rPr>
        <w:t>сертифікат</w:t>
      </w:r>
      <w:proofErr w:type="spellEnd"/>
      <w:r w:rsidRPr="00A37280">
        <w:rPr>
          <w:b w:val="0"/>
          <w:sz w:val="28"/>
          <w:szCs w:val="28"/>
        </w:rPr>
        <w:t xml:space="preserve"> </w:t>
      </w:r>
      <w:proofErr w:type="spellStart"/>
      <w:r w:rsidRPr="00A37280">
        <w:rPr>
          <w:b w:val="0"/>
          <w:sz w:val="28"/>
          <w:szCs w:val="28"/>
        </w:rPr>
        <w:t>будівлі</w:t>
      </w:r>
      <w:proofErr w:type="spellEnd"/>
      <w:r w:rsidRPr="00A37280">
        <w:rPr>
          <w:b w:val="0"/>
          <w:sz w:val="28"/>
          <w:szCs w:val="28"/>
        </w:rPr>
        <w:t>.</w:t>
      </w:r>
    </w:p>
    <w:p w14:paraId="2D90B86C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hAnsi="Times New Roman" w:cs="Arial"/>
          <w:sz w:val="28"/>
          <w:szCs w:val="28"/>
          <w:lang w:val="uk-UA"/>
        </w:rPr>
        <w:t>Відкоригувати</w:t>
      </w:r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 розділи протипожежної безпеки та систем зв’язку та сигналізації проектної документації згідно нових ДБН В.1.2-7:2021 «Пожежна безпека» та інших актуальних норм.</w:t>
      </w:r>
    </w:p>
    <w:p w14:paraId="23FFC7C0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Розділи систем протипожежної безпеки </w:t>
      </w:r>
    </w:p>
    <w:p w14:paraId="269ED34A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Відкоригувати відповідно до нових норм та стандартів, а також згідно змін, внесених в інші розділи </w:t>
      </w:r>
      <w:proofErr w:type="spellStart"/>
      <w:r w:rsidRPr="00A37280">
        <w:rPr>
          <w:rFonts w:ascii="Times New Roman" w:eastAsia="Times New Roman" w:hAnsi="Times New Roman"/>
          <w:sz w:val="28"/>
          <w:szCs w:val="28"/>
          <w:lang w:val="uk-UA"/>
        </w:rPr>
        <w:t>проєкту</w:t>
      </w:r>
      <w:proofErr w:type="spellEnd"/>
      <w:r w:rsidRPr="00A37280">
        <w:rPr>
          <w:rFonts w:ascii="Times New Roman" w:eastAsia="Times New Roman" w:hAnsi="Times New Roman"/>
          <w:sz w:val="28"/>
          <w:szCs w:val="28"/>
          <w:lang w:val="uk-UA"/>
        </w:rPr>
        <w:t>. Ув’язати розділи між собою.</w:t>
      </w:r>
    </w:p>
    <w:p w14:paraId="361C7CC0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sz w:val="28"/>
          <w:szCs w:val="28"/>
          <w:lang w:val="uk-UA"/>
        </w:rPr>
        <w:t>Розділи системи зв'язку та сигналізації</w:t>
      </w:r>
    </w:p>
    <w:p w14:paraId="7DEA946F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Відкоригувати відповідно до нових норм та стандартів, а також згідно змін, внесених в інші розділи </w:t>
      </w:r>
      <w:proofErr w:type="spellStart"/>
      <w:r w:rsidRPr="00A37280">
        <w:rPr>
          <w:rFonts w:ascii="Times New Roman" w:eastAsia="Times New Roman" w:hAnsi="Times New Roman"/>
          <w:sz w:val="28"/>
          <w:szCs w:val="28"/>
          <w:lang w:val="uk-UA"/>
        </w:rPr>
        <w:t>проєкту</w:t>
      </w:r>
      <w:proofErr w:type="spellEnd"/>
      <w:r w:rsidRPr="00A37280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Pr="00A37280">
        <w:rPr>
          <w:rFonts w:ascii="Times New Roman" w:eastAsia="Times New Roman" w:hAnsi="Times New Roman"/>
          <w:color w:val="FF0000"/>
          <w:sz w:val="28"/>
          <w:szCs w:val="28"/>
          <w:lang w:val="uk-UA"/>
        </w:rPr>
        <w:t xml:space="preserve"> </w:t>
      </w: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Ув'язати з розділами “Система пожежної сигналізації», «Автоматизація та диспетчеризація протипожежних систем» з  іншими розділами проектної документації.</w:t>
      </w:r>
    </w:p>
    <w:p w14:paraId="2B4D597E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Слід передбачати улаштування автоматизованої системи моніторингу та інтелектуального управління будівлею (зміна в ДБН В.2.2-4:2018 “Заклади дошкільної освіти”).</w:t>
      </w:r>
    </w:p>
    <w:p w14:paraId="516EF14B" w14:textId="77777777" w:rsidR="000E2BC9" w:rsidRPr="00A37280" w:rsidRDefault="000E2BC9" w:rsidP="000E2BC9">
      <w:pPr>
        <w:pStyle w:val="30"/>
        <w:jc w:val="both"/>
        <w:rPr>
          <w:b w:val="0"/>
          <w:sz w:val="28"/>
          <w:szCs w:val="28"/>
          <w:lang w:val="uk-UA"/>
        </w:rPr>
      </w:pPr>
      <w:r w:rsidRPr="00A37280">
        <w:rPr>
          <w:b w:val="0"/>
          <w:sz w:val="28"/>
          <w:szCs w:val="28"/>
          <w:lang w:val="uk-UA"/>
        </w:rPr>
        <w:t>Додати розділ «Розрахунок часу евакуації»</w:t>
      </w:r>
    </w:p>
    <w:p w14:paraId="282B9EC4" w14:textId="77777777" w:rsidR="000E2BC9" w:rsidRPr="00A37280" w:rsidRDefault="000E2BC9" w:rsidP="000E2BC9">
      <w:pPr>
        <w:pStyle w:val="Default"/>
        <w:jc w:val="both"/>
        <w:rPr>
          <w:color w:val="auto"/>
          <w:sz w:val="28"/>
          <w:szCs w:val="28"/>
        </w:rPr>
      </w:pPr>
      <w:r w:rsidRPr="00A37280">
        <w:rPr>
          <w:color w:val="auto"/>
          <w:sz w:val="28"/>
          <w:szCs w:val="28"/>
        </w:rPr>
        <w:t xml:space="preserve">Розробити Розділ із забезпечення надійності та безпеки з зазначенням строку першого планового обстеження технічного стану кожного окремого об'єкта, що входить до складу будови, прийнятого в експлуатацію. </w:t>
      </w:r>
    </w:p>
    <w:p w14:paraId="2C769AD9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7280">
        <w:rPr>
          <w:rFonts w:ascii="Times New Roman" w:hAnsi="Times New Roman"/>
          <w:sz w:val="28"/>
          <w:szCs w:val="28"/>
          <w:lang w:val="uk-UA"/>
        </w:rPr>
        <w:t xml:space="preserve">Коригуванням передбачити внесення наступних змін до стадії Робочий </w:t>
      </w:r>
      <w:proofErr w:type="spellStart"/>
      <w:r w:rsidRPr="00A3728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37280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D1F41E9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37280">
        <w:rPr>
          <w:rFonts w:ascii="Times New Roman" w:hAnsi="Times New Roman"/>
          <w:sz w:val="28"/>
          <w:szCs w:val="28"/>
          <w:u w:val="single"/>
          <w:lang w:val="uk-UA"/>
        </w:rPr>
        <w:t xml:space="preserve">Розділи: </w:t>
      </w:r>
    </w:p>
    <w:p w14:paraId="133061A3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КР (Конструктивні рішення)</w:t>
      </w:r>
    </w:p>
    <w:p w14:paraId="421E6376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lastRenderedPageBreak/>
        <w:t>Зміна відмітки підошви фундаменту з улаштуванням дренажної подушки;</w:t>
      </w:r>
    </w:p>
    <w:p w14:paraId="22DA7704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7280">
        <w:rPr>
          <w:rFonts w:ascii="Times New Roman" w:hAnsi="Times New Roman"/>
          <w:sz w:val="28"/>
          <w:szCs w:val="28"/>
          <w:lang w:val="uk-UA"/>
        </w:rPr>
        <w:t>Передбачити гідроізоляцію фундаментів відповідно реальних умов будівництва на майданчику ;</w:t>
      </w:r>
    </w:p>
    <w:p w14:paraId="3214A36E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7280">
        <w:rPr>
          <w:rFonts w:ascii="Times New Roman" w:hAnsi="Times New Roman"/>
          <w:sz w:val="28"/>
          <w:szCs w:val="28"/>
          <w:lang w:val="uk-UA"/>
        </w:rPr>
        <w:t>Внесення змін по отворах в плитах перекриття в зв'язку з змінами в інженерних розділах.</w:t>
      </w:r>
    </w:p>
    <w:p w14:paraId="5CCE77AB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Додати уточнюючі вузли по металевих конструкціях.</w:t>
      </w:r>
    </w:p>
    <w:p w14:paraId="77D1CA9C" w14:textId="77777777" w:rsidR="000E2BC9" w:rsidRPr="00A37280" w:rsidRDefault="000E2BC9" w:rsidP="000E2BC9">
      <w:pPr>
        <w:pStyle w:val="30"/>
        <w:jc w:val="both"/>
        <w:rPr>
          <w:b w:val="0"/>
          <w:sz w:val="28"/>
          <w:szCs w:val="28"/>
          <w:lang w:val="uk-UA"/>
        </w:rPr>
      </w:pPr>
      <w:r w:rsidRPr="00A37280">
        <w:rPr>
          <w:b w:val="0"/>
          <w:sz w:val="28"/>
          <w:szCs w:val="28"/>
          <w:lang w:val="uk-UA"/>
        </w:rPr>
        <w:t>Відкоригувати конструкції тіньових навісів з розробкою та уточненням вузлів їх з’єднання;</w:t>
      </w:r>
    </w:p>
    <w:p w14:paraId="4656CDAA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hAnsi="Times New Roman" w:cs="Arial"/>
          <w:sz w:val="28"/>
          <w:szCs w:val="28"/>
          <w:lang w:val="uk-UA"/>
        </w:rPr>
        <w:t>Відкоригувати інженерні</w:t>
      </w:r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 розділи проектної документації згідно нових ДБН В.2.2-4:2018 “Заклади дошкільної освіти” Зміна № 1 від  01.09.2022р .та інших актуальних норм.</w:t>
      </w:r>
    </w:p>
    <w:p w14:paraId="0B1CCA81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ВК (Водопостачання та каналізація)</w:t>
      </w:r>
    </w:p>
    <w:p w14:paraId="6A915EDF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Додати </w:t>
      </w:r>
      <w:r w:rsidRPr="00A37280">
        <w:rPr>
          <w:rFonts w:ascii="Times New Roman" w:eastAsia="Times New Roman" w:hAnsi="Times New Roman"/>
          <w:sz w:val="28"/>
          <w:szCs w:val="28"/>
          <w:lang w:val="uk-UA"/>
        </w:rPr>
        <w:t>сантехнічні прилади в кухні відповідно до змін</w:t>
      </w: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 ТХ</w:t>
      </w:r>
    </w:p>
    <w:p w14:paraId="65F19110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Додати дренаж з приямку ліфтової шахти.</w:t>
      </w:r>
    </w:p>
    <w:p w14:paraId="7F56FCE8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Провести заміни в матеріалах і виробах систем ВК.</w:t>
      </w:r>
    </w:p>
    <w:p w14:paraId="47315847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37280">
        <w:rPr>
          <w:rFonts w:ascii="Times New Roman" w:eastAsia="Times New Roman" w:hAnsi="Times New Roman"/>
          <w:sz w:val="28"/>
          <w:szCs w:val="28"/>
          <w:lang w:val="uk-UA"/>
        </w:rPr>
        <w:t>Внести</w:t>
      </w:r>
      <w:proofErr w:type="spellEnd"/>
      <w:r w:rsidRPr="00A37280">
        <w:rPr>
          <w:rFonts w:ascii="Times New Roman" w:eastAsia="Times New Roman" w:hAnsi="Times New Roman"/>
          <w:sz w:val="28"/>
          <w:szCs w:val="28"/>
          <w:lang w:val="uk-UA"/>
        </w:rPr>
        <w:t xml:space="preserve"> зміни в розділ «Зовнішнє водопостачання та каналізація» відповідно до нових ТУ.</w:t>
      </w:r>
    </w:p>
    <w:p w14:paraId="4B146958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sz w:val="28"/>
          <w:szCs w:val="28"/>
          <w:lang w:val="uk-UA"/>
        </w:rPr>
        <w:t>Ув'язати зовнішнє підключення з іншими інженерними мережами.</w:t>
      </w:r>
    </w:p>
    <w:p w14:paraId="691A2EBB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коригування в систему водовідведення з покрівлі</w:t>
      </w:r>
    </w:p>
    <w:p w14:paraId="2C7FAD00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ОВК (Опалення, вентиляція та кондиціювання)</w:t>
      </w:r>
    </w:p>
    <w:p w14:paraId="391CB683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зміни щодо заміни елементів опалення та планів монтажу вентиляційних коробів</w:t>
      </w:r>
    </w:p>
    <w:p w14:paraId="1D928D71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Додати повітряну завісу.</w:t>
      </w:r>
    </w:p>
    <w:p w14:paraId="1A48F754" w14:textId="77777777" w:rsidR="000E2BC9" w:rsidRPr="00A37280" w:rsidRDefault="000E2BC9" w:rsidP="000E2B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Додати підігрів всіх вхідних груп.</w:t>
      </w:r>
    </w:p>
    <w:p w14:paraId="7C450BBB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ЕТР (Електротехнічні рішення)</w:t>
      </w:r>
    </w:p>
    <w:p w14:paraId="7FE00A4D" w14:textId="77777777" w:rsidR="000E2BC9" w:rsidRPr="00A37280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Додати нові точки підключення що виникли в інших розділах в зв’язку з коригуваннями (повітряна завіса, утеплення вхідних груп, </w:t>
      </w:r>
      <w:proofErr w:type="spellStart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пожбезпека</w:t>
      </w:r>
      <w:proofErr w:type="spellEnd"/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).</w:t>
      </w:r>
    </w:p>
    <w:p w14:paraId="50F83876" w14:textId="77777777" w:rsidR="000E2BC9" w:rsidRDefault="000E2BC9" w:rsidP="000E2B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372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Перенести частину щитового обладнання.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)</w:t>
      </w:r>
    </w:p>
    <w:p w14:paraId="5D9AF6E2" w14:textId="77777777" w:rsidR="00EF1935" w:rsidRDefault="00EF1935" w:rsidP="00EF1935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заходу </w:t>
      </w:r>
      <w:r w:rsidRPr="00D96AF2">
        <w:rPr>
          <w:rFonts w:ascii="Times New Roman" w:hAnsi="Times New Roman" w:cs="Times New Roman"/>
          <w:sz w:val="28"/>
          <w:szCs w:val="28"/>
          <w:lang w:val="uk-UA"/>
        </w:rPr>
        <w:t>«Нове будівництво, реконструкція, капітальний ремонт МЗО вулиць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D96AF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D96AF2">
        <w:rPr>
          <w:rFonts w:ascii="Times New Roman" w:hAnsi="Times New Roman" w:cs="Times New Roman"/>
          <w:sz w:val="28"/>
          <w:szCs w:val="28"/>
          <w:lang w:val="uk-UA"/>
        </w:rPr>
        <w:t>Капітальний ремонт мереж зовнішнього освітлення вулиць у місті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«1350,00»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згідно з графіком фінансування виконання робіт НЕФКО;</w:t>
      </w:r>
    </w:p>
    <w:p w14:paraId="1CFE2B26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Бровари - Благоустрій" благоустрій території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«151 750,659»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.(Потреба згідно бюджетного запиту складає «222 131,900»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них зарплата «92 400,00»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нарахування на зарплату «16 800,00»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предмети, матеріали, обладнання та інвентар «49 348,50»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послуг (крім комунальних) «26 444,40»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електроенергії «36 740,00»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водопостачання «399,00»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14:paraId="5DCA0B9F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1641B2">
        <w:rPr>
          <w:rFonts w:ascii="Times New Roman" w:hAnsi="Times New Roman" w:cs="Times New Roman"/>
          <w:sz w:val="28"/>
          <w:szCs w:val="28"/>
          <w:lang w:val="uk-UA"/>
        </w:rPr>
        <w:t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«11 487,044»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.(Потреба згідно бюджетного запиту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«11 667,044»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них зарплата «7 781,60»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нарахування на зарплату «1711,950»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предмети, матеріали, обладнання та інвентар «946,651»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послуг (крім комунальних) «1 122,785»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електроенергії «88,830»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водопостачання «15,228»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14:paraId="2B2CC328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0F40ED">
        <w:rPr>
          <w:rFonts w:ascii="Times New Roman" w:hAnsi="Times New Roman" w:cs="Times New Roman"/>
          <w:sz w:val="28"/>
          <w:szCs w:val="28"/>
          <w:lang w:val="uk-UA"/>
        </w:rPr>
        <w:t>КП "</w:t>
      </w:r>
      <w:proofErr w:type="spellStart"/>
      <w:r w:rsidRPr="000F40ED">
        <w:rPr>
          <w:rFonts w:ascii="Times New Roman" w:hAnsi="Times New Roman" w:cs="Times New Roman"/>
          <w:sz w:val="28"/>
          <w:szCs w:val="28"/>
          <w:lang w:val="uk-UA"/>
        </w:rPr>
        <w:t>Броваритепловодоенергія</w:t>
      </w:r>
      <w:proofErr w:type="spellEnd"/>
      <w:r w:rsidRPr="000F40ED">
        <w:rPr>
          <w:rFonts w:ascii="Times New Roman" w:hAnsi="Times New Roman" w:cs="Times New Roman"/>
          <w:sz w:val="28"/>
          <w:szCs w:val="28"/>
          <w:lang w:val="uk-UA"/>
        </w:rPr>
        <w:t xml:space="preserve">" поточний ремонт, утримання та технічне обслуговування </w:t>
      </w:r>
      <w:proofErr w:type="spellStart"/>
      <w:r w:rsidRPr="000F40ED">
        <w:rPr>
          <w:rFonts w:ascii="Times New Roman" w:hAnsi="Times New Roman" w:cs="Times New Roman"/>
          <w:sz w:val="28"/>
          <w:szCs w:val="28"/>
          <w:lang w:val="uk-UA"/>
        </w:rPr>
        <w:t>бюветів</w:t>
      </w:r>
      <w:proofErr w:type="spellEnd"/>
      <w:r w:rsidRPr="000F40ED">
        <w:rPr>
          <w:rFonts w:ascii="Times New Roman" w:hAnsi="Times New Roman" w:cs="Times New Roman"/>
          <w:sz w:val="28"/>
          <w:szCs w:val="28"/>
          <w:lang w:val="uk-UA"/>
        </w:rPr>
        <w:t xml:space="preserve"> та водозабірних колонок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«1 210,00»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7E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(Потреба згідно бюджетного запиту складає «1 210,00»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них зарплата «606,100»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нарахування на зарплату «133,342»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предмети, матеріали, обладнання та інвентар «64,86150»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послуг (крім комунальних) «364,386»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оплата електроенергії «41,3105»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14:paraId="6F479AB0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0F40ED">
        <w:rPr>
          <w:rFonts w:ascii="Times New Roman" w:hAnsi="Times New Roman" w:cs="Times New Roman"/>
          <w:sz w:val="28"/>
          <w:szCs w:val="28"/>
          <w:lang w:val="uk-UA"/>
        </w:rPr>
        <w:t xml:space="preserve">Охорона будівельного майданчика недобудованих </w:t>
      </w:r>
      <w:proofErr w:type="spellStart"/>
      <w:r w:rsidRPr="000F40ED">
        <w:rPr>
          <w:rFonts w:ascii="Times New Roman" w:hAnsi="Times New Roman" w:cs="Times New Roman"/>
          <w:sz w:val="28"/>
          <w:szCs w:val="28"/>
          <w:lang w:val="uk-UA"/>
        </w:rPr>
        <w:t>багатоквартоквартирних</w:t>
      </w:r>
      <w:proofErr w:type="spellEnd"/>
      <w:r w:rsidRPr="000F40ED">
        <w:rPr>
          <w:rFonts w:ascii="Times New Roman" w:hAnsi="Times New Roman" w:cs="Times New Roman"/>
          <w:sz w:val="28"/>
          <w:szCs w:val="28"/>
          <w:lang w:val="uk-UA"/>
        </w:rPr>
        <w:t xml:space="preserve"> ж/б ЖБК "Діамант" по вул.Київській,261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встановити обсяг фінансування у розмірі «1 000,00»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(Договори №БХ182 від 24.01.2022 року на суму «309,69264»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№БХ185 від 13.07.2022 року на суму «98,004»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№БХ188 від 01.11.2022 року на суму «119,56488»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№БХ189 від 01.03.2023 року на суму «783,45792»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14:paraId="50BD4AF8" w14:textId="602BFC8A" w:rsidR="0066437E" w:rsidRDefault="0066437E" w:rsidP="0066437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2023 році по заходу «Нове будівництво, реконструкція, капітальний ремонт МЗО вулиць» </w:t>
      </w:r>
      <w:r>
        <w:rPr>
          <w:rFonts w:ascii="Times New Roman" w:hAnsi="Times New Roman" w:cs="Times New Roman"/>
          <w:sz w:val="28"/>
          <w:szCs w:val="28"/>
          <w:lang w:val="uk-UA"/>
        </w:rPr>
        <w:t>на об</w:t>
      </w:r>
      <w:r w:rsidRPr="00D96AF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Каапітальний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ремонт мереж зовнішнього освітлення вулиць у місті Бровари Київської області» зменшити обсяг фінансування на суму «1 350,00»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збільшити у 2024 році згідно з графіком фінансування робіт НЕФКО. </w:t>
      </w:r>
    </w:p>
    <w:p w14:paraId="290644E1" w14:textId="77777777" w:rsidR="000E2BC9" w:rsidRDefault="000E2BC9" w:rsidP="000E2BC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 w:rsidRPr="00CA28E8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708D37CA" w14:textId="77777777" w:rsidR="000E2BC9" w:rsidRDefault="000E2BC9" w:rsidP="000E2BC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надійної та безпечної експлуатації житлового фонду житлового фонду, шляхом проведення капітальних ремонтів шатрових дахів та ГРЩ. </w:t>
      </w:r>
    </w:p>
    <w:p w14:paraId="74A2283B" w14:textId="77777777" w:rsidR="000E2BC9" w:rsidRDefault="000E2BC9" w:rsidP="000E2BC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завершення робіт на об</w:t>
      </w:r>
      <w:r w:rsidRPr="00F3255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єктах будівництва, що розпочаті в попередні роки, шляхом фінансування додаткових робіт на цих об</w:t>
      </w:r>
      <w:r w:rsidRPr="00F3255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єктах.</w:t>
      </w:r>
    </w:p>
    <w:p w14:paraId="0BEE5659" w14:textId="77777777" w:rsidR="000E2BC9" w:rsidRDefault="000E2BC9" w:rsidP="000E2BC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363911">
        <w:rPr>
          <w:rFonts w:ascii="Times New Roman" w:hAnsi="Times New Roman"/>
          <w:sz w:val="28"/>
          <w:szCs w:val="28"/>
          <w:lang w:val="uk-UA"/>
        </w:rPr>
        <w:t>безперебійн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комунальних підприємств з надання послуг Броварській міській територіальній громаді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, шляхом </w:t>
      </w:r>
      <w:r>
        <w:rPr>
          <w:rFonts w:ascii="Times New Roman" w:hAnsi="Times New Roman"/>
          <w:sz w:val="28"/>
          <w:szCs w:val="28"/>
          <w:lang w:val="uk-UA"/>
        </w:rPr>
        <w:t>фінансування витрат підприємства згідно поданих бюджетних запитів</w:t>
      </w:r>
      <w:r w:rsidRPr="00363911">
        <w:rPr>
          <w:rFonts w:ascii="Times New Roman" w:hAnsi="Times New Roman"/>
          <w:sz w:val="28"/>
          <w:szCs w:val="28"/>
          <w:lang w:val="uk-UA"/>
        </w:rPr>
        <w:t>.</w:t>
      </w:r>
    </w:p>
    <w:p w14:paraId="517351FF" w14:textId="77777777" w:rsidR="000E2BC9" w:rsidRDefault="000E2BC9" w:rsidP="000E2BC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запобігання нещасних випадків на будівництві, шляхом здійснення о</w:t>
      </w:r>
      <w:r w:rsidRPr="00227196">
        <w:rPr>
          <w:rFonts w:ascii="Times New Roman" w:hAnsi="Times New Roman"/>
          <w:sz w:val="28"/>
          <w:szCs w:val="28"/>
          <w:lang w:val="uk-UA"/>
        </w:rPr>
        <w:t>хорон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227196">
        <w:rPr>
          <w:rFonts w:ascii="Times New Roman" w:hAnsi="Times New Roman"/>
          <w:sz w:val="28"/>
          <w:szCs w:val="28"/>
          <w:lang w:val="uk-UA"/>
        </w:rPr>
        <w:t xml:space="preserve"> будівельного майданчика недобудованих </w:t>
      </w:r>
      <w:proofErr w:type="spellStart"/>
      <w:r w:rsidRPr="00227196">
        <w:rPr>
          <w:rFonts w:ascii="Times New Roman" w:hAnsi="Times New Roman"/>
          <w:sz w:val="28"/>
          <w:szCs w:val="28"/>
          <w:lang w:val="uk-UA"/>
        </w:rPr>
        <w:t>багатоквартоквартирних</w:t>
      </w:r>
      <w:proofErr w:type="spellEnd"/>
      <w:r w:rsidRPr="00227196">
        <w:rPr>
          <w:rFonts w:ascii="Times New Roman" w:hAnsi="Times New Roman"/>
          <w:sz w:val="28"/>
          <w:szCs w:val="28"/>
          <w:lang w:val="uk-UA"/>
        </w:rPr>
        <w:t xml:space="preserve"> ж/б ЖБК "Діамант" по вул.Київській,261</w:t>
      </w:r>
    </w:p>
    <w:p w14:paraId="501D9048" w14:textId="77777777" w:rsidR="000E2BC9" w:rsidRDefault="000E2BC9" w:rsidP="000E2BC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19350289" w14:textId="77777777" w:rsidR="000E2BC9" w:rsidRDefault="000E2BC9" w:rsidP="000E2BC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21AEF639" w14:textId="77777777" w:rsidR="000E2BC9" w:rsidRDefault="000E2BC9" w:rsidP="000E2BC9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5028A1E0" w14:textId="7B64DDDB" w:rsidR="000E2BC9" w:rsidRDefault="0066437E" w:rsidP="0066437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>У 2024 році о</w:t>
      </w:r>
      <w:r w:rsidR="000E2BC9">
        <w:rPr>
          <w:rFonts w:ascii="Times New Roman" w:hAnsi="Times New Roman"/>
          <w:sz w:val="28"/>
          <w:szCs w:val="28"/>
          <w:lang w:val="uk-UA"/>
        </w:rPr>
        <w:t>бсяг фінансування Програми становить «</w:t>
      </w:r>
      <w:r>
        <w:rPr>
          <w:rFonts w:ascii="Times New Roman" w:hAnsi="Times New Roman"/>
          <w:sz w:val="28"/>
          <w:szCs w:val="28"/>
          <w:lang w:val="uk-UA"/>
        </w:rPr>
        <w:t>305 847,703</w:t>
      </w:r>
      <w:r w:rsidR="000E2BC9">
        <w:rPr>
          <w:rFonts w:ascii="Times New Roman" w:hAnsi="Times New Roman"/>
          <w:sz w:val="28"/>
          <w:szCs w:val="28"/>
          <w:lang w:val="uk-UA"/>
        </w:rPr>
        <w:t>»тис.грн.</w:t>
      </w:r>
    </w:p>
    <w:p w14:paraId="475EC1A8" w14:textId="7BF6EA3C" w:rsidR="0066437E" w:rsidRDefault="0066437E" w:rsidP="0066437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2023 році обсяг фінансування Програми становить «405 516,048»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41D6FEEB" w14:textId="77777777" w:rsidR="000E2BC9" w:rsidRDefault="000E2BC9" w:rsidP="000E2BC9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6FFE5077" w14:textId="77777777" w:rsidR="000E2BC9" w:rsidRPr="0066437E" w:rsidRDefault="000E2BC9" w:rsidP="000E2BC9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rFonts w:cs="Times New Roman"/>
          <w:szCs w:val="28"/>
        </w:rPr>
        <w:t>Продовження робіт з к</w:t>
      </w:r>
      <w:r w:rsidRPr="00211E24">
        <w:rPr>
          <w:rFonts w:cs="Times New Roman"/>
          <w:szCs w:val="28"/>
        </w:rPr>
        <w:t>апітальн</w:t>
      </w:r>
      <w:r>
        <w:rPr>
          <w:rFonts w:cs="Times New Roman"/>
          <w:szCs w:val="28"/>
        </w:rPr>
        <w:t>ого</w:t>
      </w:r>
      <w:r w:rsidRPr="00211E24">
        <w:rPr>
          <w:rFonts w:cs="Times New Roman"/>
          <w:szCs w:val="28"/>
        </w:rPr>
        <w:t xml:space="preserve"> ремонт</w:t>
      </w:r>
      <w:r>
        <w:rPr>
          <w:rFonts w:cs="Times New Roman"/>
          <w:szCs w:val="28"/>
        </w:rPr>
        <w:t>у</w:t>
      </w:r>
      <w:r w:rsidRPr="00211E24">
        <w:rPr>
          <w:rFonts w:cs="Times New Roman"/>
          <w:szCs w:val="28"/>
        </w:rPr>
        <w:t xml:space="preserve"> шляхопроводу через залізничні колії по </w:t>
      </w:r>
      <w:proofErr w:type="spellStart"/>
      <w:r w:rsidRPr="00211E24">
        <w:rPr>
          <w:rFonts w:cs="Times New Roman"/>
          <w:szCs w:val="28"/>
        </w:rPr>
        <w:t>вул.Онікієнка</w:t>
      </w:r>
      <w:proofErr w:type="spellEnd"/>
      <w:r w:rsidRPr="00211E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211E24">
        <w:rPr>
          <w:rFonts w:cs="Times New Roman"/>
          <w:szCs w:val="28"/>
        </w:rPr>
        <w:t xml:space="preserve">лега в </w:t>
      </w:r>
      <w:proofErr w:type="spellStart"/>
      <w:r w:rsidRPr="00211E24">
        <w:rPr>
          <w:rFonts w:cs="Times New Roman"/>
          <w:szCs w:val="28"/>
        </w:rPr>
        <w:t>м.Бровари</w:t>
      </w:r>
      <w:proofErr w:type="spellEnd"/>
      <w:r w:rsidRPr="00211E24">
        <w:rPr>
          <w:rFonts w:cs="Times New Roman"/>
          <w:szCs w:val="28"/>
        </w:rPr>
        <w:t xml:space="preserve"> Київської області</w:t>
      </w:r>
      <w:r>
        <w:rPr>
          <w:rFonts w:cs="Times New Roman"/>
          <w:szCs w:val="28"/>
        </w:rPr>
        <w:t>. Додаткові роботи;</w:t>
      </w:r>
    </w:p>
    <w:p w14:paraId="6CFE9EEB" w14:textId="6675DA0F" w:rsidR="0066437E" w:rsidRPr="00EF1935" w:rsidRDefault="0066437E" w:rsidP="000E2BC9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rFonts w:cs="Times New Roman"/>
          <w:szCs w:val="28"/>
        </w:rPr>
        <w:lastRenderedPageBreak/>
        <w:t>Продовження робіт з капітального ремонту мереж зовнішнього освітлення</w:t>
      </w:r>
      <w:r w:rsidR="00376A29">
        <w:rPr>
          <w:rFonts w:cs="Times New Roman"/>
          <w:szCs w:val="28"/>
        </w:rPr>
        <w:t>.</w:t>
      </w:r>
    </w:p>
    <w:p w14:paraId="0A61CFEF" w14:textId="77777777" w:rsidR="00EF1935" w:rsidRPr="0025479F" w:rsidRDefault="00EF1935" w:rsidP="000E2BC9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rFonts w:cs="Times New Roman"/>
          <w:szCs w:val="28"/>
        </w:rPr>
        <w:t>Продовження робіт з капітального ремонту мереж зовнішнього освітлення.</w:t>
      </w:r>
    </w:p>
    <w:p w14:paraId="6572AA1C" w14:textId="77777777" w:rsidR="000E2BC9" w:rsidRPr="00227196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363911">
        <w:rPr>
          <w:rFonts w:ascii="Times New Roman" w:hAnsi="Times New Roman"/>
          <w:sz w:val="28"/>
          <w:szCs w:val="28"/>
          <w:lang w:val="uk-UA"/>
        </w:rPr>
        <w:t>езперебійн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комунальних підприємств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з надання послуг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Броварській міській </w:t>
      </w:r>
      <w:r w:rsidRPr="00363911">
        <w:rPr>
          <w:rFonts w:ascii="Times New Roman" w:hAnsi="Times New Roman"/>
          <w:sz w:val="28"/>
          <w:szCs w:val="28"/>
          <w:lang w:val="uk-UA"/>
        </w:rPr>
        <w:t>території громад</w:t>
      </w:r>
      <w:r>
        <w:rPr>
          <w:rFonts w:ascii="Times New Roman" w:hAnsi="Times New Roman"/>
          <w:sz w:val="28"/>
          <w:szCs w:val="28"/>
          <w:lang w:val="uk-UA"/>
        </w:rPr>
        <w:t>і;</w:t>
      </w:r>
    </w:p>
    <w:p w14:paraId="7AF4ED67" w14:textId="77777777" w:rsidR="000E2BC9" w:rsidRPr="00447B90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ремонт ГРЩ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багатоповерхових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448494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7B90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44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B9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447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удівництв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 ступеню по вул. Петлюри Симона (Черняховського), 17-Б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9ED47E" w14:textId="77777777" w:rsidR="000E2BC9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робіт з р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навчального закладу (ясла-садок) комбінованого типу «Зірочка» по вул. Ярослава Мудрого (Кірова), 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 xml:space="preserve"> 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4ABE7D" w14:textId="77777777" w:rsidR="000E2BC9" w:rsidRPr="00447B90" w:rsidRDefault="000E2BC9" w:rsidP="000E2BC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Безпека на будівельному майданчику </w:t>
      </w:r>
      <w:r w:rsidRPr="000F40ED">
        <w:rPr>
          <w:rFonts w:ascii="Times New Roman" w:hAnsi="Times New Roman" w:cs="Times New Roman"/>
          <w:sz w:val="28"/>
          <w:szCs w:val="28"/>
          <w:lang w:val="uk-UA"/>
        </w:rPr>
        <w:t xml:space="preserve">недобудованих </w:t>
      </w:r>
      <w:proofErr w:type="spellStart"/>
      <w:r w:rsidRPr="000F40ED">
        <w:rPr>
          <w:rFonts w:ascii="Times New Roman" w:hAnsi="Times New Roman" w:cs="Times New Roman"/>
          <w:sz w:val="28"/>
          <w:szCs w:val="28"/>
          <w:lang w:val="uk-UA"/>
        </w:rPr>
        <w:t>багатоквартоквартирних</w:t>
      </w:r>
      <w:proofErr w:type="spellEnd"/>
      <w:r w:rsidRPr="000F40ED">
        <w:rPr>
          <w:rFonts w:ascii="Times New Roman" w:hAnsi="Times New Roman" w:cs="Times New Roman"/>
          <w:sz w:val="28"/>
          <w:szCs w:val="28"/>
          <w:lang w:val="uk-UA"/>
        </w:rPr>
        <w:t xml:space="preserve"> ж/б ЖБК "Діамант" по вул.Київській,261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7A9DA5" w14:textId="77777777" w:rsidR="000E2BC9" w:rsidRDefault="000E2BC9" w:rsidP="000E2BC9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44FEB3C9" w14:textId="77777777" w:rsidR="000E2BC9" w:rsidRDefault="000E2BC9" w:rsidP="000E2B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</w:t>
      </w:r>
      <w:bookmarkEnd w:id="1"/>
      <w:r w:rsidRPr="007B0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43EE9F" w14:textId="77777777" w:rsidR="000E2BC9" w:rsidRPr="00526D92" w:rsidRDefault="000E2BC9" w:rsidP="000E2BC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bookmarkEnd w:id="2"/>
    <w:bookmarkEnd w:id="3"/>
    <w:p w14:paraId="1B264A57" w14:textId="522ACD10" w:rsidR="000E2BC9" w:rsidRPr="009D735D" w:rsidRDefault="000E2BC9" w:rsidP="000E2BC9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   </w:t>
      </w:r>
      <w:proofErr w:type="spellStart"/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6FEB9C2" w14:textId="77777777" w:rsidR="000E2BC9" w:rsidRPr="006C7DF8" w:rsidRDefault="000E2BC9" w:rsidP="00376A29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tblpX="-106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977"/>
        <w:gridCol w:w="1701"/>
        <w:gridCol w:w="3934"/>
      </w:tblGrid>
      <w:tr w:rsidR="000E2BC9" w:rsidRPr="00F93D47" w14:paraId="1763B224" w14:textId="77777777" w:rsidTr="00376A29">
        <w:trPr>
          <w:trHeight w:val="517"/>
        </w:trPr>
        <w:tc>
          <w:tcPr>
            <w:tcW w:w="885" w:type="dxa"/>
            <w:shd w:val="clear" w:color="auto" w:fill="auto"/>
            <w:noWrap/>
            <w:hideMark/>
          </w:tcPr>
          <w:p w14:paraId="15290C44" w14:textId="77777777" w:rsidR="000E2BC9" w:rsidRPr="008C6053" w:rsidRDefault="000E2BC9" w:rsidP="00376A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6" w:name="_Hlk121476095"/>
            <w:r w:rsidRPr="008C605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2C83670" w14:textId="77777777" w:rsidR="000E2BC9" w:rsidRPr="008C6053" w:rsidRDefault="000E2BC9" w:rsidP="00376A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Заходи реалізації Програми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DD4732" w14:textId="77777777" w:rsidR="000E2BC9" w:rsidRPr="008C6053" w:rsidRDefault="000E2BC9" w:rsidP="00376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bCs/>
                <w:color w:val="000000"/>
                <w:lang w:val="uk-UA" w:eastAsia="uk-UA"/>
              </w:rPr>
              <w:t>обсяг фінансування програми 2024 рік  (</w:t>
            </w:r>
            <w:proofErr w:type="spellStart"/>
            <w:r w:rsidRPr="008C6053">
              <w:rPr>
                <w:rFonts w:ascii="Times New Roman" w:hAnsi="Times New Roman"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8C6053">
              <w:rPr>
                <w:rFonts w:ascii="Times New Roman" w:hAnsi="Times New Roman"/>
                <w:bCs/>
                <w:color w:val="000000"/>
                <w:lang w:val="uk-UA" w:eastAsia="uk-UA"/>
              </w:rPr>
              <w:t>.)</w:t>
            </w:r>
          </w:p>
        </w:tc>
        <w:tc>
          <w:tcPr>
            <w:tcW w:w="3934" w:type="dxa"/>
            <w:shd w:val="clear" w:color="auto" w:fill="auto"/>
          </w:tcPr>
          <w:p w14:paraId="05012135" w14:textId="77777777" w:rsidR="000E2BC9" w:rsidRDefault="000E2BC9" w:rsidP="00376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0E2BC9" w:rsidRPr="00F93D47" w14:paraId="06F33FA4" w14:textId="77777777" w:rsidTr="00376A29">
        <w:trPr>
          <w:trHeight w:val="277"/>
        </w:trPr>
        <w:tc>
          <w:tcPr>
            <w:tcW w:w="885" w:type="dxa"/>
            <w:shd w:val="clear" w:color="auto" w:fill="auto"/>
            <w:noWrap/>
          </w:tcPr>
          <w:p w14:paraId="66B5D848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69372DC0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Всього видатки</w:t>
            </w:r>
          </w:p>
        </w:tc>
        <w:tc>
          <w:tcPr>
            <w:tcW w:w="1701" w:type="dxa"/>
            <w:shd w:val="clear" w:color="auto" w:fill="auto"/>
            <w:noWrap/>
          </w:tcPr>
          <w:p w14:paraId="04E318AA" w14:textId="5561A8BA" w:rsidR="000E2BC9" w:rsidRPr="008C6053" w:rsidRDefault="00376A2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305 847,703</w:t>
            </w:r>
          </w:p>
        </w:tc>
        <w:tc>
          <w:tcPr>
            <w:tcW w:w="3934" w:type="dxa"/>
          </w:tcPr>
          <w:p w14:paraId="1735D32E" w14:textId="77777777" w:rsidR="000E2BC9" w:rsidRPr="005F2132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E2BC9" w:rsidRPr="009C62C3" w14:paraId="43FA45E2" w14:textId="77777777" w:rsidTr="00376A29">
        <w:trPr>
          <w:trHeight w:val="335"/>
        </w:trPr>
        <w:tc>
          <w:tcPr>
            <w:tcW w:w="885" w:type="dxa"/>
            <w:shd w:val="clear" w:color="auto" w:fill="auto"/>
            <w:noWrap/>
          </w:tcPr>
          <w:p w14:paraId="3CDD2555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1.1.</w:t>
            </w:r>
          </w:p>
        </w:tc>
        <w:tc>
          <w:tcPr>
            <w:tcW w:w="2977" w:type="dxa"/>
            <w:shd w:val="clear" w:color="auto" w:fill="auto"/>
            <w:noWrap/>
          </w:tcPr>
          <w:p w14:paraId="0AEE14E9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Житлове господарство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4D8C1" w14:textId="77777777" w:rsidR="000E2BC9" w:rsidRPr="008C6053" w:rsidRDefault="000E2BC9" w:rsidP="00376A2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8C6053">
              <w:rPr>
                <w:rFonts w:ascii="Times New Roman" w:hAnsi="Times New Roman"/>
                <w:b/>
                <w:lang w:val="uk-UA"/>
              </w:rPr>
              <w:t>19 000,00</w:t>
            </w:r>
          </w:p>
        </w:tc>
        <w:tc>
          <w:tcPr>
            <w:tcW w:w="3934" w:type="dxa"/>
            <w:vAlign w:val="bottom"/>
          </w:tcPr>
          <w:p w14:paraId="511C4119" w14:textId="77777777" w:rsidR="000E2BC9" w:rsidRPr="005F2132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E2BC9" w:rsidRPr="0066437E" w14:paraId="37A3AF58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</w:tcPr>
          <w:p w14:paraId="7357B4DB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C6053">
              <w:rPr>
                <w:rFonts w:ascii="Times New Roman" w:hAnsi="Times New Roman"/>
                <w:color w:val="000000"/>
                <w:lang w:val="uk-UA"/>
              </w:rPr>
              <w:t>1.1.1.</w:t>
            </w:r>
          </w:p>
        </w:tc>
        <w:tc>
          <w:tcPr>
            <w:tcW w:w="2977" w:type="dxa"/>
            <w:shd w:val="clear" w:color="auto" w:fill="auto"/>
            <w:noWrap/>
          </w:tcPr>
          <w:p w14:paraId="06C239E3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color w:val="000000"/>
                <w:lang w:val="uk-UA" w:eastAsia="uk-UA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3648C" w14:textId="77777777" w:rsidR="000E2BC9" w:rsidRPr="008C6053" w:rsidRDefault="000E2BC9" w:rsidP="00376A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13 000,00</w:t>
            </w:r>
          </w:p>
        </w:tc>
        <w:tc>
          <w:tcPr>
            <w:tcW w:w="3934" w:type="dxa"/>
            <w:vAlign w:val="bottom"/>
          </w:tcPr>
          <w:p w14:paraId="22A539B6" w14:textId="77777777" w:rsidR="000E2BC9" w:rsidRPr="00063E04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 w:rsidRPr="00063E04">
              <w:rPr>
                <w:rFonts w:ascii="Times New Roman" w:hAnsi="Times New Roman" w:cs="Times New Roman"/>
                <w:i/>
                <w:lang w:val="uk-UA"/>
              </w:rPr>
              <w:t>вулиці Героїв України,3, Лагунової Марії,17, Олімпійська,3, Металургів,11</w:t>
            </w:r>
          </w:p>
        </w:tc>
      </w:tr>
      <w:tr w:rsidR="000E2BC9" w:rsidRPr="0066437E" w14:paraId="2B6AD4DD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</w:tcPr>
          <w:p w14:paraId="1D8A8D9A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C6053">
              <w:rPr>
                <w:rFonts w:ascii="Times New Roman" w:hAnsi="Times New Roman"/>
                <w:color w:val="000000"/>
                <w:lang w:val="uk-UA"/>
              </w:rPr>
              <w:t>1.1.3.</w:t>
            </w:r>
          </w:p>
        </w:tc>
        <w:tc>
          <w:tcPr>
            <w:tcW w:w="2977" w:type="dxa"/>
            <w:shd w:val="clear" w:color="auto" w:fill="auto"/>
            <w:noWrap/>
          </w:tcPr>
          <w:p w14:paraId="6766FD1F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8C6053">
              <w:rPr>
                <w:rFonts w:ascii="Times New Roman" w:hAnsi="Times New Roman"/>
                <w:color w:val="000000"/>
                <w:lang w:val="uk-UA" w:eastAsia="uk-UA"/>
              </w:rPr>
              <w:t xml:space="preserve">Реконструкція, капітальний ремонт </w:t>
            </w:r>
            <w:proofErr w:type="spellStart"/>
            <w:r w:rsidRPr="008C6053">
              <w:rPr>
                <w:rFonts w:ascii="Times New Roman" w:hAnsi="Times New Roman"/>
                <w:color w:val="000000"/>
                <w:lang w:val="uk-UA" w:eastAsia="uk-UA"/>
              </w:rPr>
              <w:t>внутрішньобудинкових</w:t>
            </w:r>
            <w:proofErr w:type="spellEnd"/>
            <w:r w:rsidRPr="008C6053">
              <w:rPr>
                <w:rFonts w:ascii="Times New Roman" w:hAnsi="Times New Roman"/>
                <w:color w:val="000000"/>
                <w:lang w:val="uk-UA" w:eastAsia="uk-UA"/>
              </w:rPr>
              <w:t xml:space="preserve"> інженерних мереж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98698" w14:textId="77777777" w:rsidR="000E2BC9" w:rsidRPr="008C6053" w:rsidRDefault="000E2BC9" w:rsidP="00376A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6 000,00</w:t>
            </w:r>
          </w:p>
        </w:tc>
        <w:tc>
          <w:tcPr>
            <w:tcW w:w="3934" w:type="dxa"/>
            <w:vAlign w:val="bottom"/>
          </w:tcPr>
          <w:p w14:paraId="097D6A7C" w14:textId="77777777" w:rsidR="000E2BC9" w:rsidRPr="009D2D11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 w:rsidRPr="009D2D11">
              <w:rPr>
                <w:rFonts w:ascii="Times New Roman" w:hAnsi="Times New Roman" w:cs="Times New Roman"/>
                <w:i/>
                <w:lang w:val="uk-UA"/>
              </w:rPr>
              <w:t xml:space="preserve">вулиці Героїв УПА,5, Героїв УПА,13-А, </w:t>
            </w:r>
            <w:proofErr w:type="spellStart"/>
            <w:r w:rsidRPr="009D2D11">
              <w:rPr>
                <w:rFonts w:ascii="Times New Roman" w:hAnsi="Times New Roman" w:cs="Times New Roman"/>
                <w:i/>
                <w:lang w:val="uk-UA"/>
              </w:rPr>
              <w:t>бульв</w:t>
            </w:r>
            <w:proofErr w:type="spellEnd"/>
            <w:r w:rsidRPr="009D2D11">
              <w:rPr>
                <w:rFonts w:ascii="Times New Roman" w:hAnsi="Times New Roman" w:cs="Times New Roman"/>
                <w:i/>
                <w:lang w:val="uk-UA"/>
              </w:rPr>
              <w:t>. Незалежності,3, бульв.Незалежності,3-Б, Олімпійська,1, Олімпійська,6-А, Москаленка Сергія,2-А, Москаленка Сергія,2-Б, Москаленка Сергія,8-А, бульв.Незалежності,19-А, Петлюри Симона,25, Петлюри Симона,25-Б, Чорних Запороців,70-Б, Петлюри Симона,21-А, Білодібровна,2, Білодібровна,2-А, Білодібровна,4,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7DF8">
              <w:rPr>
                <w:rFonts w:ascii="Times New Roman" w:hAnsi="Times New Roman" w:cs="Times New Roman"/>
                <w:i/>
                <w:lang w:val="uk-UA"/>
              </w:rPr>
              <w:t>Онікієнка</w:t>
            </w:r>
            <w:proofErr w:type="spellEnd"/>
            <w:r w:rsidRPr="006C7DF8">
              <w:rPr>
                <w:rFonts w:ascii="Times New Roman" w:hAnsi="Times New Roman" w:cs="Times New Roman"/>
                <w:i/>
                <w:lang w:val="uk-UA"/>
              </w:rPr>
              <w:t xml:space="preserve"> Олега,69-Б</w:t>
            </w:r>
            <w:r>
              <w:rPr>
                <w:rFonts w:ascii="Times New Roman" w:hAnsi="Times New Roman" w:cs="Times New Roman"/>
                <w:i/>
                <w:lang w:val="uk-UA"/>
              </w:rPr>
              <w:t>,</w:t>
            </w:r>
            <w:r w:rsidRPr="009D2D11">
              <w:rPr>
                <w:rFonts w:ascii="Times New Roman" w:hAnsi="Times New Roman" w:cs="Times New Roman"/>
                <w:i/>
                <w:lang w:val="uk-UA"/>
              </w:rPr>
              <w:t xml:space="preserve"> Голуба Аркадія,1, Голуба Аркадія,1/3, Героїв України,5, Героїв України,9, Київська,294, Київська,296, Київська,300</w:t>
            </w:r>
          </w:p>
        </w:tc>
      </w:tr>
      <w:tr w:rsidR="000E2BC9" w:rsidRPr="009C62C3" w14:paraId="302DABE4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</w:tcPr>
          <w:p w14:paraId="3C74F681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C6053">
              <w:rPr>
                <w:rFonts w:ascii="Times New Roman" w:hAnsi="Times New Roman"/>
                <w:b/>
                <w:color w:val="000000"/>
                <w:lang w:val="uk-UA"/>
              </w:rPr>
              <w:t>1.2.</w:t>
            </w:r>
          </w:p>
        </w:tc>
        <w:tc>
          <w:tcPr>
            <w:tcW w:w="2977" w:type="dxa"/>
            <w:shd w:val="clear" w:color="auto" w:fill="auto"/>
            <w:noWrap/>
          </w:tcPr>
          <w:p w14:paraId="6E2192FE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uk-UA" w:eastAsia="uk-UA"/>
              </w:rPr>
            </w:pPr>
            <w:proofErr w:type="spellStart"/>
            <w:r w:rsidRPr="008C6053">
              <w:rPr>
                <w:rFonts w:ascii="Times New Roman" w:hAnsi="Times New Roman"/>
                <w:b/>
                <w:color w:val="000000"/>
                <w:lang w:val="uk-UA" w:eastAsia="uk-UA"/>
              </w:rPr>
              <w:t>Вулично</w:t>
            </w:r>
            <w:proofErr w:type="spellEnd"/>
            <w:r w:rsidRPr="008C6053">
              <w:rPr>
                <w:rFonts w:ascii="Times New Roman" w:hAnsi="Times New Roman"/>
                <w:b/>
                <w:color w:val="000000"/>
                <w:lang w:val="uk-UA" w:eastAsia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11C34" w14:textId="77777777" w:rsidR="000E2BC9" w:rsidRPr="008C6053" w:rsidRDefault="00EF1935" w:rsidP="00376A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216 847,703</w:t>
            </w:r>
          </w:p>
        </w:tc>
        <w:tc>
          <w:tcPr>
            <w:tcW w:w="3934" w:type="dxa"/>
            <w:vAlign w:val="bottom"/>
          </w:tcPr>
          <w:p w14:paraId="4073A92B" w14:textId="77777777" w:rsidR="000E2BC9" w:rsidRPr="005F2132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E2BC9" w:rsidRPr="00063E04" w14:paraId="2B1508F5" w14:textId="77777777" w:rsidTr="00376A29">
        <w:trPr>
          <w:trHeight w:val="276"/>
        </w:trPr>
        <w:tc>
          <w:tcPr>
            <w:tcW w:w="885" w:type="dxa"/>
            <w:shd w:val="clear" w:color="auto" w:fill="auto"/>
            <w:noWrap/>
            <w:vAlign w:val="bottom"/>
          </w:tcPr>
          <w:p w14:paraId="6328186D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053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3DFC32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доріг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вулиць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шляхопроводів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0C18A" w14:textId="77777777" w:rsidR="000E2BC9" w:rsidRPr="008C6053" w:rsidRDefault="000E2BC9" w:rsidP="00376A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50 000,00</w:t>
            </w:r>
          </w:p>
        </w:tc>
        <w:tc>
          <w:tcPr>
            <w:tcW w:w="3934" w:type="dxa"/>
            <w:vAlign w:val="bottom"/>
          </w:tcPr>
          <w:p w14:paraId="1D0D8787" w14:textId="77777777" w:rsidR="000E2BC9" w:rsidRPr="00063E04" w:rsidRDefault="000E2BC9" w:rsidP="00376A29">
            <w:pPr>
              <w:pStyle w:val="a6"/>
              <w:ind w:left="2"/>
              <w:rPr>
                <w:bCs/>
                <w:i/>
                <w:color w:val="000000"/>
                <w:sz w:val="22"/>
                <w:lang w:eastAsia="uk-UA"/>
              </w:rPr>
            </w:pPr>
            <w:r w:rsidRPr="00063E04">
              <w:rPr>
                <w:rFonts w:cs="Times New Roman"/>
                <w:i/>
                <w:sz w:val="22"/>
              </w:rPr>
              <w:t xml:space="preserve">капітальний ремонт шляхопроводу через залізничні колії по </w:t>
            </w:r>
            <w:proofErr w:type="spellStart"/>
            <w:r w:rsidRPr="00063E04">
              <w:rPr>
                <w:rFonts w:cs="Times New Roman"/>
                <w:i/>
                <w:sz w:val="22"/>
              </w:rPr>
              <w:t>вул.Онікієнка</w:t>
            </w:r>
            <w:proofErr w:type="spellEnd"/>
            <w:r w:rsidRPr="00063E04">
              <w:rPr>
                <w:rFonts w:cs="Times New Roman"/>
                <w:i/>
                <w:sz w:val="22"/>
              </w:rPr>
              <w:t xml:space="preserve"> Олега в </w:t>
            </w:r>
            <w:proofErr w:type="spellStart"/>
            <w:r w:rsidRPr="00063E04">
              <w:rPr>
                <w:rFonts w:cs="Times New Roman"/>
                <w:i/>
                <w:sz w:val="22"/>
              </w:rPr>
              <w:t>м.Бровари</w:t>
            </w:r>
            <w:proofErr w:type="spellEnd"/>
            <w:r w:rsidRPr="00063E04">
              <w:rPr>
                <w:rFonts w:cs="Times New Roman"/>
                <w:i/>
                <w:sz w:val="22"/>
              </w:rPr>
              <w:t xml:space="preserve"> Київської області. Додаткові роботи;</w:t>
            </w:r>
          </w:p>
        </w:tc>
      </w:tr>
      <w:tr w:rsidR="00EF1935" w:rsidRPr="00063E04" w14:paraId="46B477DC" w14:textId="77777777" w:rsidTr="00376A29">
        <w:trPr>
          <w:trHeight w:val="276"/>
        </w:trPr>
        <w:tc>
          <w:tcPr>
            <w:tcW w:w="885" w:type="dxa"/>
            <w:shd w:val="clear" w:color="auto" w:fill="auto"/>
            <w:noWrap/>
            <w:vAlign w:val="bottom"/>
          </w:tcPr>
          <w:p w14:paraId="61055A58" w14:textId="77777777" w:rsidR="00EF1935" w:rsidRPr="00EF1935" w:rsidRDefault="00EF1935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1.2.3.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567DCC7" w14:textId="77777777" w:rsidR="00EF1935" w:rsidRPr="00EF1935" w:rsidRDefault="00EF1935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D8CF8" w14:textId="77777777" w:rsidR="00EF1935" w:rsidRPr="008C6053" w:rsidRDefault="00EF1935" w:rsidP="00376A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1350,00</w:t>
            </w:r>
          </w:p>
        </w:tc>
        <w:tc>
          <w:tcPr>
            <w:tcW w:w="3934" w:type="dxa"/>
            <w:vAlign w:val="bottom"/>
          </w:tcPr>
          <w:p w14:paraId="7D65D54A" w14:textId="77777777" w:rsidR="00EF1935" w:rsidRPr="00063E04" w:rsidRDefault="00EF1935" w:rsidP="00376A29">
            <w:pPr>
              <w:pStyle w:val="a6"/>
              <w:ind w:left="2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i/>
                <w:sz w:val="22"/>
              </w:rPr>
              <w:t xml:space="preserve">Капітальний ремонт мереж </w:t>
            </w:r>
            <w:proofErr w:type="spellStart"/>
            <w:r>
              <w:rPr>
                <w:rFonts w:cs="Times New Roman"/>
                <w:i/>
                <w:sz w:val="22"/>
              </w:rPr>
              <w:t>зовнішнтого</w:t>
            </w:r>
            <w:proofErr w:type="spellEnd"/>
            <w:r>
              <w:rPr>
                <w:rFonts w:cs="Times New Roman"/>
                <w:i/>
                <w:sz w:val="22"/>
              </w:rPr>
              <w:t xml:space="preserve"> освітлення вулиць у місті Бровари Київської області</w:t>
            </w:r>
          </w:p>
        </w:tc>
      </w:tr>
      <w:tr w:rsidR="000E2BC9" w:rsidRPr="0066437E" w14:paraId="366080A7" w14:textId="77777777" w:rsidTr="00376A29">
        <w:trPr>
          <w:trHeight w:val="276"/>
        </w:trPr>
        <w:tc>
          <w:tcPr>
            <w:tcW w:w="885" w:type="dxa"/>
            <w:shd w:val="clear" w:color="auto" w:fill="auto"/>
            <w:noWrap/>
            <w:vAlign w:val="bottom"/>
          </w:tcPr>
          <w:p w14:paraId="1467160E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6053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1.2.13.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C5D679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278D">
              <w:rPr>
                <w:rFonts w:ascii="Times New Roman" w:hAnsi="Times New Roman" w:cs="Times New Roman"/>
                <w:color w:val="000000"/>
                <w:lang w:val="uk-UA"/>
              </w:rPr>
              <w:t xml:space="preserve"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Броварської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міської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ради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Броварського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Київської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області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1D36C" w14:textId="77777777" w:rsidR="000E2BC9" w:rsidRPr="008C6053" w:rsidRDefault="000E2BC9" w:rsidP="00376A2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50,00</w:t>
            </w:r>
          </w:p>
        </w:tc>
        <w:tc>
          <w:tcPr>
            <w:tcW w:w="3934" w:type="dxa"/>
            <w:vAlign w:val="bottom"/>
          </w:tcPr>
          <w:p w14:paraId="7FD8AC8C" w14:textId="77777777" w:rsidR="000E2BC9" w:rsidRPr="00063E04" w:rsidRDefault="000E2BC9" w:rsidP="00376A29">
            <w:pPr>
              <w:pStyle w:val="a6"/>
              <w:contextualSpacing/>
              <w:rPr>
                <w:bCs/>
                <w:i/>
                <w:color w:val="000000"/>
                <w:sz w:val="22"/>
                <w:lang w:eastAsia="uk-UA"/>
              </w:rPr>
            </w:pPr>
            <w:r w:rsidRPr="00063E04">
              <w:rPr>
                <w:rFonts w:cs="Times New Roman"/>
                <w:i/>
                <w:color w:val="000000"/>
                <w:sz w:val="22"/>
              </w:rPr>
              <w:t>Виконавець - управління інспекції та контролю Броварської міської ради Броварського району Київської області</w:t>
            </w:r>
          </w:p>
        </w:tc>
      </w:tr>
      <w:tr w:rsidR="000E2BC9" w:rsidRPr="009C62C3" w14:paraId="42BC3A36" w14:textId="77777777" w:rsidTr="00376A29">
        <w:trPr>
          <w:trHeight w:val="265"/>
        </w:trPr>
        <w:tc>
          <w:tcPr>
            <w:tcW w:w="885" w:type="dxa"/>
            <w:shd w:val="clear" w:color="auto" w:fill="auto"/>
            <w:noWrap/>
            <w:vAlign w:val="bottom"/>
          </w:tcPr>
          <w:p w14:paraId="2F346202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6053">
              <w:rPr>
                <w:rFonts w:ascii="Times New Roman" w:hAnsi="Times New Roman" w:cs="Times New Roman"/>
                <w:color w:val="000000"/>
                <w:lang w:val="uk-UA"/>
              </w:rPr>
              <w:t>1.2.14.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A0AA51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8C6053">
              <w:rPr>
                <w:rFonts w:ascii="Times New Roman" w:hAnsi="Times New Roman" w:cs="Times New Roman"/>
                <w:lang w:val="uk-UA"/>
              </w:rPr>
              <w:t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292C2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11 487,044</w:t>
            </w:r>
          </w:p>
        </w:tc>
        <w:tc>
          <w:tcPr>
            <w:tcW w:w="3934" w:type="dxa"/>
            <w:vAlign w:val="bottom"/>
          </w:tcPr>
          <w:p w14:paraId="12B4F233" w14:textId="77777777" w:rsidR="000E2BC9" w:rsidRPr="00063E04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 w:rsidRPr="00063E04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Фінансування видатків відповідно до бюджетного запиту</w:t>
            </w:r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становить 98 відсотків від заявленої потреби</w:t>
            </w:r>
          </w:p>
        </w:tc>
      </w:tr>
      <w:tr w:rsidR="000E2BC9" w:rsidRPr="009C62C3" w14:paraId="1A409DAA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  <w:vAlign w:val="bottom"/>
          </w:tcPr>
          <w:p w14:paraId="4A11FF7C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053">
              <w:rPr>
                <w:rFonts w:ascii="Times New Roman" w:hAnsi="Times New Roman" w:cs="Times New Roman"/>
                <w:color w:val="000000"/>
              </w:rPr>
              <w:t>1.2.15.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831808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6053">
              <w:rPr>
                <w:rFonts w:ascii="Times New Roman" w:hAnsi="Times New Roman" w:cs="Times New Roman"/>
              </w:rPr>
              <w:t>КП "</w:t>
            </w:r>
            <w:proofErr w:type="spellStart"/>
            <w:r w:rsidRPr="008C6053">
              <w:rPr>
                <w:rFonts w:ascii="Times New Roman" w:hAnsi="Times New Roman" w:cs="Times New Roman"/>
              </w:rPr>
              <w:t>Бровари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C6053">
              <w:rPr>
                <w:rFonts w:ascii="Times New Roman" w:hAnsi="Times New Roman" w:cs="Times New Roman"/>
              </w:rPr>
              <w:t>Благоустрій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8C6053">
              <w:rPr>
                <w:rFonts w:ascii="Times New Roman" w:hAnsi="Times New Roman" w:cs="Times New Roman"/>
              </w:rPr>
              <w:t>благоустрій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</w:rPr>
              <w:t>Броварської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8C60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</w:rPr>
              <w:t>громади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DB888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151 750,659</w:t>
            </w:r>
          </w:p>
        </w:tc>
        <w:tc>
          <w:tcPr>
            <w:tcW w:w="3934" w:type="dxa"/>
            <w:vAlign w:val="bottom"/>
          </w:tcPr>
          <w:p w14:paraId="01DD1A25" w14:textId="77777777" w:rsidR="000E2BC9" w:rsidRPr="005F2132" w:rsidRDefault="000E2BC9" w:rsidP="00376A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063E04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Фінансування видатків відповідно до бюджетного запиту</w:t>
            </w:r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становить 68 відсотків від заявленої потреби</w:t>
            </w:r>
          </w:p>
        </w:tc>
      </w:tr>
      <w:tr w:rsidR="000E2BC9" w:rsidRPr="009C62C3" w14:paraId="5DC155EE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  <w:vAlign w:val="bottom"/>
          </w:tcPr>
          <w:p w14:paraId="3BED3A48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6053">
              <w:rPr>
                <w:rFonts w:ascii="Times New Roman" w:hAnsi="Times New Roman" w:cs="Times New Roman"/>
                <w:color w:val="000000"/>
                <w:lang w:val="uk-UA"/>
              </w:rPr>
              <w:t>1.2.16.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E1BD7E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053">
              <w:rPr>
                <w:rFonts w:ascii="Times New Roman" w:hAnsi="Times New Roman" w:cs="Times New Roman"/>
                <w:color w:val="000000"/>
              </w:rPr>
              <w:t>КП "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Броваритепловодоенергія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поточний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ремонт,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утримання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технічне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бюветів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водозабірних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колонок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F3C60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1 210,00</w:t>
            </w:r>
          </w:p>
        </w:tc>
        <w:tc>
          <w:tcPr>
            <w:tcW w:w="3934" w:type="dxa"/>
            <w:vAlign w:val="bottom"/>
          </w:tcPr>
          <w:p w14:paraId="482C1228" w14:textId="77777777" w:rsidR="000E2BC9" w:rsidRPr="005F2132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063E04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Фінансування видатків відповідно до бюджетного запиту</w:t>
            </w:r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в повному об</w:t>
            </w:r>
            <w:r w:rsidRPr="00063E04">
              <w:rPr>
                <w:rFonts w:ascii="Times New Roman" w:hAnsi="Times New Roman"/>
                <w:bCs/>
                <w:i/>
                <w:color w:val="000000"/>
                <w:lang w:eastAsia="uk-UA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ємі</w:t>
            </w:r>
            <w:proofErr w:type="spellEnd"/>
          </w:p>
        </w:tc>
      </w:tr>
      <w:tr w:rsidR="000E2BC9" w:rsidRPr="009C62C3" w14:paraId="36EA283A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  <w:vAlign w:val="bottom"/>
          </w:tcPr>
          <w:p w14:paraId="5D0A7DA6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053">
              <w:rPr>
                <w:rFonts w:ascii="Times New Roman" w:hAnsi="Times New Roman" w:cs="Times New Roman"/>
                <w:color w:val="000000"/>
              </w:rPr>
              <w:t>1.2.17.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683429C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Охорона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будівельного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майданчика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недобудованих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багатоквартоквартирних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ж/б ЖБК "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Діамант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" по </w:t>
            </w:r>
            <w:proofErr w:type="gramStart"/>
            <w:r w:rsidRPr="008C6053">
              <w:rPr>
                <w:rFonts w:ascii="Times New Roman" w:hAnsi="Times New Roman" w:cs="Times New Roman"/>
                <w:color w:val="000000"/>
              </w:rPr>
              <w:t>вул.Київській</w:t>
            </w:r>
            <w:proofErr w:type="gramEnd"/>
            <w:r w:rsidRPr="008C6053">
              <w:rPr>
                <w:rFonts w:ascii="Times New Roman" w:hAnsi="Times New Roman" w:cs="Times New Roman"/>
                <w:color w:val="000000"/>
              </w:rPr>
              <w:t>,261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F5DCC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1 000,00</w:t>
            </w:r>
          </w:p>
        </w:tc>
        <w:tc>
          <w:tcPr>
            <w:tcW w:w="3934" w:type="dxa"/>
            <w:vAlign w:val="bottom"/>
          </w:tcPr>
          <w:p w14:paraId="10DE3028" w14:textId="77777777" w:rsidR="000E2BC9" w:rsidRPr="00063E04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 w:rsidRPr="00063E04">
              <w:rPr>
                <w:rFonts w:ascii="Times New Roman" w:hAnsi="Times New Roman"/>
                <w:i/>
                <w:lang w:val="uk-UA"/>
              </w:rPr>
              <w:t>Запобігання нещасних випадків на будівництві</w:t>
            </w:r>
          </w:p>
        </w:tc>
      </w:tr>
      <w:tr w:rsidR="000E2BC9" w:rsidRPr="009C62C3" w14:paraId="3D9D79F6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  <w:vAlign w:val="bottom"/>
          </w:tcPr>
          <w:p w14:paraId="50160DAA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9170F5E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>Заклади</w:t>
            </w:r>
            <w:proofErr w:type="spellEnd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>освіти</w:t>
            </w:r>
            <w:proofErr w:type="spellEnd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>культури</w:t>
            </w:r>
            <w:proofErr w:type="spellEnd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спорту та </w:t>
            </w:r>
            <w:proofErr w:type="spellStart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>соціального</w:t>
            </w:r>
            <w:proofErr w:type="spellEnd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b/>
                <w:bCs/>
                <w:color w:val="000000"/>
              </w:rPr>
              <w:t>призначення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57679" w14:textId="27E24C23" w:rsidR="000E2BC9" w:rsidRPr="008C6053" w:rsidRDefault="00376A2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7</w:t>
            </w:r>
            <w:r w:rsidR="000E2BC9" w:rsidRPr="008C6053">
              <w:rPr>
                <w:rFonts w:ascii="Times New Roman" w:hAnsi="Times New Roman"/>
                <w:b/>
                <w:bCs/>
                <w:lang w:val="uk-UA"/>
              </w:rPr>
              <w:t>0 000,00</w:t>
            </w:r>
          </w:p>
        </w:tc>
        <w:tc>
          <w:tcPr>
            <w:tcW w:w="3934" w:type="dxa"/>
            <w:vAlign w:val="bottom"/>
          </w:tcPr>
          <w:p w14:paraId="408EB408" w14:textId="77777777" w:rsidR="000E2BC9" w:rsidRPr="005F2132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E2BC9" w:rsidRPr="009C62C3" w14:paraId="0601995D" w14:textId="77777777" w:rsidTr="00376A29">
        <w:trPr>
          <w:trHeight w:val="412"/>
        </w:trPr>
        <w:tc>
          <w:tcPr>
            <w:tcW w:w="885" w:type="dxa"/>
            <w:shd w:val="clear" w:color="auto" w:fill="auto"/>
            <w:noWrap/>
            <w:vAlign w:val="bottom"/>
          </w:tcPr>
          <w:p w14:paraId="5D5CB126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053">
              <w:rPr>
                <w:rFonts w:ascii="Times New Roman" w:hAnsi="Times New Roman" w:cs="Times New Roman"/>
                <w:color w:val="000000"/>
              </w:rPr>
              <w:t>1.3.6.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04F664" w14:textId="77777777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Нове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будівництво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>,</w:t>
            </w:r>
            <w:r w:rsidRPr="008C605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8C6053">
              <w:rPr>
                <w:rFonts w:ascii="Times New Roman" w:hAnsi="Times New Roman" w:cs="Times New Roman"/>
                <w:color w:val="000000"/>
              </w:rPr>
              <w:t xml:space="preserve"> ремонт об''</w:t>
            </w:r>
            <w:proofErr w:type="spellStart"/>
            <w:r w:rsidRPr="008C6053">
              <w:rPr>
                <w:rFonts w:ascii="Times New Roman" w:hAnsi="Times New Roman" w:cs="Times New Roman"/>
                <w:color w:val="000000"/>
              </w:rPr>
              <w:t>єктів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D3046" w14:textId="2F8FB59B" w:rsidR="000E2BC9" w:rsidRPr="008C6053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6053">
              <w:rPr>
                <w:rFonts w:ascii="Times New Roman" w:hAnsi="Times New Roman"/>
                <w:bCs/>
                <w:lang w:val="uk-UA"/>
              </w:rPr>
              <w:t>0 000,00</w:t>
            </w:r>
          </w:p>
        </w:tc>
        <w:tc>
          <w:tcPr>
            <w:tcW w:w="3934" w:type="dxa"/>
            <w:vAlign w:val="bottom"/>
          </w:tcPr>
          <w:p w14:paraId="54E1AE04" w14:textId="44778C46" w:rsidR="000E2BC9" w:rsidRDefault="000E2BC9" w:rsidP="00376A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8C6053">
              <w:rPr>
                <w:rFonts w:ascii="Times New Roman" w:hAnsi="Times New Roman" w:cs="Times New Roman"/>
                <w:i/>
              </w:rPr>
              <w:t>Продовження</w:t>
            </w:r>
            <w:proofErr w:type="spellEnd"/>
            <w:r w:rsidRPr="008C605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C6053">
              <w:rPr>
                <w:rFonts w:ascii="Times New Roman" w:hAnsi="Times New Roman" w:cs="Times New Roman"/>
                <w:i/>
              </w:rPr>
              <w:t>робіт</w:t>
            </w:r>
            <w:proofErr w:type="spellEnd"/>
            <w:r w:rsidRPr="008C6053">
              <w:rPr>
                <w:rFonts w:ascii="Times New Roman" w:hAnsi="Times New Roman" w:cs="Times New Roman"/>
                <w:i/>
                <w:lang w:val="uk-UA"/>
              </w:rPr>
              <w:t xml:space="preserve"> з будівництва загальноосвітньої школи І ступеню по вул. Петлюри Симона (Черняховського),17-Б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«</w:t>
            </w:r>
            <w:r w:rsidR="00376A29">
              <w:rPr>
                <w:rFonts w:ascii="Times New Roman" w:hAnsi="Times New Roman" w:cs="Times New Roman"/>
                <w:i/>
                <w:lang w:val="uk-UA"/>
              </w:rPr>
              <w:t>585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00,00» </w:t>
            </w: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8C6053">
              <w:rPr>
                <w:rFonts w:ascii="Times New Roman" w:hAnsi="Times New Roman" w:cs="Times New Roman"/>
                <w:i/>
                <w:lang w:val="uk-UA"/>
              </w:rPr>
              <w:t>;</w:t>
            </w:r>
          </w:p>
          <w:p w14:paraId="6435B2E6" w14:textId="62AF9D27" w:rsidR="00376A29" w:rsidRPr="008C6053" w:rsidRDefault="00376A29" w:rsidP="00376A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Розробка ПКД «Нове будівництво захисної споруди цивільного захисту по </w:t>
            </w: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вул.Петлюри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Симона,17-Б в </w:t>
            </w: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Броварського району Київської області» «1500,00»</w:t>
            </w:r>
          </w:p>
          <w:p w14:paraId="70DDBF52" w14:textId="77777777" w:rsidR="000E2BC9" w:rsidRPr="005F2132" w:rsidRDefault="000E2BC9" w:rsidP="00376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8C6053">
              <w:rPr>
                <w:rFonts w:ascii="Times New Roman" w:hAnsi="Times New Roman" w:cs="Times New Roman"/>
                <w:i/>
                <w:lang w:val="uk-UA"/>
              </w:rPr>
              <w:t xml:space="preserve">Продовження робіт з реконструкції дошкільного навчального закладу (ясла-садок) комбінованого типу </w:t>
            </w:r>
            <w:r w:rsidRPr="008C6053">
              <w:rPr>
                <w:rFonts w:ascii="Times New Roman" w:hAnsi="Times New Roman" w:cs="Times New Roman"/>
                <w:i/>
                <w:lang w:val="uk-UA"/>
              </w:rPr>
              <w:lastRenderedPageBreak/>
              <w:t>«Зірочка» по вул. Ярослава Мудрого (Кірова), 3 в м. Бровари Київської області. Коригування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«10000,00» </w:t>
            </w:r>
            <w:proofErr w:type="spellStart"/>
            <w:r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</w:tbl>
    <w:p w14:paraId="06653FE8" w14:textId="77777777" w:rsidR="000E2BC9" w:rsidRDefault="000E2BC9" w:rsidP="000E2B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7" w:name="_Hlk139880230"/>
      <w:bookmarkStart w:id="8" w:name="_Hlk141947714"/>
      <w:bookmarkEnd w:id="6"/>
    </w:p>
    <w:p w14:paraId="7E6DBD9E" w14:textId="77777777" w:rsidR="00376A29" w:rsidRDefault="00376A29" w:rsidP="000E2B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FEB4B7C" w14:textId="72068F78" w:rsidR="00376A29" w:rsidRPr="00376A29" w:rsidRDefault="00376A29" w:rsidP="00376A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76A2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Порівняльна таблиця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376A2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фінансування Програми у 2023 році                                                          </w:t>
      </w:r>
      <w:proofErr w:type="spellStart"/>
      <w:r w:rsidRPr="00376A2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тис.грн</w:t>
      </w:r>
      <w:proofErr w:type="spellEnd"/>
      <w:r w:rsidRPr="00376A2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.</w:t>
      </w:r>
    </w:p>
    <w:p w14:paraId="30BBBC20" w14:textId="77777777" w:rsidR="00376A29" w:rsidRPr="00376A29" w:rsidRDefault="00376A29" w:rsidP="00376A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tblpX="-72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701"/>
        <w:gridCol w:w="1417"/>
        <w:gridCol w:w="1418"/>
        <w:gridCol w:w="2126"/>
      </w:tblGrid>
      <w:tr w:rsidR="00376A29" w:rsidRPr="00376A29" w14:paraId="41359592" w14:textId="77777777" w:rsidTr="00376A29">
        <w:trPr>
          <w:trHeight w:val="5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CD6A4" w14:textId="77777777" w:rsidR="00376A29" w:rsidRPr="00376A29" w:rsidRDefault="00376A29" w:rsidP="0037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32234" w14:textId="77777777" w:rsidR="00376A29" w:rsidRPr="00376A29" w:rsidRDefault="00376A29" w:rsidP="0037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 реалізації Програми 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3E973" w14:textId="77777777" w:rsidR="00376A29" w:rsidRPr="00376A29" w:rsidRDefault="00376A29" w:rsidP="0037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C255" w14:textId="77777777" w:rsidR="00376A29" w:rsidRPr="00376A29" w:rsidRDefault="00376A29" w:rsidP="0037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зміни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3BF" w14:textId="77777777" w:rsidR="00376A29" w:rsidRPr="00376A29" w:rsidRDefault="00376A29" w:rsidP="0037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53AB" w14:textId="77777777" w:rsidR="00376A29" w:rsidRPr="00376A29" w:rsidRDefault="00376A29" w:rsidP="0037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376A29" w:rsidRPr="00376A29" w14:paraId="0FB39F5A" w14:textId="77777777" w:rsidTr="00376A29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7E2B2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ACA5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видатки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F196" w14:textId="77777777" w:rsidR="00376A29" w:rsidRPr="00376A29" w:rsidRDefault="00376A29" w:rsidP="00376A2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406 866,048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D173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-1 350,00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E6F7" w14:textId="77777777" w:rsidR="00376A29" w:rsidRPr="00376A29" w:rsidRDefault="00376A29" w:rsidP="00376A2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405 516,048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8CB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76A29" w:rsidRPr="00376A29" w14:paraId="383D34B1" w14:textId="77777777" w:rsidTr="00376A29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FDBC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6FE6B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37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4915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265 216,048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67EB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-1 350,00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928B" w14:textId="77777777" w:rsidR="00376A29" w:rsidRPr="00376A29" w:rsidRDefault="00376A29" w:rsidP="00376A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263 866,048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EC1" w14:textId="77777777" w:rsidR="00376A29" w:rsidRPr="00376A29" w:rsidRDefault="00376A29" w:rsidP="00376A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76A29" w:rsidRPr="00376A29" w14:paraId="504327B8" w14:textId="77777777" w:rsidTr="00376A29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3515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24BE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МЗО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7D1D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B78D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-1 350,00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52EC" w14:textId="77777777" w:rsidR="00376A29" w:rsidRPr="00376A29" w:rsidRDefault="00376A29" w:rsidP="00376A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8 600,00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F224" w14:textId="77777777" w:rsidR="00376A29" w:rsidRPr="00376A29" w:rsidRDefault="00376A29" w:rsidP="00376A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376A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Капітальний ремонт МЗО вулиць міста Бровари Київської області</w:t>
            </w:r>
          </w:p>
        </w:tc>
      </w:tr>
      <w:tr w:rsidR="00376A29" w:rsidRPr="00376A29" w14:paraId="10983EFE" w14:textId="77777777" w:rsidTr="00376A29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931D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8E23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9CF2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112 435,00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CDA6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3C0F" w14:textId="77777777" w:rsidR="00376A29" w:rsidRPr="00376A29" w:rsidRDefault="00376A29" w:rsidP="00376A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112435,00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4B9" w14:textId="77777777" w:rsidR="00376A29" w:rsidRPr="00376A29" w:rsidRDefault="00376A29" w:rsidP="00376A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76A29" w:rsidRPr="00376A29" w14:paraId="42ED69D2" w14:textId="77777777" w:rsidTr="00376A29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4B53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79B5" w14:textId="77777777" w:rsidR="00376A29" w:rsidRPr="00376A29" w:rsidRDefault="00376A29" w:rsidP="00376A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будівництво,реконструкція</w:t>
            </w:r>
            <w:proofErr w:type="spellEnd"/>
            <w:proofErr w:type="gramEnd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об''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E453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lang w:val="uk-UA"/>
              </w:rPr>
              <w:t>112 225,00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409C" w14:textId="77777777" w:rsidR="00376A29" w:rsidRPr="00376A29" w:rsidRDefault="00376A29" w:rsidP="00376A29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6F32" w14:textId="77777777" w:rsidR="00376A29" w:rsidRPr="00376A29" w:rsidRDefault="00376A29" w:rsidP="00376A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bCs/>
                <w:lang w:val="uk-UA"/>
              </w:rPr>
              <w:t>112 225,00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8CB" w14:textId="77777777" w:rsidR="00376A29" w:rsidRPr="00376A29" w:rsidRDefault="00376A29" w:rsidP="00376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Будівництво загальноосвітньої школи І ступеню по вул. Петлюри Симона (Черняховського),17-Б «-1500,00»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i/>
                <w:lang w:val="uk-UA"/>
              </w:rPr>
              <w:t>;</w:t>
            </w:r>
          </w:p>
          <w:p w14:paraId="35E6FF51" w14:textId="77777777" w:rsidR="00376A29" w:rsidRPr="00376A29" w:rsidRDefault="00376A29" w:rsidP="00376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376A29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Розробка ПКД «Нове будівництво захисної споруди цивільного захисту по вул. Петлюри Симона,17-Б в </w:t>
            </w:r>
            <w:proofErr w:type="spellStart"/>
            <w:r w:rsidRPr="00376A29">
              <w:rPr>
                <w:rFonts w:ascii="Times New Roman" w:eastAsia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376A29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Броварського району Київської області. «1500,00»тис.грн.;</w:t>
            </w:r>
          </w:p>
          <w:p w14:paraId="79DD8969" w14:textId="77777777" w:rsidR="00376A29" w:rsidRPr="00376A29" w:rsidRDefault="00376A29" w:rsidP="00376A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</w:p>
        </w:tc>
      </w:tr>
    </w:tbl>
    <w:p w14:paraId="02E2B801" w14:textId="77777777" w:rsidR="00376A29" w:rsidRDefault="00376A29" w:rsidP="000E2B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55166D1" w14:textId="77777777" w:rsidR="000E2BC9" w:rsidRPr="00E56120" w:rsidRDefault="000E2BC9" w:rsidP="000E2B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14:paraId="4EE26154" w14:textId="77777777" w:rsidR="000E2BC9" w:rsidRPr="00E56120" w:rsidRDefault="000E2BC9" w:rsidP="000E2B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14:paraId="5DBCA1AA" w14:textId="77777777" w:rsidR="000E2BC9" w:rsidRPr="0064241B" w:rsidRDefault="000E2BC9" w:rsidP="000E2B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Світлана РЕШЕТОВА</w:t>
      </w:r>
      <w:bookmarkEnd w:id="8"/>
    </w:p>
    <w:p w14:paraId="2892E1E8" w14:textId="77777777" w:rsidR="009B7D79" w:rsidRPr="00244FF9" w:rsidRDefault="009B7D79" w:rsidP="000E2BC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56373EFD"/>
    <w:multiLevelType w:val="hybridMultilevel"/>
    <w:tmpl w:val="4E301AFC"/>
    <w:lvl w:ilvl="0" w:tplc="84C2AEE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522817"/>
    <w:multiLevelType w:val="hybridMultilevel"/>
    <w:tmpl w:val="80721006"/>
    <w:lvl w:ilvl="0" w:tplc="FFEA580E">
      <w:start w:val="31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567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821585">
    <w:abstractNumId w:val="2"/>
  </w:num>
  <w:num w:numId="3" w16cid:durableId="1720399698">
    <w:abstractNumId w:val="1"/>
  </w:num>
  <w:num w:numId="4" w16cid:durableId="381711315">
    <w:abstractNumId w:val="3"/>
  </w:num>
  <w:num w:numId="5" w16cid:durableId="166304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E2BC9"/>
    <w:rsid w:val="00126B69"/>
    <w:rsid w:val="001A3FF0"/>
    <w:rsid w:val="00244FF9"/>
    <w:rsid w:val="003613A9"/>
    <w:rsid w:val="00361CD8"/>
    <w:rsid w:val="00376A29"/>
    <w:rsid w:val="00525C68"/>
    <w:rsid w:val="005B1C08"/>
    <w:rsid w:val="005F334B"/>
    <w:rsid w:val="0066437E"/>
    <w:rsid w:val="00696599"/>
    <w:rsid w:val="006C396C"/>
    <w:rsid w:val="0074644B"/>
    <w:rsid w:val="007E7FBA"/>
    <w:rsid w:val="00827775"/>
    <w:rsid w:val="00881846"/>
    <w:rsid w:val="00984998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8458C"/>
    <w:rsid w:val="00EF193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356D"/>
  <w15:docId w15:val="{99D65028-A560-413E-9CAA-F128CE66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0E2BC9"/>
    <w:pPr>
      <w:ind w:left="720"/>
      <w:contextualSpacing/>
    </w:pPr>
  </w:style>
  <w:style w:type="paragraph" w:styleId="a6">
    <w:name w:val="No Spacing"/>
    <w:uiPriority w:val="1"/>
    <w:qFormat/>
    <w:rsid w:val="000E2BC9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character" w:customStyle="1" w:styleId="3">
    <w:name w:val="Основной текст (3)_"/>
    <w:basedOn w:val="a0"/>
    <w:link w:val="30"/>
    <w:rsid w:val="000E2BC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2BC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basedOn w:val="a"/>
    <w:rsid w:val="000E2BC9"/>
    <w:pPr>
      <w:suppressAutoHyphens/>
      <w:autoSpaceDE w:val="0"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10682</Words>
  <Characters>6089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2023-12-06T15:01:00Z</dcterms:modified>
</cp:coreProperties>
</file>