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ПВ-1106</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z w:val="28"/>
          <w:szCs w:val="28"/>
        </w:rPr>
      </w:pPr>
      <w:permStart w:id="0" w:edGrp="everyone"/>
      <w:r>
        <w:rPr>
          <w:rFonts w:ascii="Times New Roman" w:hAnsi="Times New Roman"/>
          <w:sz w:val="28"/>
          <w:szCs w:val="28"/>
        </w:rPr>
        <w:t xml:space="preserve">Додаток </w:t>
      </w:r>
    </w:p>
    <w:p>
      <w:pPr>
        <w:tabs>
          <w:tab w:val="left" w:pos="5610"/>
          <w:tab w:val="left" w:pos="6358"/>
        </w:tabs>
        <w:spacing w:beforeAutospacing="0" w:after="0" w:afterAutospacing="0"/>
        <w:ind w:left="5103"/>
        <w:rPr>
          <w:rFonts w:ascii="Times New Roman" w:hAnsi="Times New Roman"/>
          <w:b w:val="0"/>
          <w:bCs w:val="0"/>
          <w:sz w:val="28"/>
          <w:szCs w:val="28"/>
        </w:rPr>
      </w:pPr>
      <w:r>
        <w:rPr>
          <w:rFonts w:ascii="Times New Roman" w:hAnsi="Times New Roman"/>
          <w:b w:val="0"/>
          <w:bCs w:val="0"/>
          <w:sz w:val="28"/>
          <w:szCs w:val="28"/>
        </w:rPr>
        <w:t>СХВАЛЕНО</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widowControl w:val="0"/>
        <w:spacing w:beforeAutospacing="0" w:after="0" w:afterAutospacing="0" w:line="360" w:lineRule="auto"/>
        <w:jc w:val="center"/>
        <w:rPr>
          <w:rFonts w:ascii="Times New Roman" w:hAnsi="Times New Roman"/>
          <w:b/>
          <w:sz w:val="28"/>
          <w:szCs w:val="28"/>
          <w:lang w:eastAsia="ru-RU"/>
        </w:rPr>
      </w:pPr>
      <w:r>
        <w:rPr>
          <w:rFonts w:ascii="Times New Roman" w:hAnsi="Times New Roman"/>
          <w:b/>
          <w:sz w:val="28"/>
          <w:szCs w:val="28"/>
          <w:lang w:eastAsia="ru-RU"/>
        </w:rPr>
        <w:t>ПРОГРАМА</w:t>
      </w:r>
    </w:p>
    <w:p>
      <w:pPr>
        <w:widowControl w:val="0"/>
        <w:spacing w:beforeAutospacing="0" w:after="0" w:afterAutospacing="0" w:line="360" w:lineRule="auto"/>
        <w:rPr>
          <w:rFonts w:ascii="Times New Roman" w:hAnsi="Times New Roman"/>
          <w:b/>
          <w:sz w:val="28"/>
          <w:szCs w:val="28"/>
          <w:lang w:eastAsia="ru-RU"/>
        </w:rPr>
      </w:pPr>
      <w:r>
        <w:rPr>
          <w:rFonts w:ascii="Times New Roman" w:hAnsi="Times New Roman"/>
          <w:b/>
          <w:sz w:val="28"/>
          <w:szCs w:val="28"/>
          <w:lang w:eastAsia="ru-RU"/>
        </w:rPr>
        <w:t xml:space="preserve">                 </w:t>
      </w:r>
      <w:r>
        <w:rPr>
          <w:rFonts w:ascii="Times New Roman" w:hAnsi="Times New Roman"/>
          <w:b/>
          <w:bCs/>
          <w:sz w:val="28"/>
          <w:szCs w:val="28"/>
          <w:lang w:eastAsia="ru-RU"/>
        </w:rPr>
        <w:t xml:space="preserve">підтримки </w:t>
      </w:r>
      <w:r>
        <w:rPr>
          <w:rFonts w:ascii="Times New Roman" w:hAnsi="Times New Roman"/>
          <w:b/>
          <w:sz w:val="28"/>
          <w:szCs w:val="28"/>
          <w:lang w:eastAsia="ru-RU"/>
        </w:rPr>
        <w:t xml:space="preserve">Захисників і Захисниць України, членів сімей </w:t>
      </w:r>
    </w:p>
    <w:p>
      <w:pPr>
        <w:widowControl w:val="0"/>
        <w:spacing w:beforeAutospacing="0" w:after="0" w:afterAutospacing="0" w:line="360" w:lineRule="auto"/>
        <w:rPr>
          <w:rFonts w:ascii="Times New Roman" w:hAnsi="Times New Roman"/>
          <w:b/>
          <w:sz w:val="28"/>
          <w:szCs w:val="28"/>
          <w:lang w:eastAsia="ru-RU"/>
        </w:rPr>
      </w:pPr>
      <w:r>
        <w:rPr>
          <w:rFonts w:ascii="Times New Roman" w:hAnsi="Times New Roman"/>
          <w:b/>
          <w:sz w:val="28"/>
          <w:szCs w:val="28"/>
          <w:lang w:eastAsia="ru-RU"/>
        </w:rPr>
        <w:t xml:space="preserve">                                     загиблих на 2024–2026 роки</w:t>
      </w: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widowControl w:val="0"/>
        <w:rPr>
          <w:rFonts w:ascii="Times New Roman" w:hAnsi="Times New Roman"/>
          <w:b/>
          <w:sz w:val="28"/>
          <w:szCs w:val="28"/>
          <w:lang w:eastAsia="ru-RU"/>
        </w:rPr>
      </w:pPr>
    </w:p>
    <w:p>
      <w:pPr>
        <w:jc w:val="center"/>
        <w:rPr>
          <w:b/>
          <w:sz w:val="32"/>
          <w:szCs w:val="32"/>
          <w:lang w:val="ru-RU" w:eastAsia="ru-RU"/>
        </w:rPr>
      </w:pPr>
    </w:p>
    <w:p>
      <w:pPr>
        <w:spacing w:beforeAutospacing="0" w:after="0" w:afterAutospacing="0" w:line="240" w:lineRule="auto"/>
        <w:jc w:val="center"/>
        <w:rPr>
          <w:rFonts w:ascii="Times New Roman" w:hAnsi="Times New Roman"/>
          <w:color w:val="000000"/>
          <w:sz w:val="27"/>
          <w:szCs w:val="27"/>
          <w:lang w:val="ru-RU" w:eastAsia="ru-RU"/>
        </w:rPr>
      </w:pPr>
      <w:r>
        <w:rPr>
          <w:rFonts w:ascii="Times New Roman" w:hAnsi="Times New Roman"/>
          <w:color w:val="000000"/>
          <w:sz w:val="28"/>
          <w:szCs w:val="28"/>
          <w:lang w:val="ru-RU" w:eastAsia="ru-RU"/>
        </w:rPr>
        <w:t xml:space="preserve">м. Бровари </w:t>
      </w:r>
    </w:p>
    <w:p>
      <w:pPr>
        <w:spacing w:beforeAutospacing="0" w:after="0" w:afterAutospacing="0" w:line="240" w:lineRule="auto"/>
        <w:jc w:val="center"/>
        <w:rPr>
          <w:rFonts w:ascii="Times New Roman" w:hAnsi="Times New Roman"/>
          <w:color w:val="000000"/>
          <w:sz w:val="27"/>
          <w:szCs w:val="27"/>
          <w:lang w:val="ru-RU" w:eastAsia="ru-RU"/>
        </w:rPr>
      </w:pPr>
      <w:r>
        <w:rPr>
          <w:rFonts w:ascii="Times New Roman" w:hAnsi="Times New Roman"/>
          <w:color w:val="000000"/>
          <w:sz w:val="28"/>
          <w:szCs w:val="28"/>
          <w:lang w:val="ru-RU" w:eastAsia="ru-RU"/>
        </w:rPr>
        <w:t>2023 рік</w:t>
      </w:r>
    </w:p>
    <w:p>
      <w:pPr>
        <w:numPr>
          <w:ilvl w:val="0"/>
          <w:numId w:val="2"/>
        </w:numPr>
        <w:spacing w:before="120" w:beforeAutospacing="0" w:after="240" w:afterAutospacing="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Паспорт Програми </w:t>
      </w:r>
    </w:p>
    <w:p>
      <w:pPr>
        <w:spacing w:before="120" w:beforeAutospacing="0" w:after="240" w:afterAutospacing="0" w:line="240" w:lineRule="auto"/>
        <w:ind w:left="720"/>
        <w:jc w:val="both"/>
        <w:rPr>
          <w:rFonts w:ascii="Times New Roman" w:hAnsi="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320"/>
      </w:tblGrid>
      <w:tr>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0"/>
        </w:trPr>
        <w:tc>
          <w:tcPr>
            <w:tcW w:w="7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1.</w:t>
            </w:r>
          </w:p>
        </w:tc>
        <w:tc>
          <w:tcPr>
            <w:tcW w:w="3600" w:type="dxa"/>
          </w:tcPr>
          <w:p>
            <w:pPr>
              <w:tabs>
                <w:tab w:val="left" w:pos="-6539"/>
              </w:tabs>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tblPrEx>
          <w:tblW w:w="9640" w:type="dxa"/>
          <w:tblInd w:w="-34" w:type="dxa"/>
          <w:tblLayout w:type="fixed"/>
          <w:tblLook w:val="01E0"/>
        </w:tblPrEx>
        <w:tc>
          <w:tcPr>
            <w:tcW w:w="7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2.</w:t>
            </w:r>
          </w:p>
        </w:tc>
        <w:tc>
          <w:tcPr>
            <w:tcW w:w="360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320" w:type="dxa"/>
          </w:tcPr>
          <w:p>
            <w:pPr>
              <w:spacing w:before="120" w:beforeAutospacing="0" w:after="120" w:afterAutospacing="0"/>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tc>
      </w:tr>
      <w:tr>
        <w:tblPrEx>
          <w:tblW w:w="9640" w:type="dxa"/>
          <w:tblInd w:w="-34" w:type="dxa"/>
          <w:tblLayout w:type="fixed"/>
          <w:tblLook w:val="01E0"/>
        </w:tblPrEx>
        <w:trPr>
          <w:trHeight w:val="936"/>
        </w:trPr>
        <w:tc>
          <w:tcPr>
            <w:tcW w:w="7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3.</w:t>
            </w:r>
          </w:p>
        </w:tc>
        <w:tc>
          <w:tcPr>
            <w:tcW w:w="360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Pr>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Pr>
                <w:rFonts w:ascii="Times New Roman" w:hAnsi="Times New Roman"/>
                <w:sz w:val="28"/>
                <w:szCs w:val="28"/>
                <w:lang w:eastAsia="ru-RU"/>
              </w:rPr>
              <w:t>Броварської міської ради Броварського району Київської області</w:t>
            </w:r>
            <w:r>
              <w:rPr>
                <w:rFonts w:ascii="Times New Roman" w:hAnsi="Times New Roman"/>
                <w:bCs/>
                <w:color w:val="000000"/>
                <w:sz w:val="28"/>
                <w:szCs w:val="28"/>
                <w:lang w:eastAsia="ru-RU"/>
              </w:rPr>
              <w:t xml:space="preserve"> </w:t>
            </w:r>
            <w:r>
              <w:rPr>
                <w:rFonts w:ascii="Times New Roman" w:hAnsi="Times New Roman"/>
                <w:sz w:val="28"/>
                <w:szCs w:val="28"/>
                <w:lang w:eastAsia="ru-RU"/>
              </w:rPr>
              <w:t>.</w:t>
            </w:r>
          </w:p>
        </w:tc>
      </w:tr>
      <w:tr>
        <w:tblPrEx>
          <w:tblW w:w="9640" w:type="dxa"/>
          <w:tblInd w:w="-34" w:type="dxa"/>
          <w:tblLayout w:type="fixed"/>
          <w:tblLook w:val="01E0"/>
        </w:tblPrEx>
        <w:tc>
          <w:tcPr>
            <w:tcW w:w="7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5.</w:t>
            </w:r>
          </w:p>
        </w:tc>
        <w:tc>
          <w:tcPr>
            <w:tcW w:w="360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Термін реалізації Програми</w:t>
            </w:r>
          </w:p>
        </w:tc>
        <w:tc>
          <w:tcPr>
            <w:tcW w:w="53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2024</w:t>
            </w:r>
            <w:r>
              <w:rPr>
                <w:rFonts w:ascii="Times New Roman" w:hAnsi="Times New Roman"/>
                <w:b/>
                <w:sz w:val="28"/>
                <w:szCs w:val="28"/>
                <w:lang w:eastAsia="ru-RU"/>
              </w:rPr>
              <w:t>–</w:t>
            </w:r>
            <w:r>
              <w:rPr>
                <w:rFonts w:ascii="Times New Roman" w:hAnsi="Times New Roman"/>
                <w:sz w:val="28"/>
                <w:szCs w:val="28"/>
                <w:lang w:eastAsia="ru-RU"/>
              </w:rPr>
              <w:t>2026 роки</w:t>
            </w:r>
          </w:p>
        </w:tc>
      </w:tr>
      <w:tr>
        <w:tblPrEx>
          <w:tblW w:w="9640" w:type="dxa"/>
          <w:tblInd w:w="-34" w:type="dxa"/>
          <w:tblLayout w:type="fixed"/>
          <w:tblLook w:val="01E0"/>
        </w:tblPrEx>
        <w:tc>
          <w:tcPr>
            <w:tcW w:w="7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6.</w:t>
            </w:r>
          </w:p>
        </w:tc>
        <w:tc>
          <w:tcPr>
            <w:tcW w:w="360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Фінансування Програми</w:t>
            </w:r>
          </w:p>
        </w:tc>
        <w:tc>
          <w:tcPr>
            <w:tcW w:w="5320" w:type="dxa"/>
          </w:tcPr>
          <w:p>
            <w:pPr>
              <w:spacing w:before="120" w:beforeAutospacing="0" w:afterAutospacing="0"/>
              <w:rPr>
                <w:rFonts w:ascii="Times New Roman" w:hAnsi="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bl>
    <w:p>
      <w:pPr>
        <w:spacing w:before="120" w:beforeAutospacing="0" w:after="120" w:afterAutospacing="0"/>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2.Загальні положення</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рограми підтримки Захисників і Захисниць України, членів сімей загиблих  на 2024 – 2026 роки  спрямовані на забезпечення реалізації Законів України „Про статус ветеранів війни, гарантії їх соціального захисту”, „Про соціальні послуги” „Про місцеве самоврядування в Україні”.</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color w:val="FF0000"/>
          <w:sz w:val="28"/>
          <w:szCs w:val="28"/>
          <w:lang w:eastAsia="ru-RU"/>
        </w:rPr>
        <w:t xml:space="preserve">    </w:t>
      </w:r>
      <w:r>
        <w:rPr>
          <w:rFonts w:ascii="Times New Roman" w:hAnsi="Times New Roman"/>
          <w:sz w:val="28"/>
          <w:szCs w:val="28"/>
          <w:lang w:eastAsia="ru-RU"/>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pPr>
        <w:widowControl w:val="0"/>
        <w:spacing w:beforeAutospacing="0" w:after="0" w:afterAutospacing="0" w:line="240" w:lineRule="auto"/>
        <w:jc w:val="both"/>
        <w:rPr>
          <w:rFonts w:ascii="Times New Roman" w:hAnsi="Times New Roman"/>
          <w:sz w:val="28"/>
          <w:szCs w:val="28"/>
          <w:lang w:eastAsia="ru-RU"/>
        </w:rPr>
      </w:pPr>
      <w:r>
        <w:rPr>
          <w:rFonts w:ascii="Times New Roman" w:hAnsi="Times New Roman"/>
          <w:bCs/>
          <w:color w:val="FF0000"/>
          <w:sz w:val="28"/>
          <w:szCs w:val="28"/>
          <w:lang w:eastAsia="ru-RU"/>
        </w:rPr>
        <w:t xml:space="preserve">    </w:t>
      </w:r>
      <w:r>
        <w:rPr>
          <w:rFonts w:ascii="Times New Roman" w:hAnsi="Times New Roman"/>
          <w:sz w:val="28"/>
          <w:szCs w:val="28"/>
          <w:lang w:eastAsia="ru-RU"/>
        </w:rPr>
        <w:t>Кожен громадянин України повинен усвідомлювати, якою високою ціною виборюється незалежність нашої держави.</w:t>
      </w:r>
    </w:p>
    <w:p>
      <w:pPr>
        <w:widowControl w:val="0"/>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психо-емоційного стану та соціальної адаптації. </w:t>
      </w:r>
    </w:p>
    <w:p>
      <w:pPr>
        <w:spacing w:beforeAutospacing="0" w:after="0" w:afterAutospacing="0" w:line="240" w:lineRule="auto"/>
        <w:jc w:val="both"/>
        <w:rPr>
          <w:rFonts w:ascii="Times New Roman" w:hAnsi="Times New Roman"/>
          <w:sz w:val="28"/>
          <w:szCs w:val="28"/>
          <w:lang w:eastAsia="ru-RU"/>
        </w:rPr>
      </w:pPr>
    </w:p>
    <w:p>
      <w:pPr>
        <w:shd w:val="clear" w:color="auto" w:fill="FFFFFF"/>
        <w:spacing w:beforeAutospacing="0" w:after="15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 xml:space="preserve">    Програма спрямована на підтримку:</w:t>
      </w:r>
    </w:p>
    <w:p>
      <w:pPr>
        <w:numPr>
          <w:ilvl w:val="0"/>
          <w:numId w:val="1"/>
        </w:numPr>
        <w:shd w:val="clear" w:color="auto" w:fill="FFFFFF"/>
        <w:spacing w:beforeAutospacing="0" w:after="15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Захисників / Захисниць України, які беруть (брали) участь у заходах, необхідних для забезпечення </w:t>
      </w:r>
      <w:r>
        <w:rPr>
          <w:rFonts w:ascii="Times New Roman" w:hAnsi="Times New Roman"/>
          <w:color w:val="000000"/>
          <w:sz w:val="28"/>
          <w:szCs w:val="28"/>
          <w:lang w:eastAsia="ru-RU"/>
        </w:rPr>
        <w:t>відсічі збройної агресії російської федерації, які мають або матимуть статус ветеранів війни;</w:t>
      </w:r>
    </w:p>
    <w:p>
      <w:pPr>
        <w:numPr>
          <w:ilvl w:val="0"/>
          <w:numId w:val="1"/>
        </w:numPr>
        <w:shd w:val="clear" w:color="auto" w:fill="FFFFFF"/>
        <w:spacing w:beforeAutospacing="0" w:after="150" w:afterAutospacing="0" w:line="240" w:lineRule="auto"/>
        <w:jc w:val="both"/>
        <w:rPr>
          <w:rFonts w:ascii="Times New Roman" w:hAnsi="Times New Roman"/>
          <w:sz w:val="28"/>
          <w:szCs w:val="28"/>
          <w:lang w:eastAsia="ru-RU"/>
        </w:rPr>
      </w:pPr>
      <w:r>
        <w:rPr>
          <w:rFonts w:ascii="Times New Roman" w:hAnsi="Times New Roman"/>
          <w:color w:val="000000"/>
          <w:sz w:val="28"/>
          <w:szCs w:val="28"/>
          <w:lang w:eastAsia="ru-RU"/>
        </w:rPr>
        <w:t>родин загиблих (померлих) Захисників чи Захисниць України;</w:t>
      </w:r>
    </w:p>
    <w:p>
      <w:pPr>
        <w:numPr>
          <w:ilvl w:val="0"/>
          <w:numId w:val="1"/>
        </w:numPr>
        <w:shd w:val="clear" w:color="auto" w:fill="FFFFFF"/>
        <w:spacing w:beforeAutospacing="0" w:after="150" w:afterAutospacing="0" w:line="240" w:lineRule="auto"/>
        <w:jc w:val="both"/>
        <w:rPr>
          <w:rFonts w:ascii="Times New Roman" w:hAnsi="Times New Roman"/>
          <w:sz w:val="28"/>
          <w:szCs w:val="28"/>
          <w:lang w:eastAsia="ru-RU"/>
        </w:rPr>
      </w:pPr>
      <w:r>
        <w:rPr>
          <w:rFonts w:ascii="Times New Roman" w:hAnsi="Times New Roman"/>
          <w:sz w:val="28"/>
          <w:szCs w:val="28"/>
          <w:lang w:eastAsia="ru-RU"/>
        </w:rPr>
        <w:t>членів сімей, які знаходяться в пошуку безвісти відсутніх Захисників та Захисниць України</w:t>
      </w:r>
      <w:r>
        <w:rPr>
          <w:rFonts w:ascii="Times New Roman" w:hAnsi="Times New Roman"/>
          <w:color w:val="000000"/>
          <w:sz w:val="28"/>
          <w:szCs w:val="28"/>
          <w:lang w:eastAsia="ru-RU"/>
        </w:rPr>
        <w:t xml:space="preserve"> .</w:t>
      </w:r>
    </w:p>
    <w:p>
      <w:pPr>
        <w:shd w:val="clear" w:color="auto" w:fill="FFFFFF"/>
        <w:spacing w:beforeAutospacing="0" w:after="150" w:afterAutospacing="0" w:line="240" w:lineRule="auto"/>
        <w:jc w:val="both"/>
        <w:rPr>
          <w:rFonts w:ascii="Times New Roman" w:hAnsi="Times New Roman"/>
          <w:color w:val="000000"/>
          <w:sz w:val="28"/>
          <w:szCs w:val="28"/>
          <w:lang w:eastAsia="ru-RU"/>
        </w:rPr>
      </w:pPr>
    </w:p>
    <w:p>
      <w:pPr>
        <w:shd w:val="clear" w:color="auto" w:fill="FFFFFF"/>
        <w:spacing w:beforeAutospacing="0" w:after="150" w:afterAutospacing="0" w:line="240" w:lineRule="auto"/>
        <w:jc w:val="both"/>
        <w:rPr>
          <w:rFonts w:ascii="Times New Roman" w:hAnsi="Times New Roman"/>
          <w:sz w:val="28"/>
          <w:szCs w:val="28"/>
          <w:lang w:eastAsia="ru-RU"/>
        </w:rPr>
      </w:pPr>
    </w:p>
    <w:p>
      <w:pPr>
        <w:spacing w:before="120" w:beforeAutospacing="0" w:after="120" w:afterAutospacing="0"/>
        <w:ind w:firstLine="709"/>
        <w:jc w:val="center"/>
        <w:rPr>
          <w:rFonts w:ascii="Times New Roman" w:hAnsi="Times New Roman"/>
          <w:b/>
          <w:bCs/>
          <w:sz w:val="28"/>
          <w:szCs w:val="28"/>
          <w:lang w:eastAsia="ru-RU"/>
        </w:rPr>
      </w:pPr>
      <w:r>
        <w:rPr>
          <w:rFonts w:ascii="Times New Roman" w:hAnsi="Times New Roman"/>
          <w:b/>
          <w:bCs/>
          <w:color w:val="000000"/>
          <w:sz w:val="28"/>
          <w:szCs w:val="28"/>
          <w:lang w:eastAsia="ru-RU"/>
        </w:rPr>
        <w:t>3. Мета Програми</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активного цивільного життя, а також посилення співпраці з інститутами громадянського суспільства. </w:t>
      </w:r>
    </w:p>
    <w:p>
      <w:pPr>
        <w:spacing w:before="120" w:beforeAutospacing="0" w:after="120" w:afterAutospacing="0" w:line="240" w:lineRule="auto"/>
        <w:ind w:firstLine="567"/>
        <w:jc w:val="both"/>
        <w:rPr>
          <w:rFonts w:ascii="Times New Roman" w:hAnsi="Times New Roman"/>
          <w:b/>
          <w:bCs/>
          <w:sz w:val="28"/>
          <w:szCs w:val="28"/>
          <w:lang w:eastAsia="ru-RU"/>
        </w:rPr>
      </w:pPr>
      <w:r>
        <w:rPr>
          <w:rFonts w:ascii="Times New Roman" w:hAnsi="Times New Roman"/>
          <w:b/>
          <w:bCs/>
          <w:color w:val="000000"/>
          <w:sz w:val="28"/>
          <w:szCs w:val="28"/>
          <w:lang w:eastAsia="ru-RU"/>
        </w:rPr>
        <w:t xml:space="preserve">                                               4. Завдання Програми</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Основними завданнями Програми є:</w:t>
      </w:r>
    </w:p>
    <w:p>
      <w:pPr>
        <w:numPr>
          <w:ilvl w:val="0"/>
          <w:numId w:val="1"/>
        </w:numPr>
        <w:spacing w:beforeAutospacing="0" w:after="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здійснення заходів з організації оздоровлення Захисників та Захисниць України, членів сімей загиблих Захисників та Захисниць України;</w:t>
      </w:r>
    </w:p>
    <w:p>
      <w:pPr>
        <w:numPr>
          <w:ilvl w:val="0"/>
          <w:numId w:val="1"/>
        </w:numPr>
        <w:spacing w:beforeAutospacing="0" w:after="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забезпечення оздоровленням дітей, один із батьків яких загинув (пропав безвісти, перебуває у полоні) Захисників та Захисниць України;</w:t>
      </w:r>
    </w:p>
    <w:p>
      <w:pPr>
        <w:numPr>
          <w:ilvl w:val="0"/>
          <w:numId w:val="1"/>
        </w:numPr>
        <w:spacing w:beforeAutospacing="0" w:after="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pPr>
        <w:numPr>
          <w:ilvl w:val="0"/>
          <w:numId w:val="1"/>
        </w:numPr>
        <w:spacing w:beforeAutospacing="0" w:after="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надання консультацій та роз’яснень Захисникам та Захисницям  з метою реалізації їх прав;</w:t>
      </w:r>
    </w:p>
    <w:p>
      <w:pPr>
        <w:numPr>
          <w:ilvl w:val="0"/>
          <w:numId w:val="1"/>
        </w:numPr>
        <w:spacing w:beforeAutospacing="0" w:after="0" w:afterAutospacing="0" w:line="240" w:lineRule="auto"/>
        <w:ind w:firstLine="450"/>
        <w:jc w:val="both"/>
        <w:rPr>
          <w:rFonts w:ascii="Times New Roman" w:hAnsi="Times New Roman"/>
          <w:sz w:val="28"/>
          <w:szCs w:val="28"/>
          <w:lang w:eastAsia="ru-RU"/>
        </w:rPr>
      </w:pPr>
      <w:r>
        <w:rPr>
          <w:rFonts w:ascii="Times New Roman" w:hAnsi="Times New Roman"/>
          <w:sz w:val="28"/>
          <w:szCs w:val="28"/>
          <w:lang w:eastAsia="ru-RU"/>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pPr>
        <w:spacing w:before="120" w:beforeAutospacing="0" w:after="0" w:afterAutospacing="0" w:line="240" w:lineRule="auto"/>
        <w:ind w:firstLine="567"/>
        <w:jc w:val="center"/>
        <w:rPr>
          <w:rFonts w:ascii="Times New Roman" w:hAnsi="Times New Roman"/>
          <w:b/>
          <w:bCs/>
          <w:color w:val="000000"/>
          <w:sz w:val="28"/>
          <w:szCs w:val="28"/>
          <w:lang w:eastAsia="ru-RU"/>
        </w:rPr>
      </w:pPr>
      <w:r>
        <w:rPr>
          <w:rFonts w:ascii="Times New Roman" w:hAnsi="Times New Roman"/>
          <w:sz w:val="28"/>
          <w:szCs w:val="28"/>
          <w:lang w:eastAsia="ru-RU"/>
        </w:rPr>
        <w:t xml:space="preserve">                </w:t>
      </w: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pPr>
        <w:spacing w:before="120" w:beforeAutospacing="0" w:after="0" w:afterAutospacing="0" w:line="240" w:lineRule="auto"/>
        <w:ind w:firstLine="567"/>
        <w:jc w:val="both"/>
        <w:rPr>
          <w:rFonts w:ascii="Times New Roman" w:hAnsi="Times New Roman"/>
          <w:sz w:val="28"/>
          <w:szCs w:val="28"/>
          <w:lang w:eastAsia="ar-SA"/>
        </w:rPr>
      </w:pPr>
      <w:r>
        <w:rPr>
          <w:rFonts w:ascii="Times New Roman" w:hAnsi="Times New Roman"/>
          <w:sz w:val="28"/>
          <w:szCs w:val="28"/>
          <w:lang w:eastAsia="ru-RU"/>
        </w:rPr>
        <w:t xml:space="preserve">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w:t>
      </w:r>
      <w:r>
        <w:rPr>
          <w:rFonts w:ascii="Times New Roman" w:hAnsi="Times New Roman"/>
          <w:sz w:val="28"/>
          <w:szCs w:val="28"/>
          <w:lang w:eastAsia="ar-SA"/>
        </w:rPr>
        <w:t>покращення добробуту та якості життя,</w:t>
      </w:r>
      <w:r>
        <w:rPr>
          <w:rFonts w:ascii="Times New Roman" w:hAnsi="Times New Roman"/>
          <w:sz w:val="28"/>
          <w:szCs w:val="28"/>
          <w:lang w:eastAsia="ru-RU"/>
        </w:rPr>
        <w:t xml:space="preserve"> належного морально-психологічного стану Захисників і Захисниць України, а також членів сімей, загиблих (померлих) Захисників і Захисниць України. </w:t>
      </w:r>
      <w:r>
        <w:rPr>
          <w:rFonts w:ascii="Times New Roman" w:hAnsi="Times New Roman"/>
          <w:sz w:val="28"/>
          <w:szCs w:val="28"/>
          <w:lang w:eastAsia="ar-SA"/>
        </w:rPr>
        <w:t>Сприятиме шанобливому ставленню до Захисників і Захисниць України та членів їх сімей.</w:t>
      </w:r>
    </w:p>
    <w:p>
      <w:pPr>
        <w:spacing w:before="120" w:beforeAutospacing="0" w:after="0" w:afterAutospacing="0" w:line="240" w:lineRule="auto"/>
        <w:ind w:firstLine="567"/>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6. Заходи Програми та їх фінансування</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Забезпечення безоплатним гарячим харчуванням за рахунок коштів місцевого бюджету учнів закладів загальної середньої освіти та вихованців закладів дошкільної освіти з числа</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працівників органів Міністерства оборони України та Міністерства внутрішніх справ України, які загинули під час виконання службових обов’язків;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дітей, батькам яких надано статус бійця-добровольця антитерористичної операції / операції Об’єднаних сил; дітей, батьки яких є Героями Небесної Сотні, постраждалими учасниками Революції Гідності;</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бойових дій (на підставі посвідчення або довідки про участь особи у бойових діях); дітей батьків, які мають статус</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особи з  інвалідністю внаслідок війни (на підставі посвідчення); дітей батьків - учасників війни (на підставі посвідчення).</w:t>
      </w:r>
    </w:p>
    <w:p>
      <w:pPr>
        <w:spacing w:beforeAutospacing="0" w:after="0" w:afterAutospacing="0" w:line="240" w:lineRule="auto"/>
        <w:ind w:firstLine="708"/>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освіти і науки Броварської міської ради Броварського району Київської області</w:t>
      </w:r>
    </w:p>
    <w:p>
      <w:pPr>
        <w:spacing w:beforeAutospacing="0" w:after="0" w:afterAutospacing="0" w:line="240" w:lineRule="auto"/>
        <w:rPr>
          <w:rFonts w:ascii="Times New Roman" w:hAnsi="Times New Roman"/>
          <w:sz w:val="28"/>
          <w:szCs w:val="28"/>
          <w:lang w:eastAsia="ru-RU"/>
        </w:rPr>
      </w:pPr>
    </w:p>
    <w:p>
      <w:pPr>
        <w:spacing w:beforeAutospacing="0" w:after="0" w:afterAutospacing="0" w:line="240" w:lineRule="auto"/>
        <w:ind w:left="4962"/>
        <w:jc w:val="both"/>
        <w:rPr>
          <w:rFonts w:ascii="Times New Roman" w:hAnsi="Times New Roman"/>
          <w:sz w:val="16"/>
          <w:szCs w:val="16"/>
          <w:lang w:eastAsia="ru-RU"/>
        </w:rPr>
      </w:pPr>
    </w:p>
    <w:p>
      <w:pPr>
        <w:spacing w:beforeAutospacing="0" w:after="0" w:afterAutospacing="0" w:line="240" w:lineRule="auto"/>
        <w:ind w:firstLine="750"/>
        <w:jc w:val="both"/>
        <w:rPr>
          <w:rFonts w:ascii="Times New Roman" w:hAnsi="Times New Roman"/>
          <w:sz w:val="28"/>
          <w:szCs w:val="28"/>
          <w:lang w:eastAsia="ru-RU"/>
        </w:rPr>
      </w:pPr>
      <w:r>
        <w:rPr>
          <w:rFonts w:ascii="Times New Roman" w:hAnsi="Times New Roman"/>
          <w:sz w:val="28"/>
          <w:szCs w:val="28"/>
          <w:lang w:eastAsia="ru-RU"/>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Центр соціальних служб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Броварський міський територіальний центр соціального обслуговування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16"/>
          <w:szCs w:val="16"/>
          <w:lang w:eastAsia="ru-RU"/>
        </w:rPr>
      </w:pPr>
    </w:p>
    <w:p>
      <w:pPr>
        <w:spacing w:beforeAutospacing="0" w:after="0" w:afterAutospacing="0" w:line="240" w:lineRule="auto"/>
        <w:ind w:firstLine="708"/>
        <w:jc w:val="both"/>
        <w:rPr>
          <w:rFonts w:ascii="Times New Roman" w:hAnsi="Times New Roman"/>
          <w:sz w:val="16"/>
          <w:szCs w:val="16"/>
          <w:lang w:eastAsia="ru-RU"/>
        </w:rPr>
      </w:pPr>
      <w:r>
        <w:rPr>
          <w:rFonts w:ascii="Times New Roman" w:hAnsi="Times New Roman"/>
          <w:sz w:val="28"/>
          <w:szCs w:val="28"/>
          <w:lang w:eastAsia="ru-RU"/>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6.4. Надання роз’яснень положень законодавства та консультацій щодо порядку звернення про надання безоплатної вторинної правничої допомоги.</w:t>
      </w:r>
    </w:p>
    <w:p>
      <w:pPr>
        <w:spacing w:beforeAutospacing="0" w:after="0" w:afterAutospacing="0" w:line="240" w:lineRule="auto"/>
        <w:contextualSpacing/>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pPr>
        <w:spacing w:beforeAutospacing="0" w:after="0" w:afterAutospacing="0" w:line="240" w:lineRule="auto"/>
        <w:contextualSpacing/>
        <w:jc w:val="both"/>
        <w:rPr>
          <w:rFonts w:ascii="Times New Roman" w:hAnsi="Times New Roman"/>
          <w:sz w:val="28"/>
          <w:szCs w:val="28"/>
          <w:lang w:eastAsia="ru-RU"/>
        </w:rPr>
      </w:pPr>
    </w:p>
    <w:p>
      <w:pPr>
        <w:spacing w:beforeAutospacing="0" w:after="0" w:afterAutospacing="0" w:line="240" w:lineRule="auto"/>
        <w:ind w:firstLine="825"/>
        <w:jc w:val="both"/>
        <w:rPr>
          <w:rFonts w:ascii="Times New Roman" w:hAnsi="Times New Roman"/>
          <w:sz w:val="28"/>
          <w:szCs w:val="28"/>
          <w:lang w:eastAsia="ru-RU"/>
        </w:rPr>
      </w:pPr>
      <w:r>
        <w:rPr>
          <w:rFonts w:ascii="Times New Roman" w:hAnsi="Times New Roman"/>
          <w:sz w:val="28"/>
          <w:szCs w:val="28"/>
          <w:lang w:eastAsia="ru-RU"/>
        </w:rPr>
        <w:t>6.5.Надання документів та інших матеріалів або їх копій, необхідних для надання безоплатної вторинної правничої допомоги.</w:t>
      </w:r>
    </w:p>
    <w:p>
      <w:pPr>
        <w:spacing w:beforeAutospacing="0" w:after="0" w:afterAutospacing="0" w:line="240" w:lineRule="auto"/>
        <w:contextualSpacing/>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6.6. Видача ваучерів Захисникам та Захисницям України для підтримки конкурентоспроможності на ринку праці.</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6.7. Консультування учасників бойових дій, осіб з інвалідністю внаслідок війни та членів їх сімей з питань отримання мікрогрантів на створення або розвиток власного бізнесу.</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bookmarkStart w:id="1" w:name="_Hlk151563951"/>
      <w:r>
        <w:rPr>
          <w:rFonts w:ascii="Times New Roman" w:hAnsi="Times New Roman"/>
          <w:sz w:val="28"/>
          <w:szCs w:val="28"/>
          <w:lang w:eastAsia="ru-RU"/>
        </w:rPr>
        <w:t xml:space="preserve">                                                                Броварська філія Київського обласного</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ind w:firstLine="708"/>
        <w:jc w:val="both"/>
        <w:rPr>
          <w:rFonts w:ascii="Times New Roman" w:hAnsi="Times New Roman"/>
          <w:noProof/>
          <w:sz w:val="28"/>
          <w:szCs w:val="28"/>
          <w:lang w:eastAsia="ru-RU"/>
        </w:rPr>
      </w:pPr>
      <w:bookmarkEnd w:id="1"/>
      <w:r>
        <w:rPr>
          <w:rFonts w:ascii="Times New Roman" w:hAnsi="Times New Roman"/>
          <w:sz w:val="28"/>
          <w:szCs w:val="28"/>
          <w:lang w:eastAsia="ru-RU"/>
        </w:rPr>
        <w:t>6.8.Надання статусу та в</w:t>
      </w:r>
      <w:r>
        <w:rPr>
          <w:rFonts w:ascii="Times New Roman" w:hAnsi="Times New Roman"/>
          <w:noProof/>
          <w:sz w:val="28"/>
          <w:szCs w:val="28"/>
          <w:lang w:eastAsia="ru-RU"/>
        </w:rPr>
        <w:t>идача посвідчення:</w:t>
      </w:r>
    </w:p>
    <w:p>
      <w:pPr>
        <w:spacing w:beforeAutospacing="0" w:after="0" w:afterAutospacing="0" w:line="240" w:lineRule="auto"/>
        <w:ind w:firstLine="708"/>
        <w:jc w:val="both"/>
        <w:rPr>
          <w:rFonts w:ascii="Times New Roman" w:hAnsi="Times New Roman"/>
          <w:noProof/>
          <w:sz w:val="28"/>
          <w:szCs w:val="28"/>
          <w:lang w:eastAsia="ru-RU"/>
        </w:rPr>
      </w:pPr>
    </w:p>
    <w:p>
      <w:pPr>
        <w:spacing w:beforeAutospacing="0" w:after="0" w:afterAutospacing="0" w:line="240" w:lineRule="auto"/>
        <w:ind w:firstLine="708"/>
        <w:jc w:val="both"/>
        <w:rPr>
          <w:rFonts w:ascii="Times New Roman" w:hAnsi="Times New Roman"/>
          <w:sz w:val="28"/>
          <w:szCs w:val="28"/>
          <w:shd w:val="clear" w:color="auto" w:fill="FFFFFF"/>
          <w:lang w:eastAsia="ru-RU"/>
        </w:rPr>
      </w:pPr>
      <w:r>
        <w:rPr>
          <w:rFonts w:ascii="Times New Roman" w:hAnsi="Times New Roman"/>
          <w:noProof/>
          <w:sz w:val="28"/>
          <w:szCs w:val="28"/>
          <w:lang w:eastAsia="ru-RU"/>
        </w:rPr>
        <w:t>- особам з інвалідністю внаслідок війни;</w:t>
      </w:r>
    </w:p>
    <w:p>
      <w:pPr>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shd w:val="clear" w:color="auto" w:fill="FFFFFF"/>
          <w:lang w:eastAsia="ru-RU"/>
        </w:rPr>
        <w:t>-</w:t>
      </w:r>
      <w:r>
        <w:rPr>
          <w:rFonts w:ascii="Times New Roman" w:hAnsi="Times New Roman"/>
          <w:noProof/>
          <w:sz w:val="28"/>
          <w:szCs w:val="28"/>
          <w:lang w:eastAsia="ru-RU"/>
        </w:rPr>
        <w:t xml:space="preserve"> членам сім’ї загиблого (померлого) Захисника і Захисниці України.</w:t>
      </w:r>
    </w:p>
    <w:p>
      <w:pPr>
        <w:spacing w:before="120" w:beforeAutospacing="0" w:after="0" w:afterAutospacing="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firstLine="708"/>
        <w:jc w:val="both"/>
        <w:rPr>
          <w:rFonts w:ascii="Times New Roman" w:hAnsi="Times New Roman"/>
          <w:sz w:val="28"/>
          <w:szCs w:val="28"/>
          <w:lang w:eastAsia="ru-RU"/>
        </w:rPr>
      </w:pPr>
    </w:p>
    <w:p>
      <w:pPr>
        <w:spacing w:beforeAutospacing="0" w:after="0" w:afterAutospacing="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 xml:space="preserve"> 6.9. Видача посвідчення </w:t>
      </w:r>
      <w:r>
        <w:rPr>
          <w:rFonts w:ascii="Times New Roman" w:hAnsi="Times New Roman"/>
          <w:noProof/>
          <w:sz w:val="28"/>
          <w:szCs w:val="28"/>
          <w:lang w:eastAsia="ru-RU"/>
        </w:rPr>
        <w:t xml:space="preserve">на безкоштовний проїзд в автобусах міського та міжміського сполучення (Бровари – Київ) </w:t>
      </w:r>
      <w:r>
        <w:rPr>
          <w:rFonts w:ascii="Times New Roman" w:hAnsi="Times New Roman"/>
          <w:sz w:val="28"/>
          <w:szCs w:val="28"/>
          <w:lang w:eastAsia="ru-RU"/>
        </w:rPr>
        <w:t xml:space="preserve">членам сімей </w:t>
      </w:r>
      <w:r>
        <w:rPr>
          <w:rFonts w:ascii="Times New Roman" w:hAnsi="Times New Roman"/>
          <w:noProof/>
          <w:sz w:val="28"/>
          <w:szCs w:val="28"/>
          <w:lang w:eastAsia="ru-RU"/>
        </w:rPr>
        <w:t>загиблого (померлого) Захисника і Захисниці України.</w:t>
      </w:r>
    </w:p>
    <w:p>
      <w:pPr>
        <w:spacing w:beforeAutospacing="0" w:after="0" w:afterAutospacing="0" w:line="240" w:lineRule="auto"/>
        <w:ind w:firstLine="708"/>
        <w:jc w:val="both"/>
        <w:rPr>
          <w:rFonts w:ascii="Times New Roman" w:hAnsi="Times New Roman"/>
          <w:sz w:val="28"/>
          <w:szCs w:val="28"/>
          <w:lang w:eastAsia="ru-RU"/>
        </w:rPr>
      </w:pPr>
    </w:p>
    <w:p>
      <w:pPr>
        <w:spacing w:before="120" w:beforeAutospacing="0" w:after="0" w:afterAutospacing="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120" w:beforeAutospacing="0" w:after="0" w:afterAutospacing="0" w:line="240" w:lineRule="auto"/>
        <w:ind w:left="4502"/>
        <w:jc w:val="both"/>
        <w:rPr>
          <w:rFonts w:ascii="Times New Roman" w:hAnsi="Times New Roman"/>
          <w:sz w:val="28"/>
          <w:szCs w:val="28"/>
          <w:lang w:eastAsia="ru-RU"/>
        </w:rPr>
      </w:pPr>
    </w:p>
    <w:p>
      <w:pPr>
        <w:spacing w:before="120"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6.10. Безкоштовне реабілітаційне відвідування плавального басейну «Купава» або КП «Оздоровчо-реабілітаційний центр» Захисниками і Захисницями України, членами сімей загиблих Захисників та Захисниць України відповідно до встановленого закладами режиму роботи та вимог санітарного законодавства України.</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Відділ фізичної культури та спорту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6.11. Забезпечення проведення інформаційно-роз’яснювальної роботи серед Захисників та Захисниць, висвітлення актуальної інформації на веб- порталі Броварської міської ради.</w:t>
      </w:r>
    </w:p>
    <w:p>
      <w:pPr>
        <w:spacing w:beforeAutospacing="0" w:after="0" w:afterAutospacing="0" w:line="240" w:lineRule="auto"/>
        <w:ind w:left="4962"/>
        <w:jc w:val="both"/>
        <w:rPr>
          <w:rFonts w:ascii="Times New Roman" w:hAnsi="Times New Roman"/>
          <w:sz w:val="16"/>
          <w:szCs w:val="16"/>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p>
      <w:pPr>
        <w:spacing w:beforeAutospacing="0" w:after="0" w:afterAutospacing="0" w:line="240" w:lineRule="auto"/>
        <w:ind w:left="4962"/>
        <w:jc w:val="both"/>
        <w:rPr>
          <w:rFonts w:ascii="Times New Roman" w:hAnsi="Times New Roman"/>
          <w:sz w:val="28"/>
          <w:szCs w:val="28"/>
          <w:lang w:eastAsia="ru-RU"/>
        </w:rPr>
      </w:pPr>
    </w:p>
    <w:p>
      <w:pPr>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6.12. Супровід у оформленні документів для виплати грошової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pPr>
        <w:spacing w:beforeAutospacing="0" w:after="0" w:afterAutospacing="0" w:line="240" w:lineRule="auto"/>
        <w:ind w:firstLine="708"/>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соціального захисту   населення Броварської міської ради Броварського району  </w:t>
      </w:r>
      <w:r>
        <w:rPr>
          <w:rFonts w:ascii="Times New Roman" w:hAnsi="Times New Roman"/>
          <w:sz w:val="28"/>
          <w:szCs w:val="28"/>
          <w:lang w:val="ru-RU" w:eastAsia="ru-RU"/>
        </w:rPr>
        <w:t>Київської</w:t>
      </w:r>
      <w:r>
        <w:rPr>
          <w:rFonts w:ascii="Times New Roman" w:hAnsi="Times New Roman"/>
          <w:sz w:val="28"/>
          <w:szCs w:val="28"/>
          <w:lang w:eastAsia="ru-RU"/>
        </w:rPr>
        <w:t xml:space="preserve"> </w:t>
      </w:r>
      <w:r>
        <w:rPr>
          <w:rFonts w:ascii="Times New Roman" w:hAnsi="Times New Roman"/>
          <w:sz w:val="28"/>
          <w:szCs w:val="28"/>
          <w:lang w:val="ru-RU" w:eastAsia="ru-RU"/>
        </w:rPr>
        <w:t>області</w:t>
      </w:r>
    </w:p>
    <w:p>
      <w:pPr>
        <w:spacing w:beforeAutospacing="0" w:after="0" w:afterAutospacing="0" w:line="240" w:lineRule="auto"/>
        <w:ind w:left="567"/>
        <w:jc w:val="both"/>
        <w:rPr>
          <w:rFonts w:ascii="Times New Roman" w:hAnsi="Times New Roman"/>
          <w:sz w:val="28"/>
          <w:szCs w:val="28"/>
          <w:lang w:eastAsia="ru-RU"/>
        </w:rPr>
      </w:pPr>
    </w:p>
    <w:p>
      <w:pPr>
        <w:spacing w:beforeAutospacing="0" w:after="0" w:afterAutospacing="0" w:line="240" w:lineRule="auto"/>
        <w:ind w:firstLine="708"/>
        <w:jc w:val="both"/>
        <w:rPr>
          <w:rFonts w:ascii="Times New Roman" w:hAnsi="Times New Roman"/>
          <w:bCs/>
          <w:sz w:val="28"/>
          <w:szCs w:val="28"/>
          <w:shd w:val="clear" w:color="auto" w:fill="FFFFFF"/>
          <w:lang w:eastAsia="ru-RU"/>
        </w:rPr>
      </w:pPr>
      <w:r>
        <w:rPr>
          <w:rFonts w:ascii="Times New Roman" w:hAnsi="Times New Roman"/>
          <w:sz w:val="28"/>
          <w:szCs w:val="28"/>
          <w:lang w:eastAsia="ru-RU"/>
        </w:rPr>
        <w:t xml:space="preserve">6.13. Здійснення заходів щодо надання послуг із професійної адаптації </w:t>
      </w:r>
      <w:r>
        <w:rPr>
          <w:rFonts w:ascii="Times New Roman" w:hAnsi="Times New Roman"/>
          <w:bCs/>
          <w:sz w:val="28"/>
          <w:szCs w:val="28"/>
          <w:shd w:val="clear" w:color="auto" w:fill="FFFFFF"/>
          <w:lang w:eastAsia="ru-RU"/>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 за рахунок коштів державного бюджету </w:t>
      </w:r>
    </w:p>
    <w:p>
      <w:pPr>
        <w:spacing w:beforeAutospacing="0" w:after="0" w:afterAutospacing="0" w:line="240" w:lineRule="auto"/>
        <w:ind w:firstLine="708"/>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left="4500"/>
        <w:jc w:val="both"/>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pPr>
        <w:spacing w:beforeAutospacing="0" w:after="0" w:afterAutospacing="0" w:line="240" w:lineRule="auto"/>
        <w:ind w:left="4500"/>
        <w:jc w:val="both"/>
        <w:rPr>
          <w:rFonts w:ascii="Times New Roman" w:hAnsi="Times New Roman"/>
          <w:sz w:val="28"/>
          <w:szCs w:val="28"/>
          <w:lang w:eastAsia="ru-RU"/>
        </w:rPr>
      </w:pPr>
    </w:p>
    <w:p>
      <w:pPr>
        <w:tabs>
          <w:tab w:val="left" w:pos="4500"/>
        </w:tabs>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учасникам бойових дій з числа внутрішньо переміщених осіб  за рахунок коштів державного бюджету.</w:t>
      </w:r>
    </w:p>
    <w:p>
      <w:pPr>
        <w:tabs>
          <w:tab w:val="left" w:pos="4500"/>
        </w:tabs>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tabs>
          <w:tab w:val="left" w:pos="4500"/>
        </w:tabs>
        <w:spacing w:beforeAutospacing="0" w:after="0" w:afterAutospacing="0" w:line="240" w:lineRule="auto"/>
        <w:jc w:val="both"/>
        <w:rPr>
          <w:rFonts w:ascii="Times New Roman" w:hAnsi="Times New Roman"/>
          <w:sz w:val="28"/>
          <w:szCs w:val="28"/>
          <w:lang w:eastAsia="ru-RU"/>
        </w:rPr>
      </w:pPr>
    </w:p>
    <w:p>
      <w:pPr>
        <w:jc w:val="both"/>
        <w:rPr>
          <w:rFonts w:ascii="Times New Roman" w:hAnsi="Times New Roman"/>
          <w:sz w:val="28"/>
          <w:szCs w:val="28"/>
          <w:lang w:eastAsia="ru-RU"/>
        </w:rPr>
      </w:pPr>
      <w:r>
        <w:rPr>
          <w:rFonts w:ascii="Times New Roman" w:hAnsi="Times New Roman"/>
          <w:sz w:val="28"/>
          <w:szCs w:val="28"/>
          <w:lang w:eastAsia="ru-RU"/>
        </w:rPr>
        <w:t xml:space="preserve">          6.15. Надання одноразової грошової допомоги членам сімей загиблих (померлих) Захисників та Захисниць України, які загинули під час участі </w:t>
      </w:r>
      <w:bookmarkStart w:id="2" w:name="_Hlk151554274"/>
      <w:r>
        <w:rPr>
          <w:rFonts w:ascii="Times New Roman" w:hAnsi="Times New Roman"/>
          <w:sz w:val="28"/>
          <w:szCs w:val="28"/>
          <w:lang w:eastAsia="ru-RU"/>
        </w:rPr>
        <w:t>в заходах щодо забезпечення відсічі збройної агресії російської федерації</w:t>
      </w:r>
      <w:bookmarkEnd w:id="2"/>
      <w:r>
        <w:rPr>
          <w:rFonts w:ascii="Times New Roman" w:hAnsi="Times New Roman"/>
          <w:sz w:val="28"/>
          <w:szCs w:val="28"/>
          <w:lang w:eastAsia="ru-RU"/>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left="4500"/>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pPr>
        <w:spacing w:before="120" w:beforeAutospacing="0" w:after="0" w:afterAutospacing="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120" w:beforeAutospacing="0" w:after="0" w:afterAutospacing="0" w:line="240" w:lineRule="auto"/>
        <w:ind w:left="4502"/>
        <w:jc w:val="both"/>
        <w:rPr>
          <w:rFonts w:ascii="Times New Roman" w:hAnsi="Times New Roman"/>
          <w:sz w:val="28"/>
          <w:szCs w:val="28"/>
          <w:lang w:eastAsia="ru-RU"/>
        </w:rPr>
      </w:pPr>
    </w:p>
    <w:p>
      <w:pPr>
        <w:jc w:val="both"/>
        <w:rPr>
          <w:rFonts w:ascii="Times New Roman" w:hAnsi="Times New Roman"/>
          <w:sz w:val="28"/>
          <w:szCs w:val="28"/>
          <w:lang w:eastAsia="ru-RU"/>
        </w:rPr>
      </w:pPr>
      <w:r>
        <w:rPr>
          <w:rFonts w:ascii="Times New Roman" w:hAnsi="Times New Roman"/>
          <w:sz w:val="28"/>
          <w:szCs w:val="28"/>
          <w:lang w:eastAsia="ru-RU"/>
        </w:rPr>
        <w:t xml:space="preserve">           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pPr>
        <w:spacing w:beforeAutospacing="0" w:after="0" w:afterAutospacing="0" w:line="240" w:lineRule="auto"/>
        <w:jc w:val="both"/>
        <w:rPr>
          <w:rFonts w:ascii="Times New Roman" w:hAnsi="Times New Roman"/>
          <w:sz w:val="28"/>
          <w:szCs w:val="28"/>
          <w:lang w:eastAsia="ru-RU"/>
        </w:rPr>
      </w:pPr>
    </w:p>
    <w:p>
      <w:pPr>
        <w:jc w:val="both"/>
        <w:rPr>
          <w:rFonts w:ascii="Times New Roman" w:hAnsi="Times New Roman"/>
          <w:sz w:val="28"/>
          <w:szCs w:val="28"/>
          <w:lang w:eastAsia="ru-RU"/>
        </w:rPr>
      </w:pPr>
      <w:r>
        <w:rPr>
          <w:rFonts w:ascii="Times New Roman" w:hAnsi="Times New Roman"/>
          <w:sz w:val="28"/>
          <w:szCs w:val="28"/>
          <w:lang w:eastAsia="ru-RU"/>
        </w:rPr>
        <w:t xml:space="preserve">          6.18. Забезпечення санаторно-курортним лікуванням Захисників та Захисниць України, що брали / беруть участь в заходах щодо забезпечення відсічі збройної агресії російської федерації, згідно положення, що затверджується в установленому порядку.</w:t>
      </w:r>
    </w:p>
    <w:p>
      <w:pPr>
        <w:spacing w:beforeAutospacing="0" w:after="0" w:afterAutospacing="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jc w:val="both"/>
        <w:rPr>
          <w:rFonts w:ascii="Times New Roman" w:hAnsi="Times New Roman"/>
          <w:sz w:val="28"/>
          <w:szCs w:val="28"/>
          <w:lang w:eastAsia="ru-RU"/>
        </w:rPr>
      </w:pPr>
    </w:p>
    <w:p>
      <w:pPr>
        <w:jc w:val="both"/>
        <w:rPr>
          <w:rFonts w:ascii="Times New Roman" w:hAnsi="Times New Roman"/>
          <w:sz w:val="28"/>
          <w:szCs w:val="28"/>
          <w:lang w:eastAsia="ru-RU"/>
        </w:rPr>
      </w:pPr>
      <w:r>
        <w:rPr>
          <w:rFonts w:ascii="Times New Roman" w:hAnsi="Times New Roman"/>
          <w:sz w:val="28"/>
          <w:szCs w:val="28"/>
          <w:lang w:eastAsia="ru-RU"/>
        </w:rPr>
        <w:t xml:space="preserve">           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pPr>
        <w:spacing w:beforeAutospacing="0" w:after="0" w:afterAutospacing="0" w:line="240" w:lineRule="auto"/>
        <w:ind w:left="4536"/>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pPr>
        <w:spacing w:beforeAutospacing="0" w:after="0" w:afterAutospacing="0" w:line="240" w:lineRule="auto"/>
        <w:ind w:left="4536"/>
        <w:rPr>
          <w:rFonts w:ascii="Times New Roman" w:hAnsi="Times New Roman"/>
          <w:sz w:val="28"/>
          <w:szCs w:val="28"/>
          <w:lang w:eastAsia="ru-RU"/>
        </w:rPr>
      </w:pPr>
    </w:p>
    <w:p>
      <w:pPr>
        <w:spacing w:before="120" w:beforeAutospacing="0" w:after="0" w:afterAutospacing="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pPr>
        <w:spacing w:beforeAutospacing="0" w:after="0" w:afterAutospacing="0" w:line="240" w:lineRule="auto"/>
        <w:rPr>
          <w:rFonts w:ascii="Times New Roman" w:hAnsi="Times New Roman"/>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 xml:space="preserve">             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p>
    <w:p>
      <w:pPr>
        <w:spacing w:beforeAutospacing="0" w:after="0" w:afterAutospacing="0" w:line="240" w:lineRule="auto"/>
        <w:rPr>
          <w:rFonts w:ascii="Times New Roman" w:hAnsi="Times New Roman"/>
          <w:sz w:val="28"/>
          <w:szCs w:val="28"/>
          <w:lang w:eastAsia="ru-RU"/>
        </w:rPr>
      </w:pP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pPr>
        <w:spacing w:beforeAutospacing="0" w:after="0" w:afterAutospacing="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pPr>
        <w:spacing w:beforeAutospacing="0" w:after="0" w:afterAutospacing="0" w:line="240" w:lineRule="auto"/>
        <w:rPr>
          <w:rFonts w:ascii="Times New Roman" w:hAnsi="Times New Roman"/>
          <w:bCs/>
          <w:color w:val="000000"/>
          <w:sz w:val="28"/>
          <w:szCs w:val="28"/>
          <w:lang w:eastAsia="ru-RU"/>
        </w:rPr>
      </w:pPr>
    </w:p>
    <w:p>
      <w:pPr>
        <w:spacing w:beforeAutospacing="0" w:after="0" w:afterAutospacing="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w:t>
      </w:r>
      <w:r>
        <w:rPr>
          <w:rFonts w:ascii="Times New Roman" w:hAnsi="Times New Roman"/>
          <w:bCs/>
          <w:color w:val="000000" w:themeColor="text1"/>
          <w:sz w:val="28"/>
          <w:szCs w:val="28"/>
          <w:lang w:eastAsia="ru-RU"/>
        </w:rPr>
        <w:t>50 % вартості послуги</w:t>
      </w:r>
      <w:r>
        <w:rPr>
          <w:rFonts w:ascii="Times New Roman" w:hAnsi="Times New Roman"/>
          <w:bCs/>
          <w:color w:val="000000"/>
          <w:sz w:val="28"/>
          <w:szCs w:val="28"/>
          <w:lang w:eastAsia="ru-RU"/>
        </w:rPr>
        <w:t xml:space="preserve"> згідно положення, що затверджується в установленому порядку.</w:t>
      </w:r>
    </w:p>
    <w:p>
      <w:pPr>
        <w:spacing w:beforeAutospacing="0" w:after="0" w:afterAutospacing="0" w:line="240" w:lineRule="auto"/>
        <w:rPr>
          <w:rFonts w:ascii="Times New Roman" w:hAnsi="Times New Roman"/>
          <w:bCs/>
          <w:color w:val="000000"/>
          <w:sz w:val="28"/>
          <w:szCs w:val="28"/>
          <w:lang w:eastAsia="ru-RU"/>
        </w:rPr>
      </w:pPr>
    </w:p>
    <w:p>
      <w:pPr>
        <w:spacing w:beforeAutospacing="0" w:after="0" w:afterAutospacing="0" w:line="240" w:lineRule="auto"/>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Управління соціального захисту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pPr>
        <w:spacing w:beforeAutospacing="0" w:after="0" w:afterAutospacing="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pPr>
        <w:spacing w:beforeAutospacing="0" w:after="0" w:afterAutospacing="0" w:line="240" w:lineRule="auto"/>
        <w:jc w:val="both"/>
        <w:rPr>
          <w:rFonts w:ascii="Times New Roman" w:hAnsi="Times New Roman"/>
          <w:bCs/>
          <w:color w:val="000000"/>
          <w:sz w:val="28"/>
          <w:szCs w:val="28"/>
          <w:lang w:eastAsia="ru-RU"/>
        </w:rPr>
      </w:pPr>
    </w:p>
    <w:p>
      <w:pPr>
        <w:spacing w:beforeAutospacing="0" w:after="0" w:afterAutospacing="0" w:line="240" w:lineRule="auto"/>
        <w:ind w:firstLine="70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pPr>
        <w:spacing w:beforeAutospacing="0" w:after="0" w:afterAutospacing="0" w:line="240" w:lineRule="auto"/>
        <w:ind w:left="4678" w:firstLine="284"/>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pPr>
        <w:spacing w:beforeAutospacing="0" w:after="0" w:afterAutospacing="0" w:line="240" w:lineRule="auto"/>
        <w:ind w:left="4678" w:firstLine="284"/>
        <w:jc w:val="both"/>
        <w:rPr>
          <w:rFonts w:ascii="Times New Roman" w:hAnsi="Times New Roman"/>
          <w:bCs/>
          <w:color w:val="000000"/>
          <w:sz w:val="28"/>
          <w:szCs w:val="28"/>
          <w:lang w:eastAsia="ru-RU"/>
        </w:rPr>
      </w:pPr>
    </w:p>
    <w:p>
      <w:pPr>
        <w:spacing w:beforeAutospacing="0" w:after="0" w:afterAutospacing="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pPr>
        <w:spacing w:beforeAutospacing="0" w:after="0" w:afterAutospacing="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6.24.   Закупівля продуктів харчування для покращеного харчування Захисників і Захисниць України, які перебувають на лікуванні в стаціонарі.</w:t>
      </w:r>
    </w:p>
    <w:p>
      <w:pPr>
        <w:spacing w:beforeAutospacing="0" w:after="0" w:afterAutospacing="0" w:line="240" w:lineRule="auto"/>
        <w:ind w:left="4678" w:firstLine="284"/>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pPr>
        <w:spacing w:beforeAutospacing="0" w:after="0" w:afterAutospacing="0" w:line="240" w:lineRule="auto"/>
        <w:ind w:left="4678" w:firstLine="284"/>
        <w:jc w:val="both"/>
        <w:rPr>
          <w:rFonts w:ascii="Times New Roman" w:hAnsi="Times New Roman"/>
          <w:bCs/>
          <w:color w:val="000000"/>
          <w:sz w:val="28"/>
          <w:szCs w:val="28"/>
          <w:lang w:eastAsia="ru-RU"/>
        </w:rPr>
      </w:pPr>
    </w:p>
    <w:p>
      <w:pPr>
        <w:spacing w:beforeAutospacing="0" w:after="0" w:afterAutospacing="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pPr>
        <w:spacing w:beforeAutospacing="0" w:after="0" w:afterAutospacing="0" w:line="240" w:lineRule="auto"/>
        <w:jc w:val="both"/>
        <w:rPr>
          <w:rFonts w:ascii="Times New Roman" w:hAnsi="Times New Roman"/>
          <w:bCs/>
          <w:color w:val="000000"/>
          <w:sz w:val="28"/>
          <w:szCs w:val="28"/>
          <w:lang w:eastAsia="ru-RU"/>
        </w:rPr>
      </w:pPr>
    </w:p>
    <w:p>
      <w:pPr>
        <w:spacing w:beforeAutospacing="0" w:after="0" w:afterAutospacing="0" w:line="240" w:lineRule="auto"/>
        <w:ind w:firstLine="426"/>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pPr>
        <w:spacing w:beforeAutospacing="0" w:after="0" w:afterAutospacing="0" w:line="240" w:lineRule="auto"/>
        <w:ind w:left="1095"/>
        <w:jc w:val="both"/>
        <w:rPr>
          <w:rFonts w:ascii="Times New Roman" w:hAnsi="Times New Roman"/>
          <w:bCs/>
          <w:color w:val="000000"/>
          <w:sz w:val="28"/>
          <w:szCs w:val="28"/>
          <w:lang w:eastAsia="ru-RU"/>
        </w:rPr>
      </w:pPr>
    </w:p>
    <w:p>
      <w:pPr>
        <w:spacing w:beforeAutospacing="0" w:after="0" w:afterAutospacing="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Відділ охорони здоров’я Броварської міської ради        Броварського району Київської області</w:t>
      </w:r>
    </w:p>
    <w:p>
      <w:pPr>
        <w:spacing w:beforeAutospacing="0" w:after="0" w:afterAutospacing="0" w:line="240" w:lineRule="auto"/>
        <w:ind w:left="4678"/>
        <w:jc w:val="both"/>
        <w:rPr>
          <w:rFonts w:ascii="Times New Roman" w:hAnsi="Times New Roman"/>
          <w:bCs/>
          <w:color w:val="000000"/>
          <w:sz w:val="28"/>
          <w:szCs w:val="28"/>
          <w:lang w:eastAsia="ru-RU"/>
        </w:rPr>
      </w:pPr>
    </w:p>
    <w:p>
      <w:pPr>
        <w:spacing w:beforeAutospacing="0" w:after="0" w:afterAutospacing="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КНП «Броварська стоматологічна поліклініка» </w:t>
      </w:r>
    </w:p>
    <w:p>
      <w:pPr>
        <w:spacing w:beforeAutospacing="0" w:after="0" w:afterAutospacing="0" w:line="240" w:lineRule="auto"/>
        <w:ind w:left="4962"/>
        <w:jc w:val="both"/>
        <w:rPr>
          <w:rFonts w:ascii="Times New Roman" w:hAnsi="Times New Roman"/>
          <w:bCs/>
          <w:color w:val="000000"/>
          <w:sz w:val="28"/>
          <w:szCs w:val="28"/>
          <w:lang w:eastAsia="ru-RU"/>
        </w:rPr>
      </w:pPr>
    </w:p>
    <w:p>
      <w:pPr>
        <w:spacing w:beforeAutospacing="0" w:after="0" w:afterAutospacing="0" w:line="240" w:lineRule="auto"/>
        <w:ind w:firstLine="851"/>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pPr>
        <w:spacing w:beforeAutospacing="0" w:after="0" w:afterAutospacing="0" w:line="240" w:lineRule="auto"/>
        <w:ind w:firstLine="851"/>
        <w:jc w:val="both"/>
        <w:rPr>
          <w:rFonts w:ascii="Times New Roman" w:hAnsi="Times New Roman"/>
          <w:bCs/>
          <w:color w:val="000000"/>
          <w:sz w:val="28"/>
          <w:szCs w:val="28"/>
          <w:lang w:eastAsia="ru-RU"/>
        </w:rPr>
      </w:pP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Служба у справах дітей Броварської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міської ради Броварського району  </w:t>
      </w:r>
    </w:p>
    <w:p>
      <w:pPr>
        <w:spacing w:beforeAutospacing="0" w:after="0" w:afterAutospacing="0" w:line="240" w:lineRule="auto"/>
        <w:ind w:firstLine="851"/>
        <w:jc w:val="both"/>
        <w:rPr>
          <w:rFonts w:ascii="Times New Roman" w:hAnsi="Times New Roman"/>
          <w:bCs/>
          <w:color w:val="000000"/>
          <w:sz w:val="28"/>
          <w:szCs w:val="28"/>
          <w:lang w:eastAsia="ru-RU"/>
        </w:rPr>
      </w:pPr>
      <w:r>
        <w:rPr>
          <w:rFonts w:ascii="Times New Roman" w:hAnsi="Times New Roman"/>
          <w:sz w:val="28"/>
          <w:szCs w:val="28"/>
          <w:lang w:eastAsia="ru-RU"/>
        </w:rPr>
        <w:t xml:space="preserve">                                                          Київської області.</w:t>
      </w:r>
      <w:r>
        <w:rPr>
          <w:rFonts w:ascii="Times New Roman" w:hAnsi="Times New Roman"/>
          <w:bCs/>
          <w:color w:val="000000"/>
          <w:sz w:val="28"/>
          <w:szCs w:val="28"/>
          <w:lang w:eastAsia="ru-RU"/>
        </w:rPr>
        <w:t xml:space="preserve">      </w:t>
      </w:r>
    </w:p>
    <w:p>
      <w:pPr>
        <w:spacing w:beforeAutospacing="0" w:after="0" w:afterAutospacing="0" w:line="240" w:lineRule="auto"/>
        <w:ind w:firstLine="851"/>
        <w:jc w:val="both"/>
        <w:rPr>
          <w:rFonts w:ascii="Times New Roman" w:hAnsi="Times New Roman"/>
          <w:bCs/>
          <w:color w:val="000000"/>
          <w:sz w:val="28"/>
          <w:szCs w:val="28"/>
          <w:lang w:eastAsia="ru-RU"/>
        </w:rPr>
      </w:pPr>
    </w:p>
    <w:p>
      <w:pPr>
        <w:spacing w:beforeAutospacing="0" w:after="0" w:afterAutospacing="0" w:line="240" w:lineRule="auto"/>
        <w:ind w:left="2832"/>
        <w:jc w:val="center"/>
        <w:rPr>
          <w:rFonts w:ascii="Times New Roman" w:hAnsi="Times New Roman"/>
          <w:sz w:val="24"/>
          <w:szCs w:val="24"/>
          <w:lang w:eastAsia="ru-RU"/>
        </w:rPr>
      </w:pPr>
    </w:p>
    <w:p>
      <w:pPr>
        <w:spacing w:beforeAutospacing="0" w:after="0" w:afterAutospacing="0" w:line="240" w:lineRule="auto"/>
        <w:rPr>
          <w:rFonts w:ascii="Times New Roman" w:hAnsi="Times New Roman"/>
          <w:sz w:val="28"/>
          <w:szCs w:val="28"/>
          <w:lang w:eastAsia="ru-RU"/>
        </w:rPr>
      </w:pPr>
      <w:r>
        <w:rPr>
          <w:rFonts w:ascii="Times New Roman" w:hAnsi="Times New Roman"/>
          <w:sz w:val="24"/>
          <w:szCs w:val="24"/>
          <w:lang w:eastAsia="ru-RU"/>
        </w:rPr>
        <w:t xml:space="preserve">              6</w:t>
      </w:r>
      <w:r>
        <w:rPr>
          <w:rFonts w:ascii="Times New Roman" w:hAnsi="Times New Roman"/>
          <w:sz w:val="28"/>
          <w:szCs w:val="28"/>
          <w:lang w:eastAsia="ru-RU"/>
        </w:rPr>
        <w:t>.27.    Забезпечення встановлення надгробного пам’ятника загиблим Захисникам та Захисницям України  у разі відсутності близьких родичів.</w:t>
      </w:r>
    </w:p>
    <w:p>
      <w:pPr>
        <w:spacing w:beforeAutospacing="0" w:after="0" w:afterAutospacing="0" w:line="240" w:lineRule="auto"/>
        <w:rPr>
          <w:rFonts w:ascii="Times New Roman" w:hAnsi="Times New Roman"/>
          <w:sz w:val="28"/>
          <w:szCs w:val="28"/>
          <w:lang w:eastAsia="ru-RU"/>
        </w:rPr>
      </w:pPr>
    </w:p>
    <w:p>
      <w:pPr>
        <w:spacing w:beforeAutospacing="0" w:after="0" w:afterAutospacing="0" w:line="240" w:lineRule="auto"/>
        <w:ind w:left="2832"/>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 xml:space="preserve">Управління будівництва, житлово-  </w:t>
      </w:r>
    </w:p>
    <w:p>
      <w:pPr>
        <w:spacing w:beforeAutospacing="0" w:after="0" w:afterAutospacing="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комунального господарства,  </w:t>
      </w:r>
    </w:p>
    <w:p>
      <w:pPr>
        <w:spacing w:beforeAutospacing="0" w:after="0" w:afterAutospacing="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інфраструктури та транспорту</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Броварської   міської ради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області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Спеціалізоване комунальне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підприємство Броварської міської</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ради Броварського району </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Київської області «Броварська</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ритуальна служба» </w:t>
      </w:r>
    </w:p>
    <w:p>
      <w:pPr>
        <w:spacing w:beforeAutospacing="0" w:after="0" w:afterAutospacing="0" w:line="240" w:lineRule="auto"/>
        <w:ind w:firstLine="851"/>
        <w:jc w:val="both"/>
        <w:rPr>
          <w:rFonts w:ascii="Times New Roman" w:hAnsi="Times New Roman"/>
          <w:sz w:val="28"/>
          <w:szCs w:val="28"/>
          <w:lang w:eastAsia="ru-RU"/>
        </w:rPr>
      </w:pP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6.28.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w:t>
      </w:r>
      <w:r>
        <w:rPr>
          <w:rFonts w:ascii="Times New Roman" w:hAnsi="Times New Roman"/>
          <w:bCs/>
          <w:sz w:val="28"/>
          <w:szCs w:val="28"/>
          <w:lang w:eastAsia="ru-RU"/>
        </w:rPr>
        <w:t>що затверджується в установленому порядку.</w:t>
      </w:r>
    </w:p>
    <w:p>
      <w:pPr>
        <w:spacing w:beforeAutospacing="0" w:after="0" w:afterAutospacing="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pPr>
        <w:spacing w:beforeAutospacing="0" w:after="0" w:afterAutospacing="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w:t>
      </w:r>
    </w:p>
    <w:p>
      <w:pPr>
        <w:spacing w:beforeAutospacing="0" w:after="0" w:afterAutospacing="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області</w:t>
      </w:r>
    </w:p>
    <w:p>
      <w:pPr>
        <w:spacing w:beforeAutospacing="0" w:after="0" w:afterAutospacing="0" w:line="240" w:lineRule="auto"/>
        <w:jc w:val="both"/>
        <w:rPr>
          <w:rFonts w:ascii="Times New Roman" w:hAnsi="Times New Roman"/>
          <w:bCs/>
          <w:color w:val="000000"/>
          <w:sz w:val="28"/>
          <w:szCs w:val="28"/>
          <w:lang w:eastAsia="ru-RU"/>
        </w:rPr>
      </w:pPr>
    </w:p>
    <w:p>
      <w:pPr>
        <w:spacing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Кошторис витрат заходів Програми на 2024 – 2026 роки додається.</w:t>
      </w:r>
    </w:p>
    <w:p>
      <w:pPr>
        <w:spacing w:beforeAutospacing="0" w:after="0" w:afterAutospacing="0" w:line="240" w:lineRule="auto"/>
        <w:jc w:val="both"/>
        <w:rPr>
          <w:rFonts w:ascii="Times New Roman" w:hAnsi="Times New Roman"/>
          <w:sz w:val="28"/>
          <w:szCs w:val="28"/>
          <w:lang w:eastAsia="ru-RU"/>
        </w:rPr>
      </w:pPr>
    </w:p>
    <w:p>
      <w:pPr>
        <w:spacing w:beforeAutospacing="0" w:after="0" w:afterAutospacing="0" w:line="240" w:lineRule="auto"/>
        <w:ind w:firstLine="851"/>
        <w:jc w:val="both"/>
        <w:rPr>
          <w:rFonts w:ascii="Times New Roman" w:hAnsi="Times New Roman"/>
          <w:sz w:val="28"/>
          <w:szCs w:val="28"/>
          <w:lang w:eastAsia="ru-RU"/>
        </w:rPr>
      </w:pPr>
    </w:p>
    <w:p>
      <w:pPr>
        <w:spacing w:beforeAutospacing="0" w:after="0" w:afterAutospacing="0" w:line="240" w:lineRule="auto"/>
        <w:ind w:firstLine="851"/>
        <w:jc w:val="both"/>
        <w:rPr>
          <w:rFonts w:ascii="Times New Roman" w:hAnsi="Times New Roman"/>
          <w:sz w:val="28"/>
          <w:szCs w:val="28"/>
          <w:lang w:eastAsia="ru-RU"/>
        </w:rPr>
      </w:pPr>
    </w:p>
    <w:p>
      <w:pPr>
        <w:ind w:left="-284" w:hanging="425"/>
        <w:jc w:val="both"/>
        <w:rPr>
          <w:rFonts w:ascii="Times New Roman" w:hAnsi="Times New Roman"/>
          <w:sz w:val="28"/>
          <w:szCs w:val="28"/>
          <w:lang w:val="ru-RU" w:eastAsia="ru-RU"/>
        </w:rPr>
      </w:pPr>
      <w:r>
        <w:rPr>
          <w:rFonts w:ascii="Times New Roman" w:hAnsi="Times New Roman"/>
          <w:sz w:val="28"/>
          <w:szCs w:val="28"/>
          <w:lang w:val="ru-RU" w:eastAsia="ru-RU"/>
        </w:rPr>
        <w:t xml:space="preserve">        Міський голова                                                                                Ігор САПОЖКО</w:t>
      </w:r>
    </w:p>
    <w:p>
      <w:pPr>
        <w:spacing w:beforeAutospacing="0" w:after="0" w:afterAutospacing="0"/>
        <w:jc w:val="center"/>
        <w:rPr>
          <w:rFonts w:ascii="Times New Roman" w:hAnsi="Times New Roman"/>
          <w:iCs/>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3"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1E50C9"/>
    <w:multiLevelType w:val="multilevel"/>
    <w:tmpl w:val="00000000"/>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CA7098B"/>
    <w:multiLevelType w:val="hybridMultilevel"/>
    <w:tmpl w:val="00000000"/>
    <w:lvl w:ilvl="0">
      <w:start w:val="2"/>
      <w:numFmt w:val="bullet"/>
      <w:lvlText w:val="-"/>
      <w:lvlJc w:val="left"/>
      <w:pPr>
        <w:ind w:left="810" w:hanging="360"/>
      </w:pPr>
      <w:rPr>
        <w:rFonts w:ascii="Times New Roman" w:hAnsi="Times New Roman"/>
        <w:color w:val="auto"/>
        <w:sz w:val="28"/>
      </w:rPr>
    </w:lvl>
    <w:lvl w:ilvl="1">
      <w:start w:val="1"/>
      <w:numFmt w:val="bullet"/>
      <w:lvlText w:val="o"/>
      <w:lvlJc w:val="left"/>
      <w:pPr>
        <w:ind w:left="1530" w:hanging="360"/>
      </w:pPr>
      <w:rPr>
        <w:rFonts w:ascii="Courier New" w:hAnsi="Courier New"/>
      </w:rPr>
    </w:lvl>
    <w:lvl w:ilvl="2">
      <w:start w:val="1"/>
      <w:numFmt w:val="bullet"/>
      <w:lvlText w:val=""/>
      <w:lvlJc w:val="left"/>
      <w:pPr>
        <w:ind w:left="2250" w:hanging="360"/>
      </w:pPr>
      <w:rPr>
        <w:rFonts w:ascii="Wingdings" w:hAnsi="Wingdings"/>
      </w:rPr>
    </w:lvl>
    <w:lvl w:ilvl="3">
      <w:start w:val="1"/>
      <w:numFmt w:val="bullet"/>
      <w:lvlText w:val=""/>
      <w:lvlJc w:val="left"/>
      <w:pPr>
        <w:ind w:left="2970" w:hanging="360"/>
      </w:pPr>
      <w:rPr>
        <w:rFonts w:ascii="Symbol" w:hAnsi="Symbol"/>
      </w:rPr>
    </w:lvl>
    <w:lvl w:ilvl="4">
      <w:start w:val="1"/>
      <w:numFmt w:val="bullet"/>
      <w:lvlText w:val="o"/>
      <w:lvlJc w:val="left"/>
      <w:pPr>
        <w:ind w:left="3690" w:hanging="360"/>
      </w:pPr>
      <w:rPr>
        <w:rFonts w:ascii="Courier New" w:hAnsi="Courier New"/>
      </w:rPr>
    </w:lvl>
    <w:lvl w:ilvl="5">
      <w:start w:val="1"/>
      <w:numFmt w:val="bullet"/>
      <w:lvlText w:val=""/>
      <w:lvlJc w:val="left"/>
      <w:pPr>
        <w:ind w:left="4410" w:hanging="360"/>
      </w:pPr>
      <w:rPr>
        <w:rFonts w:ascii="Wingdings" w:hAnsi="Wingdings"/>
      </w:rPr>
    </w:lvl>
    <w:lvl w:ilvl="6">
      <w:start w:val="1"/>
      <w:numFmt w:val="bullet"/>
      <w:lvlText w:val=""/>
      <w:lvlJc w:val="left"/>
      <w:pPr>
        <w:ind w:left="5130" w:hanging="360"/>
      </w:pPr>
      <w:rPr>
        <w:rFonts w:ascii="Symbol" w:hAnsi="Symbol"/>
      </w:rPr>
    </w:lvl>
    <w:lvl w:ilvl="7">
      <w:start w:val="1"/>
      <w:numFmt w:val="bullet"/>
      <w:lvlText w:val="o"/>
      <w:lvlJc w:val="left"/>
      <w:pPr>
        <w:ind w:left="5850" w:hanging="360"/>
      </w:pPr>
      <w:rPr>
        <w:rFonts w:ascii="Courier New" w:hAnsi="Courier New"/>
      </w:rPr>
    </w:lvl>
    <w:lvl w:ilvl="8">
      <w:start w:val="1"/>
      <w:numFmt w:val="bullet"/>
      <w:lvlText w:val=""/>
      <w:lvlJc w:val="left"/>
      <w:pPr>
        <w:ind w:left="657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28</cp:revision>
  <dcterms:created xsi:type="dcterms:W3CDTF">2021-08-31T06:42:00Z</dcterms:created>
  <dcterms:modified xsi:type="dcterms:W3CDTF">2023-12-07T10:04:39Z</dcterms:modified>
</cp:coreProperties>
</file>