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522F" w14:textId="77777777" w:rsidR="004E61C7" w:rsidRDefault="004E356E"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p>
    <w:p w14:paraId="5C916CD2" w14:textId="6D032C26" w:rsidR="004208DA" w:rsidRPr="00456BA9" w:rsidRDefault="004E61C7"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permEnd w:id="0"/>
    </w:p>
    <w:p w14:paraId="6E2C2E53" w14:textId="690770F3" w:rsidR="007C582E" w:rsidRDefault="004E356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4E356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4E356E"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6FC263A0" w:rsidR="003530E1" w:rsidRPr="004208DA" w:rsidRDefault="004E356E"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27116C">
        <w:rPr>
          <w:rFonts w:ascii="Times New Roman" w:hAnsi="Times New Roman" w:cs="Times New Roman"/>
          <w:sz w:val="28"/>
          <w:szCs w:val="28"/>
          <w:lang w:val="ru-RU"/>
        </w:rPr>
        <w:t xml:space="preserve">21.12.2023 </w:t>
      </w:r>
      <w:r w:rsidR="0066012A">
        <w:rPr>
          <w:rFonts w:ascii="Times New Roman" w:hAnsi="Times New Roman" w:cs="Times New Roman"/>
          <w:sz w:val="28"/>
          <w:szCs w:val="28"/>
        </w:rPr>
        <w:t>№</w:t>
      </w:r>
      <w:r w:rsidR="0027116C">
        <w:rPr>
          <w:rFonts w:ascii="Times New Roman" w:hAnsi="Times New Roman" w:cs="Times New Roman"/>
          <w:sz w:val="28"/>
          <w:szCs w:val="28"/>
        </w:rPr>
        <w:t xml:space="preserve"> 14</w:t>
      </w:r>
      <w:r w:rsidR="00C46CEC">
        <w:rPr>
          <w:rFonts w:ascii="Times New Roman" w:hAnsi="Times New Roman" w:cs="Times New Roman"/>
          <w:sz w:val="28"/>
          <w:szCs w:val="28"/>
        </w:rPr>
        <w:t>5</w:t>
      </w:r>
      <w:r w:rsidR="0027116C">
        <w:rPr>
          <w:rFonts w:ascii="Times New Roman" w:hAnsi="Times New Roman" w:cs="Times New Roman"/>
          <w:sz w:val="28"/>
          <w:szCs w:val="28"/>
        </w:rPr>
        <w:t>2-61-08</w:t>
      </w:r>
    </w:p>
    <w:p w14:paraId="039188A2"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01336B06"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2C9D7330"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2F58C025"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7AD02A43" w14:textId="77777777" w:rsidR="004E61C7" w:rsidRPr="004E61C7" w:rsidRDefault="004E61C7" w:rsidP="004E61C7">
      <w:pPr>
        <w:spacing w:after="0" w:line="240" w:lineRule="auto"/>
        <w:rPr>
          <w:rFonts w:ascii="Times New Roman" w:eastAsia="Times New Roman" w:hAnsi="Times New Roman" w:cs="Times New Roman"/>
          <w:sz w:val="28"/>
          <w:szCs w:val="28"/>
          <w:lang w:eastAsia="ru-RU"/>
        </w:rPr>
      </w:pPr>
    </w:p>
    <w:p w14:paraId="1EF2343B"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4CCA7C3F"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0F0D5B4D"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0E74475B"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1DE2323F" w14:textId="77777777" w:rsidR="004E61C7" w:rsidRPr="004E61C7" w:rsidRDefault="004E61C7" w:rsidP="004E61C7">
      <w:pPr>
        <w:spacing w:after="0" w:line="240" w:lineRule="auto"/>
        <w:jc w:val="center"/>
        <w:rPr>
          <w:rFonts w:ascii="Times New Roman" w:eastAsia="Times New Roman" w:hAnsi="Times New Roman" w:cs="Times New Roman"/>
          <w:b/>
          <w:sz w:val="28"/>
          <w:szCs w:val="28"/>
          <w:lang w:eastAsia="ru-RU"/>
        </w:rPr>
      </w:pPr>
      <w:r w:rsidRPr="004E61C7">
        <w:rPr>
          <w:rFonts w:ascii="Times New Roman" w:eastAsia="Times New Roman" w:hAnsi="Times New Roman" w:cs="Times New Roman"/>
          <w:b/>
          <w:sz w:val="28"/>
          <w:szCs w:val="28"/>
          <w:lang w:eastAsia="ru-RU"/>
        </w:rPr>
        <w:t>Програма</w:t>
      </w:r>
    </w:p>
    <w:p w14:paraId="09AE599B" w14:textId="77777777" w:rsidR="004E61C7" w:rsidRPr="004E61C7" w:rsidRDefault="004E61C7" w:rsidP="004E61C7">
      <w:pPr>
        <w:spacing w:after="0" w:line="240" w:lineRule="auto"/>
        <w:jc w:val="center"/>
        <w:rPr>
          <w:rFonts w:ascii="Times New Roman" w:eastAsia="Times New Roman" w:hAnsi="Times New Roman" w:cs="Times New Roman"/>
          <w:b/>
          <w:sz w:val="28"/>
          <w:szCs w:val="28"/>
          <w:lang w:eastAsia="ru-RU"/>
        </w:rPr>
      </w:pPr>
      <w:r w:rsidRPr="004E61C7">
        <w:rPr>
          <w:rFonts w:ascii="Times New Roman" w:eastAsia="Times New Roman" w:hAnsi="Times New Roman" w:cs="Times New Roman"/>
          <w:b/>
          <w:sz w:val="28"/>
          <w:szCs w:val="28"/>
          <w:lang w:eastAsia="ru-RU"/>
        </w:rPr>
        <w:t xml:space="preserve"> </w:t>
      </w:r>
    </w:p>
    <w:p w14:paraId="00B04410" w14:textId="77777777" w:rsidR="004E61C7" w:rsidRPr="004E61C7" w:rsidRDefault="004E61C7" w:rsidP="004E61C7">
      <w:pPr>
        <w:spacing w:after="0"/>
        <w:jc w:val="center"/>
        <w:rPr>
          <w:rFonts w:ascii="Times New Roman" w:eastAsia="Times New Roman" w:hAnsi="Times New Roman" w:cs="Times New Roman"/>
          <w:b/>
          <w:sz w:val="28"/>
          <w:szCs w:val="28"/>
          <w:lang w:eastAsia="ru-RU"/>
        </w:rPr>
      </w:pPr>
      <w:r w:rsidRPr="004E61C7">
        <w:rPr>
          <w:rFonts w:ascii="Times New Roman" w:eastAsia="Times New Roman" w:hAnsi="Times New Roman" w:cs="Times New Roman"/>
          <w:b/>
          <w:sz w:val="28"/>
          <w:szCs w:val="28"/>
          <w:lang w:eastAsia="ru-RU"/>
        </w:rPr>
        <w:t xml:space="preserve">розроблення  містобудівної документації населених пунктів Броварської міської територіальної громади Броварського району Київської області </w:t>
      </w:r>
    </w:p>
    <w:p w14:paraId="052FC87F" w14:textId="77777777" w:rsidR="004E61C7" w:rsidRPr="004E61C7" w:rsidRDefault="004E61C7" w:rsidP="004E61C7">
      <w:pPr>
        <w:spacing w:after="0"/>
        <w:jc w:val="center"/>
        <w:rPr>
          <w:rFonts w:ascii="Times New Roman" w:eastAsia="Times New Roman" w:hAnsi="Times New Roman" w:cs="Times New Roman"/>
          <w:b/>
          <w:sz w:val="28"/>
          <w:szCs w:val="28"/>
          <w:lang w:eastAsia="ru-RU"/>
        </w:rPr>
      </w:pPr>
      <w:r w:rsidRPr="004E61C7">
        <w:rPr>
          <w:rFonts w:ascii="Times New Roman" w:eastAsia="Times New Roman" w:hAnsi="Times New Roman" w:cs="Times New Roman"/>
          <w:b/>
          <w:sz w:val="28"/>
          <w:szCs w:val="28"/>
          <w:lang w:eastAsia="ru-RU"/>
        </w:rPr>
        <w:t xml:space="preserve">на 2024-2028 роки  </w:t>
      </w:r>
    </w:p>
    <w:p w14:paraId="152B69D6" w14:textId="77777777" w:rsidR="004E61C7" w:rsidRPr="004E61C7" w:rsidRDefault="004E61C7" w:rsidP="004E61C7">
      <w:pPr>
        <w:spacing w:after="0"/>
        <w:jc w:val="center"/>
        <w:rPr>
          <w:rFonts w:ascii="Times New Roman" w:eastAsia="Times New Roman" w:hAnsi="Times New Roman" w:cs="Times New Roman"/>
          <w:b/>
          <w:sz w:val="28"/>
          <w:szCs w:val="28"/>
          <w:lang w:eastAsia="ru-RU"/>
        </w:rPr>
      </w:pPr>
    </w:p>
    <w:p w14:paraId="3D87F078" w14:textId="77777777" w:rsidR="004E61C7" w:rsidRPr="004E61C7" w:rsidRDefault="004E61C7" w:rsidP="004E61C7">
      <w:pPr>
        <w:spacing w:after="0" w:line="240" w:lineRule="auto"/>
        <w:jc w:val="center"/>
        <w:rPr>
          <w:rFonts w:ascii="Times New Roman" w:eastAsia="Times New Roman" w:hAnsi="Times New Roman" w:cs="Times New Roman"/>
          <w:sz w:val="28"/>
          <w:szCs w:val="28"/>
          <w:lang w:eastAsia="ru-RU"/>
        </w:rPr>
      </w:pPr>
    </w:p>
    <w:p w14:paraId="23210F3B"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p>
    <w:p w14:paraId="46521C1B" w14:textId="77777777" w:rsidR="004E61C7" w:rsidRPr="004E61C7" w:rsidRDefault="004E61C7" w:rsidP="004E61C7">
      <w:pPr>
        <w:spacing w:after="0" w:line="240" w:lineRule="auto"/>
        <w:jc w:val="right"/>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w:t>
      </w:r>
    </w:p>
    <w:p w14:paraId="570D1132" w14:textId="77777777" w:rsidR="004E61C7" w:rsidRPr="004E61C7" w:rsidRDefault="004E61C7" w:rsidP="004E61C7">
      <w:pPr>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br w:type="page"/>
      </w:r>
    </w:p>
    <w:p w14:paraId="2B599FC1" w14:textId="77777777" w:rsidR="004E61C7" w:rsidRPr="004E61C7" w:rsidRDefault="004E61C7" w:rsidP="004E61C7">
      <w:pPr>
        <w:spacing w:after="0" w:line="240" w:lineRule="auto"/>
        <w:jc w:val="center"/>
        <w:rPr>
          <w:rFonts w:ascii="Times New Roman" w:eastAsia="Times New Roman" w:hAnsi="Times New Roman" w:cs="Times New Roman"/>
          <w:b/>
          <w:sz w:val="28"/>
          <w:szCs w:val="28"/>
          <w:lang w:eastAsia="ru-RU"/>
        </w:rPr>
      </w:pPr>
      <w:r w:rsidRPr="004E61C7">
        <w:rPr>
          <w:rFonts w:ascii="Times New Roman" w:eastAsia="Times New Roman" w:hAnsi="Times New Roman" w:cs="Times New Roman"/>
          <w:b/>
          <w:sz w:val="28"/>
          <w:szCs w:val="28"/>
          <w:lang w:eastAsia="ru-RU"/>
        </w:rPr>
        <w:lastRenderedPageBreak/>
        <w:t xml:space="preserve">Програма розроблення містобудівної документації </w:t>
      </w:r>
    </w:p>
    <w:p w14:paraId="28527ADE" w14:textId="77777777" w:rsidR="004E61C7" w:rsidRPr="004E61C7" w:rsidRDefault="004E61C7" w:rsidP="004E61C7">
      <w:pPr>
        <w:spacing w:after="0" w:line="240" w:lineRule="auto"/>
        <w:jc w:val="center"/>
        <w:rPr>
          <w:rFonts w:ascii="Times New Roman" w:eastAsia="Times New Roman" w:hAnsi="Times New Roman" w:cs="Times New Roman"/>
          <w:b/>
          <w:sz w:val="28"/>
          <w:szCs w:val="28"/>
          <w:lang w:eastAsia="ru-RU"/>
        </w:rPr>
      </w:pPr>
      <w:r w:rsidRPr="004E61C7">
        <w:rPr>
          <w:rFonts w:ascii="Times New Roman" w:eastAsia="Times New Roman" w:hAnsi="Times New Roman" w:cs="Times New Roman"/>
          <w:b/>
          <w:sz w:val="28"/>
          <w:szCs w:val="28"/>
          <w:lang w:eastAsia="ru-RU"/>
        </w:rPr>
        <w:t>населених пунктів Броварської міської територіальної громади Броварського району Київської області на 2024 - 2028 роки</w:t>
      </w:r>
    </w:p>
    <w:p w14:paraId="7F40629F" w14:textId="77777777" w:rsidR="004E61C7" w:rsidRPr="004E61C7" w:rsidRDefault="004E61C7" w:rsidP="004E61C7">
      <w:pPr>
        <w:tabs>
          <w:tab w:val="left" w:pos="3390"/>
        </w:tabs>
        <w:spacing w:after="0" w:line="240" w:lineRule="auto"/>
        <w:jc w:val="center"/>
        <w:outlineLvl w:val="0"/>
        <w:rPr>
          <w:rFonts w:ascii="Times New Roman" w:eastAsia="Times New Roman" w:hAnsi="Times New Roman" w:cs="Times New Roman"/>
          <w:b/>
          <w:sz w:val="28"/>
          <w:szCs w:val="28"/>
          <w:lang w:eastAsia="ru-RU"/>
        </w:rPr>
      </w:pPr>
    </w:p>
    <w:p w14:paraId="64147501" w14:textId="77777777" w:rsidR="004E61C7" w:rsidRPr="004E61C7" w:rsidRDefault="004E61C7" w:rsidP="004E61C7">
      <w:pPr>
        <w:numPr>
          <w:ilvl w:val="0"/>
          <w:numId w:val="1"/>
        </w:numPr>
        <w:tabs>
          <w:tab w:val="left" w:pos="3390"/>
        </w:tabs>
        <w:spacing w:after="0" w:line="240" w:lineRule="auto"/>
        <w:jc w:val="center"/>
        <w:outlineLvl w:val="0"/>
        <w:rPr>
          <w:rFonts w:ascii="Times New Roman" w:eastAsia="Times New Roman" w:hAnsi="Times New Roman" w:cs="Times New Roman"/>
          <w:b/>
          <w:sz w:val="28"/>
          <w:szCs w:val="28"/>
          <w:lang w:eastAsia="ru-RU"/>
        </w:rPr>
      </w:pPr>
      <w:r w:rsidRPr="004E61C7">
        <w:rPr>
          <w:rFonts w:ascii="Times New Roman" w:eastAsia="Times New Roman" w:hAnsi="Times New Roman" w:cs="Times New Roman"/>
          <w:b/>
          <w:sz w:val="28"/>
          <w:szCs w:val="28"/>
          <w:lang w:eastAsia="ru-RU"/>
        </w:rPr>
        <w:t>Паспорт Програми</w:t>
      </w:r>
    </w:p>
    <w:p w14:paraId="7FD9A251"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p>
    <w:tbl>
      <w:tblPr>
        <w:tblW w:w="9720" w:type="dxa"/>
        <w:tblInd w:w="108" w:type="dxa"/>
        <w:tblLook w:val="04A0" w:firstRow="1" w:lastRow="0" w:firstColumn="1" w:lastColumn="0" w:noHBand="0" w:noVBand="1"/>
      </w:tblPr>
      <w:tblGrid>
        <w:gridCol w:w="3240"/>
        <w:gridCol w:w="6480"/>
      </w:tblGrid>
      <w:tr w:rsidR="004E61C7" w:rsidRPr="004E61C7" w14:paraId="7A8246CA" w14:textId="77777777" w:rsidTr="00651C4D">
        <w:trPr>
          <w:trHeight w:val="100"/>
        </w:trPr>
        <w:tc>
          <w:tcPr>
            <w:tcW w:w="3240" w:type="dxa"/>
          </w:tcPr>
          <w:p w14:paraId="5B350066"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Назва Програми:</w:t>
            </w:r>
          </w:p>
          <w:p w14:paraId="1B5D3661"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p>
          <w:p w14:paraId="61FBDB3D"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p>
        </w:tc>
        <w:tc>
          <w:tcPr>
            <w:tcW w:w="6480" w:type="dxa"/>
            <w:hideMark/>
          </w:tcPr>
          <w:p w14:paraId="16168F40"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w:t>
            </w:r>
          </w:p>
        </w:tc>
      </w:tr>
      <w:tr w:rsidR="004E61C7" w:rsidRPr="004E61C7" w14:paraId="459AEBD8" w14:textId="77777777" w:rsidTr="00651C4D">
        <w:trPr>
          <w:trHeight w:val="100"/>
        </w:trPr>
        <w:tc>
          <w:tcPr>
            <w:tcW w:w="3240" w:type="dxa"/>
            <w:hideMark/>
          </w:tcPr>
          <w:p w14:paraId="72E2AA97"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Підстава до розробки Програми:</w:t>
            </w:r>
          </w:p>
        </w:tc>
        <w:tc>
          <w:tcPr>
            <w:tcW w:w="6480" w:type="dxa"/>
            <w:hideMark/>
          </w:tcPr>
          <w:p w14:paraId="7CB762C1"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Закони України</w:t>
            </w:r>
            <w:r w:rsidRPr="004E61C7">
              <w:rPr>
                <w:rFonts w:ascii="Times New Roman" w:eastAsia="Times New Roman" w:hAnsi="Times New Roman" w:cs="Times New Roman"/>
                <w:spacing w:val="8"/>
                <w:sz w:val="28"/>
                <w:szCs w:val="28"/>
                <w:lang w:eastAsia="ru-RU"/>
              </w:rPr>
              <w:t xml:space="preserve"> </w:t>
            </w:r>
            <w:r w:rsidRPr="004E61C7">
              <w:rPr>
                <w:rFonts w:ascii="Times New Roman" w:eastAsia="Times New Roman" w:hAnsi="Times New Roman" w:cs="Times New Roman"/>
                <w:sz w:val="28"/>
                <w:szCs w:val="28"/>
                <w:lang w:eastAsia="ru-RU"/>
              </w:rPr>
              <w:t>«Про</w:t>
            </w:r>
            <w:r w:rsidRPr="004E61C7">
              <w:rPr>
                <w:rFonts w:ascii="Times New Roman" w:eastAsia="Times New Roman" w:hAnsi="Times New Roman" w:cs="Times New Roman"/>
                <w:spacing w:val="9"/>
                <w:sz w:val="28"/>
                <w:szCs w:val="28"/>
                <w:lang w:eastAsia="ru-RU"/>
              </w:rPr>
              <w:t xml:space="preserve"> </w:t>
            </w:r>
            <w:r w:rsidRPr="004E61C7">
              <w:rPr>
                <w:rFonts w:ascii="Times New Roman" w:eastAsia="Times New Roman" w:hAnsi="Times New Roman" w:cs="Times New Roman"/>
                <w:sz w:val="28"/>
                <w:szCs w:val="28"/>
                <w:lang w:eastAsia="ru-RU"/>
              </w:rPr>
              <w:t>регулювання</w:t>
            </w:r>
            <w:r w:rsidRPr="004E61C7">
              <w:rPr>
                <w:rFonts w:ascii="Times New Roman" w:eastAsia="Times New Roman" w:hAnsi="Times New Roman" w:cs="Times New Roman"/>
                <w:spacing w:val="1"/>
                <w:sz w:val="28"/>
                <w:szCs w:val="28"/>
                <w:lang w:eastAsia="ru-RU"/>
              </w:rPr>
              <w:t xml:space="preserve"> </w:t>
            </w:r>
            <w:r w:rsidRPr="004E61C7">
              <w:rPr>
                <w:rFonts w:ascii="Times New Roman" w:eastAsia="Times New Roman" w:hAnsi="Times New Roman" w:cs="Times New Roman"/>
                <w:sz w:val="28"/>
                <w:szCs w:val="28"/>
                <w:lang w:eastAsia="ru-RU"/>
              </w:rPr>
              <w:t>містобудівної д</w:t>
            </w:r>
            <w:r w:rsidRPr="004E61C7">
              <w:rPr>
                <w:rFonts w:ascii="Times New Roman" w:eastAsia="Times New Roman" w:hAnsi="Times New Roman" w:cs="Times New Roman"/>
                <w:spacing w:val="-1"/>
                <w:sz w:val="28"/>
                <w:szCs w:val="28"/>
                <w:lang w:eastAsia="ru-RU"/>
              </w:rPr>
              <w:t>і</w:t>
            </w:r>
            <w:r w:rsidRPr="004E61C7">
              <w:rPr>
                <w:rFonts w:ascii="Times New Roman" w:eastAsia="Times New Roman" w:hAnsi="Times New Roman" w:cs="Times New Roman"/>
                <w:sz w:val="28"/>
                <w:szCs w:val="28"/>
                <w:lang w:eastAsia="ru-RU"/>
              </w:rPr>
              <w:t>яльност</w:t>
            </w:r>
            <w:r w:rsidRPr="004E61C7">
              <w:rPr>
                <w:rFonts w:ascii="Times New Roman" w:eastAsia="Times New Roman" w:hAnsi="Times New Roman" w:cs="Times New Roman"/>
                <w:spacing w:val="1"/>
                <w:sz w:val="28"/>
                <w:szCs w:val="28"/>
                <w:lang w:eastAsia="ru-RU"/>
              </w:rPr>
              <w:t>і»</w:t>
            </w:r>
            <w:r w:rsidRPr="004E61C7">
              <w:rPr>
                <w:rFonts w:ascii="Times New Roman" w:eastAsia="Times New Roman" w:hAnsi="Times New Roman" w:cs="Times New Roman"/>
                <w:sz w:val="28"/>
                <w:szCs w:val="28"/>
                <w:lang w:eastAsia="ru-RU"/>
              </w:rPr>
              <w:t>,</w:t>
            </w:r>
            <w:r w:rsidRPr="004E61C7">
              <w:rPr>
                <w:rFonts w:ascii="Times New Roman" w:eastAsia="Times New Roman" w:hAnsi="Times New Roman" w:cs="Times New Roman"/>
                <w:spacing w:val="1"/>
                <w:sz w:val="28"/>
                <w:szCs w:val="28"/>
                <w:lang w:eastAsia="ru-RU"/>
              </w:rPr>
              <w:t xml:space="preserve"> «Про стратегічну екологічну оцінку», </w:t>
            </w:r>
            <w:r w:rsidRPr="004E61C7">
              <w:rPr>
                <w:rFonts w:ascii="Times New Roman" w:eastAsia="Times New Roman" w:hAnsi="Times New Roman" w:cs="Times New Roman"/>
                <w:sz w:val="28"/>
                <w:szCs w:val="28"/>
                <w:lang w:eastAsia="ru-RU"/>
              </w:rPr>
              <w:t>«Про основи містобудування», «Про архітектурну діяльність», «Про місцеве самоврядування в Україні».</w:t>
            </w:r>
          </w:p>
          <w:p w14:paraId="225488B7"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Цивільний кодекс України, Господарський кодекс України, Земельний кодекс України.</w:t>
            </w:r>
          </w:p>
          <w:p w14:paraId="200D9F09"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Постанова Кабінету Міністрів України від 01.09.2021 № 926 «Про затвердження Порядку розроблення, оновлення, внесення змін та затвердження містобудівної документації». </w:t>
            </w:r>
          </w:p>
        </w:tc>
      </w:tr>
      <w:tr w:rsidR="004E61C7" w:rsidRPr="004E61C7" w14:paraId="32493E02" w14:textId="77777777" w:rsidTr="00651C4D">
        <w:trPr>
          <w:trHeight w:val="902"/>
        </w:trPr>
        <w:tc>
          <w:tcPr>
            <w:tcW w:w="3240" w:type="dxa"/>
            <w:hideMark/>
          </w:tcPr>
          <w:p w14:paraId="6356938F"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Головний розробник</w:t>
            </w:r>
          </w:p>
          <w:p w14:paraId="0B67C9D7"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Програми:</w:t>
            </w:r>
          </w:p>
        </w:tc>
        <w:tc>
          <w:tcPr>
            <w:tcW w:w="6480" w:type="dxa"/>
            <w:hideMark/>
          </w:tcPr>
          <w:p w14:paraId="27B6FE5F"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Управління містобудування та архітектури виконавчого комітету Броварської міської ради Броварського району Київської області.  </w:t>
            </w:r>
          </w:p>
        </w:tc>
      </w:tr>
      <w:tr w:rsidR="004E61C7" w:rsidRPr="004E61C7" w14:paraId="4035773D" w14:textId="77777777" w:rsidTr="00651C4D">
        <w:trPr>
          <w:trHeight w:val="100"/>
        </w:trPr>
        <w:tc>
          <w:tcPr>
            <w:tcW w:w="3240" w:type="dxa"/>
            <w:hideMark/>
          </w:tcPr>
          <w:p w14:paraId="3EDC8EBF"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Головна мета Програми:</w:t>
            </w:r>
          </w:p>
        </w:tc>
        <w:tc>
          <w:tcPr>
            <w:tcW w:w="6480" w:type="dxa"/>
            <w:hideMark/>
          </w:tcPr>
          <w:p w14:paraId="2E5CFBD2" w14:textId="77777777" w:rsidR="004E61C7" w:rsidRPr="004E61C7" w:rsidRDefault="004E61C7" w:rsidP="004E61C7">
            <w:pPr>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Метою Програми є забезпечення територіальної громади містобудівною документацією шляхом розроблення та затвердження Комплексного плану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розвитку населених пунктів. </w:t>
            </w:r>
          </w:p>
        </w:tc>
      </w:tr>
      <w:tr w:rsidR="004E61C7" w:rsidRPr="004E61C7" w14:paraId="2AF42E7B" w14:textId="77777777" w:rsidTr="00651C4D">
        <w:trPr>
          <w:trHeight w:val="100"/>
        </w:trPr>
        <w:tc>
          <w:tcPr>
            <w:tcW w:w="3240" w:type="dxa"/>
            <w:hideMark/>
          </w:tcPr>
          <w:p w14:paraId="5E2C31BB"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Строки реалізації :</w:t>
            </w:r>
          </w:p>
        </w:tc>
        <w:tc>
          <w:tcPr>
            <w:tcW w:w="6480" w:type="dxa"/>
            <w:hideMark/>
          </w:tcPr>
          <w:p w14:paraId="607CB337"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2024– 2028 роки</w:t>
            </w:r>
          </w:p>
        </w:tc>
      </w:tr>
      <w:tr w:rsidR="004E61C7" w:rsidRPr="004E61C7" w14:paraId="5569603B" w14:textId="77777777" w:rsidTr="00651C4D">
        <w:trPr>
          <w:trHeight w:val="100"/>
        </w:trPr>
        <w:tc>
          <w:tcPr>
            <w:tcW w:w="3240" w:type="dxa"/>
            <w:hideMark/>
          </w:tcPr>
          <w:p w14:paraId="74A7F4EE"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Джерела фінансування:</w:t>
            </w:r>
          </w:p>
        </w:tc>
        <w:tc>
          <w:tcPr>
            <w:tcW w:w="6480" w:type="dxa"/>
            <w:hideMark/>
          </w:tcPr>
          <w:p w14:paraId="6A6C3CE7" w14:textId="77777777" w:rsidR="004E61C7" w:rsidRPr="004E61C7" w:rsidRDefault="004E61C7" w:rsidP="004E61C7">
            <w:pPr>
              <w:tabs>
                <w:tab w:val="left" w:pos="3390"/>
              </w:tabs>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Місцевий бюджет</w:t>
            </w:r>
          </w:p>
        </w:tc>
      </w:tr>
      <w:tr w:rsidR="004E61C7" w:rsidRPr="004E61C7" w14:paraId="14582B72" w14:textId="77777777" w:rsidTr="00651C4D">
        <w:trPr>
          <w:trHeight w:val="100"/>
        </w:trPr>
        <w:tc>
          <w:tcPr>
            <w:tcW w:w="3240" w:type="dxa"/>
            <w:hideMark/>
          </w:tcPr>
          <w:p w14:paraId="469D8A01"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Обсяг фінансування: </w:t>
            </w:r>
          </w:p>
        </w:tc>
        <w:tc>
          <w:tcPr>
            <w:tcW w:w="6480" w:type="dxa"/>
            <w:hideMark/>
          </w:tcPr>
          <w:p w14:paraId="24C428A6" w14:textId="77777777" w:rsidR="004E61C7" w:rsidRPr="004E61C7" w:rsidRDefault="004E61C7" w:rsidP="004E61C7">
            <w:pPr>
              <w:tabs>
                <w:tab w:val="center" w:pos="3132"/>
              </w:tabs>
              <w:spacing w:after="0" w:line="240" w:lineRule="auto"/>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26600 тис. грн.</w:t>
            </w:r>
          </w:p>
        </w:tc>
      </w:tr>
      <w:tr w:rsidR="004E61C7" w:rsidRPr="004E61C7" w14:paraId="08BF80E3" w14:textId="77777777" w:rsidTr="00651C4D">
        <w:trPr>
          <w:trHeight w:val="1041"/>
        </w:trPr>
        <w:tc>
          <w:tcPr>
            <w:tcW w:w="3240" w:type="dxa"/>
            <w:hideMark/>
          </w:tcPr>
          <w:p w14:paraId="15875E4D" w14:textId="77777777" w:rsidR="004E61C7" w:rsidRPr="004E61C7" w:rsidRDefault="004E61C7" w:rsidP="004E61C7">
            <w:pPr>
              <w:tabs>
                <w:tab w:val="left" w:pos="3390"/>
              </w:tabs>
              <w:spacing w:after="0"/>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Очікувані кінцеві результати реалізації Програми:</w:t>
            </w:r>
          </w:p>
        </w:tc>
        <w:tc>
          <w:tcPr>
            <w:tcW w:w="6480" w:type="dxa"/>
          </w:tcPr>
          <w:p w14:paraId="0539780F" w14:textId="77777777" w:rsidR="004E61C7" w:rsidRPr="004E61C7" w:rsidRDefault="004E61C7" w:rsidP="004E61C7">
            <w:pPr>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w:t>
            </w:r>
            <w:r w:rsidRPr="004E61C7">
              <w:rPr>
                <w:rFonts w:ascii="Times New Roman" w:eastAsia="Times New Roman" w:hAnsi="Times New Roman" w:cs="Times New Roman"/>
                <w:sz w:val="28"/>
                <w:szCs w:val="28"/>
                <w:lang w:eastAsia="ru-RU"/>
              </w:rPr>
              <w:lastRenderedPageBreak/>
              <w:t>збільшити темпи залучення і освоєння інвестицій та містобудівного освоєння території громади.</w:t>
            </w:r>
          </w:p>
        </w:tc>
      </w:tr>
    </w:tbl>
    <w:p w14:paraId="35C0491A" w14:textId="77777777" w:rsidR="004E61C7" w:rsidRPr="004E61C7" w:rsidRDefault="004E61C7" w:rsidP="004E61C7">
      <w:pPr>
        <w:rPr>
          <w:rFonts w:ascii="Times New Roman" w:eastAsia="Times New Roman" w:hAnsi="Times New Roman" w:cs="Times New Roman"/>
          <w:sz w:val="24"/>
          <w:szCs w:val="24"/>
          <w:lang w:eastAsia="ru-RU"/>
        </w:rPr>
      </w:pPr>
    </w:p>
    <w:p w14:paraId="2CC12C9C" w14:textId="77777777" w:rsidR="004E61C7" w:rsidRPr="004E61C7" w:rsidRDefault="004E61C7" w:rsidP="004E61C7">
      <w:pPr>
        <w:spacing w:after="120"/>
        <w:rPr>
          <w:rFonts w:ascii="Times New Roman" w:eastAsia="Times New Roman" w:hAnsi="Times New Roman" w:cs="Times New Roman"/>
          <w:sz w:val="24"/>
          <w:szCs w:val="24"/>
          <w:lang w:eastAsia="ru-RU"/>
        </w:rPr>
      </w:pPr>
      <w:r w:rsidRPr="004E61C7">
        <w:rPr>
          <w:rFonts w:ascii="Times New Roman" w:eastAsia="Times New Roman" w:hAnsi="Times New Roman" w:cs="Times New Roman"/>
          <w:sz w:val="24"/>
          <w:szCs w:val="24"/>
          <w:lang w:eastAsia="ru-RU"/>
        </w:rPr>
        <w:t xml:space="preserve">         </w:t>
      </w:r>
      <w:r w:rsidRPr="004E61C7">
        <w:rPr>
          <w:rFonts w:ascii="Times New Roman" w:eastAsia="Times New Roman" w:hAnsi="Times New Roman" w:cs="Times New Roman"/>
          <w:b/>
          <w:sz w:val="32"/>
          <w:szCs w:val="32"/>
          <w:lang w:eastAsia="ru-RU"/>
        </w:rPr>
        <w:t xml:space="preserve">І. </w:t>
      </w:r>
      <w:r w:rsidRPr="004E61C7">
        <w:rPr>
          <w:rFonts w:ascii="Times New Roman" w:eastAsia="Times New Roman" w:hAnsi="Times New Roman" w:cs="Times New Roman"/>
          <w:b/>
          <w:i/>
          <w:sz w:val="32"/>
          <w:szCs w:val="32"/>
          <w:lang w:eastAsia="ru-RU"/>
        </w:rPr>
        <w:t>Загальні положення, мета Програми</w:t>
      </w:r>
    </w:p>
    <w:p w14:paraId="09D91F10" w14:textId="77777777" w:rsidR="004E61C7" w:rsidRPr="004E61C7" w:rsidRDefault="004E61C7" w:rsidP="004E61C7">
      <w:pPr>
        <w:spacing w:after="12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(далі – Програма) створюється відповідно до основних Положень Конституції України, Цивільного кодексу України, Господарського кодексу України, Земельного кодексу України, Законів України: «Про регулювання містобудівної діяльності», «Про основи містобудування», «Про архітектурну діяльність», «Про землеустрій»,             «Про стратегічну екологічну оцінку», «Про місцеве самоврядування в Україні», інших законів України, актів Президента України, Кабінету Міністрів України та відповідних рішень Броварської міської ради Броварського району Київської області з метою забезпечення територіальної громади містобудівною документацією шляхом розроблення та затвердження Комплексного плану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її межами.</w:t>
      </w:r>
    </w:p>
    <w:p w14:paraId="698959BD" w14:textId="77777777" w:rsidR="004E61C7" w:rsidRPr="004E61C7" w:rsidRDefault="004E61C7" w:rsidP="004E61C7">
      <w:pPr>
        <w:spacing w:after="120" w:line="240" w:lineRule="auto"/>
        <w:jc w:val="both"/>
        <w:rPr>
          <w:rFonts w:ascii="Times New Roman" w:eastAsia="Times New Roman" w:hAnsi="Times New Roman" w:cs="Times New Roman"/>
          <w:b/>
          <w:i/>
          <w:sz w:val="32"/>
          <w:szCs w:val="32"/>
          <w:lang w:eastAsia="ru-RU"/>
        </w:rPr>
      </w:pPr>
      <w:r w:rsidRPr="004E61C7">
        <w:rPr>
          <w:rFonts w:ascii="Times New Roman" w:eastAsia="Times New Roman" w:hAnsi="Times New Roman" w:cs="Times New Roman"/>
          <w:b/>
          <w:sz w:val="32"/>
          <w:szCs w:val="32"/>
          <w:lang w:eastAsia="ru-RU"/>
        </w:rPr>
        <w:t xml:space="preserve">      ІІ. </w:t>
      </w:r>
      <w:r w:rsidRPr="004E61C7">
        <w:rPr>
          <w:rFonts w:ascii="Times New Roman" w:eastAsia="Times New Roman" w:hAnsi="Times New Roman" w:cs="Times New Roman"/>
          <w:b/>
          <w:i/>
          <w:sz w:val="32"/>
          <w:szCs w:val="32"/>
          <w:lang w:eastAsia="ru-RU"/>
        </w:rPr>
        <w:t>Перелік завдань і заходів Програми</w:t>
      </w:r>
    </w:p>
    <w:p w14:paraId="554498F3" w14:textId="77777777" w:rsidR="004E61C7" w:rsidRPr="004E61C7" w:rsidRDefault="004E61C7" w:rsidP="004E61C7">
      <w:pPr>
        <w:spacing w:after="0" w:line="240" w:lineRule="auto"/>
        <w:ind w:firstLine="539"/>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Основними завданнями і заходами на виконання Програми на постійній основі є:</w:t>
      </w:r>
    </w:p>
    <w:p w14:paraId="43AC94B1" w14:textId="77777777" w:rsidR="004E61C7" w:rsidRPr="004E61C7" w:rsidRDefault="004E61C7" w:rsidP="004E61C7">
      <w:pPr>
        <w:spacing w:after="0" w:line="240" w:lineRule="auto"/>
        <w:ind w:firstLine="539"/>
        <w:jc w:val="both"/>
        <w:rPr>
          <w:rFonts w:ascii="Times New Roman" w:eastAsia="Times New Roman" w:hAnsi="Times New Roman" w:cs="Times New Roman"/>
          <w:b/>
          <w:i/>
          <w:sz w:val="28"/>
          <w:szCs w:val="28"/>
          <w:lang w:eastAsia="ru-RU"/>
        </w:rPr>
      </w:pPr>
      <w:r w:rsidRPr="004E61C7">
        <w:rPr>
          <w:rFonts w:ascii="Times New Roman" w:eastAsia="Times New Roman" w:hAnsi="Times New Roman" w:cs="Times New Roman"/>
          <w:b/>
          <w:sz w:val="28"/>
          <w:szCs w:val="28"/>
          <w:lang w:eastAsia="ru-RU"/>
        </w:rPr>
        <w:t xml:space="preserve">1. </w:t>
      </w:r>
      <w:r w:rsidRPr="004E61C7">
        <w:rPr>
          <w:rFonts w:ascii="Times New Roman" w:eastAsia="Times New Roman" w:hAnsi="Times New Roman" w:cs="Times New Roman"/>
          <w:b/>
          <w:i/>
          <w:sz w:val="28"/>
          <w:szCs w:val="28"/>
          <w:lang w:eastAsia="ru-RU"/>
        </w:rPr>
        <w:t xml:space="preserve">Комплексний план просторового розвитку території Броварської міської територіальної громади Броварського району Київської області. </w:t>
      </w:r>
    </w:p>
    <w:p w14:paraId="4ED13227"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Згідно із статтею 16</w:t>
      </w:r>
      <w:r w:rsidRPr="004E61C7">
        <w:rPr>
          <w:rFonts w:ascii="Times New Roman" w:eastAsia="Times New Roman" w:hAnsi="Times New Roman" w:cs="Times New Roman"/>
          <w:sz w:val="28"/>
          <w:szCs w:val="28"/>
          <w:vertAlign w:val="superscript"/>
          <w:lang w:eastAsia="ru-RU"/>
        </w:rPr>
        <w:t>1</w:t>
      </w:r>
      <w:r w:rsidRPr="004E61C7">
        <w:rPr>
          <w:rFonts w:ascii="Times New Roman" w:eastAsia="Times New Roman" w:hAnsi="Times New Roman" w:cs="Times New Roman"/>
          <w:sz w:val="28"/>
          <w:szCs w:val="28"/>
          <w:lang w:eastAsia="ru-RU"/>
        </w:rPr>
        <w:t xml:space="preserve"> Закону України «Про регулювання містобудівної діяльності» впроваджено новий вид містобудівної документації – комплексний план просторового розвитку території територіальної громади є  містобудівною документацією, яка розробляється на всю територію територіальної громади.     </w:t>
      </w:r>
    </w:p>
    <w:p w14:paraId="4A7DD291"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Комплексний план розробляється та затверджується з метою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перспективи розвитку територіальної громади. </w:t>
      </w:r>
    </w:p>
    <w:p w14:paraId="5803DAB1"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Комплексний план включає планувальні рішення щодо перспективного використання всієї території територіальної громади, а також:</w:t>
      </w:r>
    </w:p>
    <w:p w14:paraId="26E9A639" w14:textId="77777777" w:rsidR="004E61C7" w:rsidRPr="004E61C7" w:rsidRDefault="004E61C7" w:rsidP="004E61C7">
      <w:pPr>
        <w:numPr>
          <w:ilvl w:val="0"/>
          <w:numId w:val="3"/>
        </w:numPr>
        <w:spacing w:after="0" w:line="240" w:lineRule="auto"/>
        <w:ind w:hanging="333"/>
        <w:contextualSpacing/>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Генеральний план населеного пункту – міста Бровари, як адміністративного центру територіальної громади; </w:t>
      </w:r>
    </w:p>
    <w:p w14:paraId="6C9A9E17" w14:textId="77777777" w:rsidR="004E61C7" w:rsidRPr="004E61C7" w:rsidRDefault="004E61C7" w:rsidP="004E61C7">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lastRenderedPageBreak/>
        <w:t xml:space="preserve">Генеральні плани населених пунктів сіл Княжичі, Требухів, Переможець та детальні  плани території у межах Броварської міської територіальної громади, затверджені до прийняття комплексного плану. 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    </w:t>
      </w:r>
    </w:p>
    <w:p w14:paraId="02AFB9D7" w14:textId="77777777" w:rsidR="004E61C7" w:rsidRPr="004E61C7" w:rsidRDefault="004E61C7" w:rsidP="004E61C7">
      <w:pPr>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w:t>
      </w:r>
      <w:r w:rsidRPr="004E61C7">
        <w:rPr>
          <w:rFonts w:ascii="Times New Roman" w:eastAsia="Times New Roman" w:hAnsi="Times New Roman" w:cs="Times New Roman"/>
          <w:color w:val="000000"/>
          <w:sz w:val="28"/>
          <w:szCs w:val="28"/>
          <w:lang w:eastAsia="ru-RU"/>
        </w:rPr>
        <w:t>Відповідно до частини 4 статті 2 Закону України «Про регулювання містобудівної діяльності» містобудівна документація на місцевому рівні, підлягає стратегічній екологічній оцінці в порядку, встановленому </w:t>
      </w:r>
      <w:hyperlink r:id="rId8" w:anchor="n2" w:tgtFrame="_blank" w:history="1">
        <w:r w:rsidRPr="004E61C7">
          <w:rPr>
            <w:rFonts w:ascii="Times New Roman" w:eastAsia="Times New Roman" w:hAnsi="Times New Roman" w:cs="Times New Roman"/>
            <w:color w:val="000000"/>
            <w:sz w:val="28"/>
            <w:szCs w:val="28"/>
            <w:lang w:eastAsia="ru-RU"/>
          </w:rPr>
          <w:t>Законом України</w:t>
        </w:r>
      </w:hyperlink>
      <w:r w:rsidRPr="004E61C7">
        <w:rPr>
          <w:rFonts w:ascii="Times New Roman" w:eastAsia="Times New Roman" w:hAnsi="Times New Roman" w:cs="Times New Roman"/>
          <w:color w:val="000000"/>
          <w:sz w:val="28"/>
          <w:szCs w:val="28"/>
          <w:lang w:eastAsia="ru-RU"/>
        </w:rPr>
        <w:t> «Про стратегічну екологічну оцінку».</w:t>
      </w:r>
    </w:p>
    <w:p w14:paraId="2A792CB9"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Згідно із Законом України «Про регулювання містобудівної діяльності» Генеральний план є головною містобудівною документацією, яка визначає напрями та параметри розвитку, планування і забудови території міста.</w:t>
      </w:r>
    </w:p>
    <w:p w14:paraId="05B570DB"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val="ru-RU" w:eastAsia="ru-RU"/>
        </w:rPr>
      </w:pPr>
      <w:r w:rsidRPr="004E61C7">
        <w:rPr>
          <w:rFonts w:ascii="Times New Roman" w:eastAsia="Times New Roman" w:hAnsi="Times New Roman" w:cs="Times New Roman"/>
          <w:sz w:val="28"/>
          <w:szCs w:val="28"/>
          <w:lang w:eastAsia="ru-RU"/>
        </w:rPr>
        <w:t xml:space="preserve">Діючий Генеральний план міста був розроблений інститутом «Діпромісто» і затверджений рішенням Броварської міської ради у 1999 році. </w:t>
      </w:r>
    </w:p>
    <w:p w14:paraId="1CB73C28" w14:textId="77777777" w:rsidR="004E61C7" w:rsidRPr="004E61C7" w:rsidRDefault="004E61C7" w:rsidP="004E61C7">
      <w:pPr>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Розробка проекту Генерального плану м. Бровари здійснювалася в нових межах міста, встановлених Верховною Радою України у 1998 р. (територія   3400 га).</w:t>
      </w:r>
    </w:p>
    <w:p w14:paraId="3C8B7FA8"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Одним із головних питань, що виникає при постійному збільшенні чисельності населення міста за рахунок міграції є створення нових  робочих місць (орієнтовано 80 - 90 тис.).</w:t>
      </w:r>
    </w:p>
    <w:p w14:paraId="4EAD218D"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Таким чином при внесенні змін до Генерального плану міста необхідно передбачити резервні території для розміщення об’єктів комерційної діяльності.</w:t>
      </w:r>
    </w:p>
    <w:p w14:paraId="62ED1009"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Внесення змін до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14:paraId="3B8D261A"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Таким чином, на сьогодні питання внесення змін до Генерального плану міста в складі Комплексного плану просторового розвитку територіальної громади є актуальним завданням для здійснення державної містобудівної політики. </w:t>
      </w:r>
    </w:p>
    <w:p w14:paraId="30FB7E73"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Містобудівна документація на території сіл Княжичі, Требухів та Переможець колишньої Требухівської сільської ради потребують наявності оновленої містобудівної документації. </w:t>
      </w:r>
    </w:p>
    <w:p w14:paraId="3B2ED4CC"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Діючий Генеральний план села Княжичі, затверджений в 2013 році не відповідає переліку пріоритетів та дійсним параметрам розвитку, планування і забудови території, що в свою чергу обумовлюють перегляд параметрів забудови окремих територій, розвитку соціальної та інженерно-транспортної інфраструктури населеного пункту.</w:t>
      </w:r>
    </w:p>
    <w:p w14:paraId="0EA679D8"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Генеральний план села Требухів, на підставі якого здійснюється вся містобудівна діяльність, затверджений в 1975 році і є застарілим та не відповідає вимогам містобудівного законодавства. Генеральний план села Переможець відсутній взагалі. Розроблення генеральних планів населених </w:t>
      </w:r>
      <w:r w:rsidRPr="004E61C7">
        <w:rPr>
          <w:rFonts w:ascii="Times New Roman" w:eastAsia="Times New Roman" w:hAnsi="Times New Roman" w:cs="Times New Roman"/>
          <w:sz w:val="28"/>
          <w:szCs w:val="28"/>
          <w:lang w:eastAsia="ru-RU"/>
        </w:rPr>
        <w:lastRenderedPageBreak/>
        <w:t>пунктів Требухів та Переможець потребує довгострокової стратегії планування та забудови території сіл.</w:t>
      </w:r>
    </w:p>
    <w:p w14:paraId="239CFDE1" w14:textId="77777777" w:rsidR="004E61C7" w:rsidRPr="004E61C7" w:rsidRDefault="004E61C7" w:rsidP="004E61C7">
      <w:pPr>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В  складі Комплексного плану просторового розвитку території  будуть розроблені планувальні рішення щодо перспективного використання всієї території територіальної громади.  </w:t>
      </w:r>
    </w:p>
    <w:p w14:paraId="58C4733C" w14:textId="77777777" w:rsidR="004E61C7" w:rsidRPr="004E61C7" w:rsidRDefault="004E61C7" w:rsidP="004E61C7">
      <w:pPr>
        <w:spacing w:before="120" w:after="0" w:line="240" w:lineRule="auto"/>
        <w:ind w:left="539"/>
        <w:contextualSpacing/>
        <w:jc w:val="both"/>
        <w:rPr>
          <w:rFonts w:ascii="Times New Roman" w:eastAsia="Times New Roman" w:hAnsi="Times New Roman" w:cs="Times New Roman"/>
          <w:b/>
          <w:i/>
          <w:sz w:val="28"/>
          <w:szCs w:val="28"/>
          <w:lang w:eastAsia="ru-RU"/>
        </w:rPr>
      </w:pPr>
      <w:r w:rsidRPr="004E61C7">
        <w:rPr>
          <w:rFonts w:ascii="Times New Roman" w:eastAsia="Times New Roman" w:hAnsi="Times New Roman" w:cs="Times New Roman"/>
          <w:b/>
          <w:i/>
          <w:sz w:val="28"/>
          <w:szCs w:val="28"/>
          <w:lang w:eastAsia="ru-RU"/>
        </w:rPr>
        <w:t xml:space="preserve"> 2. Детальні плани територій та внесення змін. </w:t>
      </w:r>
    </w:p>
    <w:p w14:paraId="03859E1E" w14:textId="77777777" w:rsidR="004E61C7" w:rsidRPr="004E61C7" w:rsidRDefault="004E61C7" w:rsidP="004E61C7">
      <w:pPr>
        <w:spacing w:before="120"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Відповідно до статті 19 Закону України «Про регулювання містобудівної діяльності» 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w:t>
      </w:r>
    </w:p>
    <w:p w14:paraId="380F85CB" w14:textId="77777777" w:rsidR="004E61C7" w:rsidRPr="004E61C7" w:rsidRDefault="004E61C7" w:rsidP="004E61C7">
      <w:pPr>
        <w:spacing w:after="0" w:line="240" w:lineRule="auto"/>
        <w:ind w:firstLine="567"/>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На виконання статті 24 Закону України «Про регулювання містобудівної діяльності», яка регулює особливості регулювання земельних відносин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без наявності яких неможлива передача (надання) земельних ділянок із земель комунальної власності у власність чи користування фізичним чи юридичним особам для містобудівних потреб.</w:t>
      </w:r>
    </w:p>
    <w:p w14:paraId="468C8C9F" w14:textId="77777777" w:rsidR="004E61C7" w:rsidRPr="004E61C7" w:rsidRDefault="004E61C7" w:rsidP="004E61C7">
      <w:pPr>
        <w:spacing w:after="120" w:line="240" w:lineRule="auto"/>
        <w:ind w:firstLine="567"/>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color w:val="000000"/>
          <w:sz w:val="28"/>
          <w:szCs w:val="28"/>
          <w:lang w:eastAsia="ru-RU"/>
        </w:rPr>
        <w:t>Відповідно до частини 4 статті 2, частини 1 статті 19 Закону України                           «Про регулювання містобудівної діяльності» детальний план території, як містобудівна документація на місцевому рівні, підлягає стратегічній екологічній оцінці в порядку, встановленому </w:t>
      </w:r>
      <w:hyperlink r:id="rId9" w:anchor="n2" w:tgtFrame="_blank" w:history="1">
        <w:r w:rsidRPr="004E61C7">
          <w:rPr>
            <w:rFonts w:ascii="Times New Roman" w:eastAsia="Times New Roman" w:hAnsi="Times New Roman" w:cs="Times New Roman"/>
            <w:color w:val="000000"/>
            <w:sz w:val="28"/>
            <w:szCs w:val="28"/>
            <w:lang w:eastAsia="ru-RU"/>
          </w:rPr>
          <w:t>Законом України</w:t>
        </w:r>
      </w:hyperlink>
      <w:r w:rsidRPr="004E61C7">
        <w:rPr>
          <w:rFonts w:ascii="Times New Roman" w:eastAsia="Times New Roman" w:hAnsi="Times New Roman" w:cs="Times New Roman"/>
          <w:color w:val="000000"/>
          <w:sz w:val="28"/>
          <w:szCs w:val="28"/>
          <w:lang w:eastAsia="ru-RU"/>
        </w:rPr>
        <w:t> «Про стратегічну екологічну оцінку».</w:t>
      </w:r>
      <w:r w:rsidRPr="004E61C7">
        <w:rPr>
          <w:rFonts w:ascii="Times New Roman" w:eastAsia="Times New Roman" w:hAnsi="Times New Roman" w:cs="Times New Roman"/>
          <w:sz w:val="28"/>
          <w:szCs w:val="28"/>
          <w:lang w:eastAsia="ru-RU"/>
        </w:rPr>
        <w:t xml:space="preserve">   </w:t>
      </w:r>
    </w:p>
    <w:p w14:paraId="18FB7B5E" w14:textId="77777777" w:rsidR="004E61C7" w:rsidRPr="004E61C7" w:rsidRDefault="004E61C7" w:rsidP="004E61C7">
      <w:pPr>
        <w:spacing w:after="0" w:line="240" w:lineRule="auto"/>
        <w:ind w:left="539"/>
        <w:contextualSpacing/>
        <w:jc w:val="both"/>
        <w:rPr>
          <w:rFonts w:ascii="Times New Roman" w:eastAsia="Times New Roman" w:hAnsi="Times New Roman" w:cs="Times New Roman"/>
          <w:b/>
          <w:i/>
          <w:sz w:val="28"/>
          <w:szCs w:val="28"/>
          <w:lang w:eastAsia="ru-RU"/>
        </w:rPr>
      </w:pPr>
      <w:r w:rsidRPr="004E61C7">
        <w:rPr>
          <w:rFonts w:ascii="Times New Roman" w:eastAsia="Times New Roman" w:hAnsi="Times New Roman" w:cs="Times New Roman"/>
          <w:b/>
          <w:i/>
          <w:sz w:val="28"/>
          <w:szCs w:val="28"/>
          <w:lang w:eastAsia="ru-RU"/>
        </w:rPr>
        <w:t>3. Виконання топо-геодезичних робіт на території територіальної громади  - оновлення топографічної зйомки М 1:2000.</w:t>
      </w:r>
    </w:p>
    <w:p w14:paraId="02B88331"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Відповідно до статті 16 Закону України «Про регулювання містобудівної діяльності» містобудівна документація на місцевому рівні розробляється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w:t>
      </w:r>
    </w:p>
    <w:p w14:paraId="7B8DB18F" w14:textId="77777777" w:rsidR="004E61C7" w:rsidRPr="004E61C7" w:rsidRDefault="004E61C7" w:rsidP="004E61C7">
      <w:pPr>
        <w:spacing w:before="120" w:after="0" w:line="240" w:lineRule="auto"/>
        <w:ind w:firstLine="567"/>
        <w:jc w:val="both"/>
        <w:rPr>
          <w:rFonts w:ascii="Times New Roman" w:eastAsia="Times New Roman" w:hAnsi="Times New Roman" w:cs="Times New Roman"/>
          <w:b/>
          <w:i/>
          <w:sz w:val="28"/>
          <w:szCs w:val="28"/>
          <w:lang w:eastAsia="ru-RU"/>
        </w:rPr>
      </w:pPr>
      <w:r w:rsidRPr="004E61C7">
        <w:rPr>
          <w:rFonts w:ascii="Times New Roman" w:eastAsia="Times New Roman" w:hAnsi="Times New Roman" w:cs="Times New Roman"/>
          <w:b/>
          <w:i/>
          <w:sz w:val="28"/>
          <w:szCs w:val="28"/>
          <w:lang w:eastAsia="ru-RU"/>
        </w:rPr>
        <w:t>4. Експертиза, рецензії, висновки, моніторинг.</w:t>
      </w:r>
    </w:p>
    <w:p w14:paraId="05E1B517" w14:textId="77777777" w:rsidR="004E61C7" w:rsidRPr="004E61C7" w:rsidRDefault="004E61C7" w:rsidP="004E61C7">
      <w:pPr>
        <w:spacing w:after="0" w:line="240" w:lineRule="auto"/>
        <w:ind w:firstLine="567"/>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На підставі наказів Міністерства регіонального розвитку та житлово-комунального господарства України від 25.05.2011 № 548 «Про затвердження Порядку проведення експертизи містобудівної документації», від 07.07.2011    № 108 «Про затвердження Типового положення про архітектурно-містобудівні ради» передбачена необхідність проведення експертизи комплексного плану просторового розвитку, генеральних планів населених пунктів та отримання рецензій проектних організацій і висновків державних органів. </w:t>
      </w:r>
    </w:p>
    <w:p w14:paraId="3EECDA65" w14:textId="77777777" w:rsidR="004E61C7" w:rsidRPr="004E61C7" w:rsidRDefault="004E61C7" w:rsidP="004E61C7">
      <w:pPr>
        <w:spacing w:after="0" w:line="240" w:lineRule="auto"/>
        <w:ind w:firstLine="567"/>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Відповідно до постанови Кабінету Міністрів України від 01.09.2021 № 926 «Про затвердження Порядку розроблення, оновлення, внесення змін та </w:t>
      </w:r>
      <w:r w:rsidRPr="004E61C7">
        <w:rPr>
          <w:rFonts w:ascii="Times New Roman" w:eastAsia="Times New Roman" w:hAnsi="Times New Roman" w:cs="Times New Roman"/>
          <w:sz w:val="28"/>
          <w:szCs w:val="28"/>
          <w:lang w:eastAsia="ru-RU"/>
        </w:rPr>
        <w:lastRenderedPageBreak/>
        <w:t xml:space="preserve">затвердження містобудівної документації» необхідність та параметри внесення змін до містобудівної документації обґрунтовуються на підставі містобудівного моніторингу. </w:t>
      </w:r>
    </w:p>
    <w:p w14:paraId="1F832085" w14:textId="77777777" w:rsidR="004E61C7" w:rsidRPr="004E61C7" w:rsidRDefault="004E61C7" w:rsidP="004E61C7">
      <w:pPr>
        <w:spacing w:before="120" w:after="0" w:line="240" w:lineRule="auto"/>
        <w:ind w:firstLine="567"/>
        <w:jc w:val="both"/>
        <w:rPr>
          <w:rFonts w:ascii="Times New Roman" w:eastAsia="Times New Roman" w:hAnsi="Times New Roman" w:cs="Times New Roman"/>
          <w:b/>
          <w:i/>
          <w:sz w:val="28"/>
          <w:szCs w:val="28"/>
          <w:lang w:eastAsia="ru-RU"/>
        </w:rPr>
      </w:pPr>
      <w:r w:rsidRPr="004E61C7">
        <w:rPr>
          <w:rFonts w:ascii="Times New Roman" w:eastAsia="Times New Roman" w:hAnsi="Times New Roman" w:cs="Times New Roman"/>
          <w:b/>
          <w:i/>
          <w:sz w:val="28"/>
          <w:szCs w:val="28"/>
          <w:lang w:eastAsia="ru-RU"/>
        </w:rPr>
        <w:t>5. Друкування оголошень, повідомлень через медіа.</w:t>
      </w:r>
    </w:p>
    <w:p w14:paraId="04836144" w14:textId="77777777" w:rsidR="004E61C7" w:rsidRPr="004E61C7" w:rsidRDefault="004E61C7" w:rsidP="004E61C7">
      <w:pPr>
        <w:spacing w:after="0" w:line="240" w:lineRule="auto"/>
        <w:ind w:firstLine="567"/>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Відповідно до статей 17 та 21 Закону України «Про регулювання містобудівної діяльності»,  Порядку розроблення, оновлення, внесення змін та затвердження містобудівної документації, затвердженому постановою Кабінету Міністрів України від 01.09.2021 № 926, замовники містобудівної документації оприлюднюють прийняті рішення щодо розроблення проектів містобудівної документації, результати розгляду пропозицій громадськості до проектів містобудівної документації шляхом опублікування таких рішень через медіа на всю містобудівну документацію на місцевому рівні. </w:t>
      </w:r>
    </w:p>
    <w:p w14:paraId="3F37241A" w14:textId="77777777" w:rsidR="004E61C7" w:rsidRPr="004E61C7" w:rsidRDefault="004E61C7" w:rsidP="004E61C7">
      <w:pPr>
        <w:spacing w:before="120" w:after="0" w:line="240" w:lineRule="auto"/>
        <w:jc w:val="both"/>
        <w:rPr>
          <w:rFonts w:ascii="Times New Roman" w:eastAsia="Times New Roman" w:hAnsi="Times New Roman" w:cs="Times New Roman"/>
          <w:b/>
          <w:i/>
          <w:sz w:val="32"/>
          <w:szCs w:val="32"/>
          <w:lang w:eastAsia="ru-RU"/>
        </w:rPr>
      </w:pPr>
      <w:r w:rsidRPr="004E61C7">
        <w:rPr>
          <w:rFonts w:ascii="Times New Roman" w:eastAsia="Times New Roman" w:hAnsi="Times New Roman" w:cs="Times New Roman"/>
          <w:b/>
          <w:sz w:val="32"/>
          <w:szCs w:val="32"/>
          <w:lang w:eastAsia="ru-RU"/>
        </w:rPr>
        <w:t xml:space="preserve">      ІІІ.</w:t>
      </w:r>
      <w:r w:rsidRPr="004E61C7">
        <w:rPr>
          <w:rFonts w:ascii="Times New Roman" w:eastAsia="Times New Roman" w:hAnsi="Times New Roman" w:cs="Times New Roman"/>
          <w:b/>
          <w:i/>
          <w:sz w:val="32"/>
          <w:szCs w:val="32"/>
          <w:lang w:eastAsia="ru-RU"/>
        </w:rPr>
        <w:t xml:space="preserve"> Основні результати та наслідки виконання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w:t>
      </w:r>
    </w:p>
    <w:p w14:paraId="4170CE57" w14:textId="77777777" w:rsidR="004E61C7" w:rsidRPr="004E61C7" w:rsidRDefault="004E61C7" w:rsidP="004E61C7">
      <w:pPr>
        <w:spacing w:before="120" w:after="0" w:line="240" w:lineRule="auto"/>
        <w:ind w:firstLine="539"/>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За результатами виконання Програми будуть визначені принципові рішення щодо планування, забудови та іншого використання території              територіальної громади та її найбільш інвестиційно-привабливих районів з метою створення повноцінного життєвого середовища, забезпечення дотримання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14:paraId="1FA8B1BB" w14:textId="77777777" w:rsidR="004E61C7" w:rsidRPr="004E61C7" w:rsidRDefault="004E61C7" w:rsidP="004E61C7">
      <w:pPr>
        <w:spacing w:after="0" w:line="240" w:lineRule="auto"/>
        <w:ind w:firstLine="539"/>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збільшити темпи залучення і освоєння інвестицій та містобудівного освоєння територій                   Броварської міської територіальної громади.</w:t>
      </w:r>
    </w:p>
    <w:p w14:paraId="25B70969" w14:textId="77777777" w:rsidR="004E61C7" w:rsidRPr="004E61C7" w:rsidRDefault="004E61C7" w:rsidP="004E61C7">
      <w:pPr>
        <w:spacing w:before="120" w:after="0" w:line="240" w:lineRule="auto"/>
        <w:ind w:firstLine="539"/>
        <w:jc w:val="both"/>
        <w:rPr>
          <w:rFonts w:ascii="Times New Roman" w:eastAsia="Times New Roman" w:hAnsi="Times New Roman" w:cs="Times New Roman"/>
          <w:b/>
          <w:i/>
          <w:sz w:val="32"/>
          <w:szCs w:val="32"/>
          <w:lang w:eastAsia="ru-RU"/>
        </w:rPr>
      </w:pPr>
      <w:r w:rsidRPr="004E61C7">
        <w:rPr>
          <w:rFonts w:ascii="Times New Roman" w:eastAsia="Times New Roman" w:hAnsi="Times New Roman" w:cs="Times New Roman"/>
          <w:b/>
          <w:sz w:val="32"/>
          <w:szCs w:val="32"/>
          <w:lang w:eastAsia="ru-RU"/>
        </w:rPr>
        <w:t>І</w:t>
      </w:r>
      <w:r w:rsidRPr="004E61C7">
        <w:rPr>
          <w:rFonts w:ascii="Times New Roman" w:eastAsia="Times New Roman" w:hAnsi="Times New Roman" w:cs="Times New Roman"/>
          <w:b/>
          <w:sz w:val="32"/>
          <w:szCs w:val="32"/>
          <w:lang w:val="en-US" w:eastAsia="ru-RU"/>
        </w:rPr>
        <w:t>V</w:t>
      </w:r>
      <w:r w:rsidRPr="004E61C7">
        <w:rPr>
          <w:rFonts w:ascii="Times New Roman" w:eastAsia="Times New Roman" w:hAnsi="Times New Roman" w:cs="Times New Roman"/>
          <w:b/>
          <w:sz w:val="32"/>
          <w:szCs w:val="32"/>
          <w:lang w:eastAsia="ru-RU"/>
        </w:rPr>
        <w:t xml:space="preserve">. </w:t>
      </w:r>
      <w:r w:rsidRPr="004E61C7">
        <w:rPr>
          <w:rFonts w:ascii="Times New Roman" w:eastAsia="Times New Roman" w:hAnsi="Times New Roman" w:cs="Times New Roman"/>
          <w:b/>
          <w:i/>
          <w:sz w:val="32"/>
          <w:szCs w:val="32"/>
          <w:lang w:eastAsia="ru-RU"/>
        </w:rPr>
        <w:t>Основні цільові групи:</w:t>
      </w:r>
    </w:p>
    <w:p w14:paraId="79F0B6A4" w14:textId="77777777" w:rsidR="004E61C7" w:rsidRPr="004E61C7" w:rsidRDefault="004E61C7" w:rsidP="004E61C7">
      <w:pPr>
        <w:spacing w:before="120"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1. Управління містобудування та архітектури виконавчого комітету Броварської міської ради Броварського району Київської області.</w:t>
      </w:r>
    </w:p>
    <w:p w14:paraId="229BA5F2"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2. Виконавчі органи Броварської міської ради Броварського району Київської області та її виконавчий комітет.</w:t>
      </w:r>
    </w:p>
    <w:p w14:paraId="4839EBD6" w14:textId="77777777" w:rsidR="004E61C7" w:rsidRPr="004E61C7" w:rsidRDefault="004E61C7" w:rsidP="004E61C7">
      <w:pPr>
        <w:spacing w:after="0" w:line="240" w:lineRule="auto"/>
        <w:ind w:firstLine="539"/>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3. Забудовники об’єктів містобудування.</w:t>
      </w:r>
    </w:p>
    <w:p w14:paraId="7119500C" w14:textId="77777777" w:rsidR="004E61C7" w:rsidRPr="004E61C7" w:rsidRDefault="004E61C7" w:rsidP="004E61C7">
      <w:pPr>
        <w:spacing w:after="0" w:line="240" w:lineRule="auto"/>
        <w:ind w:firstLine="539"/>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4. Потенційні інвестори.</w:t>
      </w:r>
    </w:p>
    <w:p w14:paraId="7320DE5B" w14:textId="77777777" w:rsidR="004E61C7" w:rsidRPr="004E61C7" w:rsidRDefault="004E61C7" w:rsidP="004E61C7">
      <w:pPr>
        <w:spacing w:before="120" w:after="0" w:line="240" w:lineRule="auto"/>
        <w:ind w:firstLine="539"/>
        <w:jc w:val="both"/>
        <w:rPr>
          <w:rFonts w:ascii="Times New Roman" w:eastAsia="Times New Roman" w:hAnsi="Times New Roman" w:cs="Times New Roman"/>
          <w:b/>
          <w:i/>
          <w:sz w:val="32"/>
          <w:szCs w:val="32"/>
          <w:lang w:eastAsia="ru-RU"/>
        </w:rPr>
      </w:pPr>
      <w:r w:rsidRPr="004E61C7">
        <w:rPr>
          <w:rFonts w:ascii="Times New Roman" w:eastAsia="Times New Roman" w:hAnsi="Times New Roman" w:cs="Times New Roman"/>
          <w:b/>
          <w:sz w:val="32"/>
          <w:szCs w:val="32"/>
          <w:lang w:val="en-US" w:eastAsia="ru-RU"/>
        </w:rPr>
        <w:lastRenderedPageBreak/>
        <w:t>V</w:t>
      </w:r>
      <w:r w:rsidRPr="004E61C7">
        <w:rPr>
          <w:rFonts w:ascii="Times New Roman" w:eastAsia="Times New Roman" w:hAnsi="Times New Roman" w:cs="Times New Roman"/>
          <w:b/>
          <w:sz w:val="32"/>
          <w:szCs w:val="32"/>
          <w:lang w:eastAsia="ru-RU"/>
        </w:rPr>
        <w:t xml:space="preserve">. </w:t>
      </w:r>
      <w:r w:rsidRPr="004E61C7">
        <w:rPr>
          <w:rFonts w:ascii="Times New Roman" w:eastAsia="Times New Roman" w:hAnsi="Times New Roman" w:cs="Times New Roman"/>
          <w:b/>
          <w:i/>
          <w:sz w:val="32"/>
          <w:szCs w:val="32"/>
          <w:lang w:eastAsia="ru-RU"/>
        </w:rPr>
        <w:t>Обсяг коштів, необхідних для реалізації Програми та джерела її фінансування.</w:t>
      </w:r>
    </w:p>
    <w:p w14:paraId="4EFF4EF4" w14:textId="77777777" w:rsidR="004E61C7" w:rsidRPr="004E61C7" w:rsidRDefault="004E61C7" w:rsidP="004E61C7">
      <w:pPr>
        <w:spacing w:before="120"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Реалізацію Програми передбачається здійснювати за рахунок:</w:t>
      </w:r>
    </w:p>
    <w:p w14:paraId="3384D742" w14:textId="77777777" w:rsidR="004E61C7" w:rsidRPr="004E61C7" w:rsidRDefault="004E61C7" w:rsidP="004E61C7">
      <w:pPr>
        <w:numPr>
          <w:ilvl w:val="0"/>
          <w:numId w:val="2"/>
        </w:numPr>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коштів місцевого бюджету ( в тому числі отримані шляхом субвенції з державного бюджету) та/або коштів міжнародної технічної та/або фінансової допомоги, у тому числі у вигляді грантів; </w:t>
      </w:r>
    </w:p>
    <w:p w14:paraId="0A42D90B" w14:textId="77777777" w:rsidR="004E61C7" w:rsidRPr="004E61C7" w:rsidRDefault="004E61C7" w:rsidP="004E61C7">
      <w:pPr>
        <w:numPr>
          <w:ilvl w:val="0"/>
          <w:numId w:val="2"/>
        </w:numPr>
        <w:spacing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коштів, отриманих від потенційних інвесторів та інших джерел, не заборонених законом.</w:t>
      </w:r>
    </w:p>
    <w:p w14:paraId="418D3B36"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Обсяг видатків з місцевого бюджету на відповідний рік визначається місцевою радою при затвердженні місцевого бюджету.</w:t>
      </w:r>
    </w:p>
    <w:p w14:paraId="622553A4"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Фінансування Програми за рахунок місцевого бюджету здійснюється, виходячи з його реальних можливостей та пріоритетів.</w:t>
      </w:r>
    </w:p>
    <w:p w14:paraId="4D06B04A" w14:textId="77777777" w:rsidR="004E61C7" w:rsidRPr="004E61C7" w:rsidRDefault="004E61C7" w:rsidP="004E61C7">
      <w:pPr>
        <w:spacing w:after="100" w:afterAutospacing="1" w:line="240" w:lineRule="auto"/>
        <w:ind w:firstLine="567"/>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Загальний обсяг фінансування програми – 26600,0 тис. грн.</w:t>
      </w:r>
    </w:p>
    <w:tbl>
      <w:tblPr>
        <w:tblStyle w:val="a7"/>
        <w:tblW w:w="9889" w:type="dxa"/>
        <w:tblLayout w:type="fixed"/>
        <w:tblLook w:val="01E0" w:firstRow="1" w:lastRow="1" w:firstColumn="1" w:lastColumn="1" w:noHBand="0" w:noVBand="0"/>
      </w:tblPr>
      <w:tblGrid>
        <w:gridCol w:w="3085"/>
        <w:gridCol w:w="1134"/>
        <w:gridCol w:w="1134"/>
        <w:gridCol w:w="1134"/>
        <w:gridCol w:w="1134"/>
        <w:gridCol w:w="1134"/>
        <w:gridCol w:w="1134"/>
      </w:tblGrid>
      <w:tr w:rsidR="004E61C7" w:rsidRPr="004E61C7" w14:paraId="15037C53" w14:textId="77777777" w:rsidTr="00651C4D">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14A5EE70" w14:textId="77777777" w:rsidR="004E61C7" w:rsidRPr="004E61C7" w:rsidRDefault="004E61C7" w:rsidP="004E61C7">
            <w:pPr>
              <w:jc w:val="center"/>
              <w:rPr>
                <w:b/>
                <w:i/>
                <w:sz w:val="24"/>
                <w:szCs w:val="24"/>
                <w:lang w:eastAsia="ru-RU"/>
              </w:rPr>
            </w:pPr>
            <w:r w:rsidRPr="004E61C7">
              <w:rPr>
                <w:b/>
                <w:i/>
                <w:sz w:val="24"/>
                <w:szCs w:val="24"/>
                <w:lang w:eastAsia="ru-RU"/>
              </w:rPr>
              <w:t>Завдання та заходи</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3CB8F336" w14:textId="77777777" w:rsidR="004E61C7" w:rsidRPr="004E61C7" w:rsidRDefault="004E61C7" w:rsidP="004E61C7">
            <w:pPr>
              <w:jc w:val="center"/>
              <w:rPr>
                <w:b/>
                <w:i/>
                <w:sz w:val="24"/>
                <w:szCs w:val="24"/>
                <w:lang w:eastAsia="ru-RU"/>
              </w:rPr>
            </w:pPr>
            <w:r w:rsidRPr="004E61C7">
              <w:rPr>
                <w:b/>
                <w:i/>
                <w:sz w:val="24"/>
                <w:szCs w:val="24"/>
                <w:lang w:eastAsia="ru-RU"/>
              </w:rPr>
              <w:t>Обсяг фінансування,</w:t>
            </w:r>
          </w:p>
          <w:p w14:paraId="1E57451F" w14:textId="77777777" w:rsidR="004E61C7" w:rsidRPr="004E61C7" w:rsidRDefault="004E61C7" w:rsidP="004E61C7">
            <w:pPr>
              <w:jc w:val="center"/>
              <w:rPr>
                <w:lang w:eastAsia="ru-RU"/>
              </w:rPr>
            </w:pPr>
            <w:r w:rsidRPr="004E61C7">
              <w:rPr>
                <w:b/>
                <w:i/>
                <w:sz w:val="24"/>
                <w:szCs w:val="24"/>
                <w:lang w:eastAsia="ru-RU"/>
              </w:rPr>
              <w:t>тис. грн.</w:t>
            </w:r>
          </w:p>
        </w:tc>
      </w:tr>
      <w:tr w:rsidR="004E61C7" w:rsidRPr="004E61C7" w14:paraId="461B5A26" w14:textId="77777777" w:rsidTr="00651C4D">
        <w:tc>
          <w:tcPr>
            <w:tcW w:w="3085" w:type="dxa"/>
            <w:vMerge/>
            <w:tcBorders>
              <w:top w:val="single" w:sz="4" w:space="0" w:color="auto"/>
              <w:left w:val="single" w:sz="4" w:space="0" w:color="auto"/>
              <w:bottom w:val="single" w:sz="4" w:space="0" w:color="auto"/>
              <w:right w:val="single" w:sz="4" w:space="0" w:color="auto"/>
            </w:tcBorders>
            <w:vAlign w:val="center"/>
            <w:hideMark/>
          </w:tcPr>
          <w:p w14:paraId="41C52942" w14:textId="77777777" w:rsidR="004E61C7" w:rsidRPr="004E61C7" w:rsidRDefault="004E61C7" w:rsidP="004E61C7">
            <w:pPr>
              <w:rPr>
                <w:b/>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CCB027" w14:textId="77777777" w:rsidR="004E61C7" w:rsidRPr="004E61C7" w:rsidRDefault="004E61C7" w:rsidP="004E61C7">
            <w:pPr>
              <w:jc w:val="center"/>
              <w:rPr>
                <w:lang w:eastAsia="ru-RU"/>
              </w:rPr>
            </w:pPr>
            <w:r w:rsidRPr="004E61C7">
              <w:rPr>
                <w:lang w:eastAsia="ru-RU"/>
              </w:rPr>
              <w:t>2024 рік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8EA694" w14:textId="77777777" w:rsidR="004E61C7" w:rsidRPr="004E61C7" w:rsidRDefault="004E61C7" w:rsidP="004E61C7">
            <w:pPr>
              <w:jc w:val="center"/>
              <w:rPr>
                <w:lang w:eastAsia="ru-RU"/>
              </w:rPr>
            </w:pPr>
            <w:r w:rsidRPr="004E61C7">
              <w:rPr>
                <w:lang w:eastAsia="ru-RU"/>
              </w:rPr>
              <w:t>2025 рік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995082" w14:textId="77777777" w:rsidR="004E61C7" w:rsidRPr="004E61C7" w:rsidRDefault="004E61C7" w:rsidP="004E61C7">
            <w:pPr>
              <w:jc w:val="center"/>
              <w:rPr>
                <w:lang w:eastAsia="ru-RU"/>
              </w:rPr>
            </w:pPr>
            <w:r w:rsidRPr="004E61C7">
              <w:rPr>
                <w:lang w:eastAsia="ru-RU"/>
              </w:rPr>
              <w:t>2026 рік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B275C6" w14:textId="77777777" w:rsidR="004E61C7" w:rsidRPr="004E61C7" w:rsidRDefault="004E61C7" w:rsidP="004E61C7">
            <w:pPr>
              <w:jc w:val="center"/>
              <w:rPr>
                <w:lang w:eastAsia="ru-RU"/>
              </w:rPr>
            </w:pPr>
            <w:r w:rsidRPr="004E61C7">
              <w:rPr>
                <w:lang w:eastAsia="ru-RU"/>
              </w:rPr>
              <w:t>2027 рік</w:t>
            </w:r>
          </w:p>
        </w:tc>
        <w:tc>
          <w:tcPr>
            <w:tcW w:w="1134" w:type="dxa"/>
            <w:tcBorders>
              <w:top w:val="single" w:sz="4" w:space="0" w:color="auto"/>
              <w:left w:val="single" w:sz="4" w:space="0" w:color="auto"/>
              <w:bottom w:val="single" w:sz="4" w:space="0" w:color="auto"/>
              <w:right w:val="single" w:sz="4" w:space="0" w:color="auto"/>
            </w:tcBorders>
            <w:vAlign w:val="center"/>
          </w:tcPr>
          <w:p w14:paraId="465D1202" w14:textId="77777777" w:rsidR="004E61C7" w:rsidRPr="004E61C7" w:rsidRDefault="004E61C7" w:rsidP="004E61C7">
            <w:pPr>
              <w:jc w:val="center"/>
              <w:rPr>
                <w:lang w:eastAsia="ru-RU"/>
              </w:rPr>
            </w:pPr>
            <w:r w:rsidRPr="004E61C7">
              <w:rPr>
                <w:lang w:eastAsia="ru-RU"/>
              </w:rPr>
              <w:t>2028 рік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B88B1D6" w14:textId="77777777" w:rsidR="004E61C7" w:rsidRPr="004E61C7" w:rsidRDefault="004E61C7" w:rsidP="004E61C7">
            <w:pPr>
              <w:jc w:val="center"/>
              <w:rPr>
                <w:lang w:eastAsia="ru-RU"/>
              </w:rPr>
            </w:pPr>
            <w:r w:rsidRPr="004E61C7">
              <w:rPr>
                <w:lang w:eastAsia="ru-RU"/>
              </w:rPr>
              <w:t>Всього</w:t>
            </w:r>
          </w:p>
        </w:tc>
      </w:tr>
      <w:tr w:rsidR="004E61C7" w:rsidRPr="004E61C7" w14:paraId="2155E48F" w14:textId="77777777" w:rsidTr="00651C4D">
        <w:tc>
          <w:tcPr>
            <w:tcW w:w="3085" w:type="dxa"/>
            <w:vMerge/>
            <w:tcBorders>
              <w:top w:val="single" w:sz="4" w:space="0" w:color="auto"/>
              <w:left w:val="single" w:sz="4" w:space="0" w:color="auto"/>
              <w:bottom w:val="single" w:sz="4" w:space="0" w:color="auto"/>
              <w:right w:val="single" w:sz="4" w:space="0" w:color="auto"/>
            </w:tcBorders>
            <w:vAlign w:val="center"/>
            <w:hideMark/>
          </w:tcPr>
          <w:p w14:paraId="225E43F1" w14:textId="77777777" w:rsidR="004E61C7" w:rsidRPr="004E61C7" w:rsidRDefault="004E61C7" w:rsidP="004E61C7">
            <w:pPr>
              <w:rPr>
                <w:b/>
                <w:i/>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6129C1" w14:textId="77777777" w:rsidR="004E61C7" w:rsidRPr="004E61C7" w:rsidRDefault="004E61C7" w:rsidP="004E61C7">
            <w:pPr>
              <w:jc w:val="center"/>
              <w:rPr>
                <w:lang w:eastAsia="ru-RU"/>
              </w:rPr>
            </w:pPr>
            <w:r w:rsidRPr="004E61C7">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B833D" w14:textId="77777777" w:rsidR="004E61C7" w:rsidRPr="004E61C7" w:rsidRDefault="004E61C7" w:rsidP="004E61C7">
            <w:pPr>
              <w:jc w:val="center"/>
              <w:rPr>
                <w:lang w:eastAsia="ru-RU"/>
              </w:rPr>
            </w:pPr>
            <w:r w:rsidRPr="004E61C7">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6A8DB" w14:textId="77777777" w:rsidR="004E61C7" w:rsidRPr="004E61C7" w:rsidRDefault="004E61C7" w:rsidP="004E61C7">
            <w:pPr>
              <w:jc w:val="center"/>
              <w:rPr>
                <w:lang w:eastAsia="ru-RU"/>
              </w:rPr>
            </w:pPr>
            <w:r w:rsidRPr="004E61C7">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F8B067" w14:textId="77777777" w:rsidR="004E61C7" w:rsidRPr="004E61C7" w:rsidRDefault="004E61C7" w:rsidP="004E61C7">
            <w:pPr>
              <w:jc w:val="center"/>
              <w:rPr>
                <w:lang w:eastAsia="ru-RU"/>
              </w:rPr>
            </w:pPr>
            <w:r w:rsidRPr="004E61C7">
              <w:rPr>
                <w:lang w:eastAsia="ru-RU"/>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14:paraId="709426E6" w14:textId="77777777" w:rsidR="004E61C7" w:rsidRPr="004E61C7" w:rsidRDefault="004E61C7" w:rsidP="004E61C7">
            <w:pPr>
              <w:jc w:val="center"/>
              <w:rPr>
                <w:lang w:eastAsia="ru-RU"/>
              </w:rPr>
            </w:pPr>
            <w:r w:rsidRPr="004E61C7">
              <w:rPr>
                <w:lang w:eastAsia="ru-RU"/>
              </w:rPr>
              <w:t>Спеціальний фонд</w:t>
            </w:r>
          </w:p>
        </w:tc>
        <w:tc>
          <w:tcPr>
            <w:tcW w:w="1134" w:type="dxa"/>
            <w:vMerge/>
            <w:tcBorders>
              <w:top w:val="single" w:sz="4" w:space="0" w:color="auto"/>
              <w:left w:val="single" w:sz="4" w:space="0" w:color="auto"/>
              <w:bottom w:val="single" w:sz="4" w:space="0" w:color="auto"/>
              <w:right w:val="single" w:sz="4" w:space="0" w:color="auto"/>
            </w:tcBorders>
            <w:vAlign w:val="center"/>
          </w:tcPr>
          <w:p w14:paraId="7EA52A54" w14:textId="77777777" w:rsidR="004E61C7" w:rsidRPr="004E61C7" w:rsidRDefault="004E61C7" w:rsidP="004E61C7">
            <w:pPr>
              <w:rPr>
                <w:lang w:eastAsia="ru-RU"/>
              </w:rPr>
            </w:pPr>
          </w:p>
        </w:tc>
      </w:tr>
      <w:tr w:rsidR="004E61C7" w:rsidRPr="004E61C7" w14:paraId="4840D11F" w14:textId="77777777" w:rsidTr="00651C4D">
        <w:tc>
          <w:tcPr>
            <w:tcW w:w="3085" w:type="dxa"/>
            <w:tcBorders>
              <w:top w:val="single" w:sz="4" w:space="0" w:color="auto"/>
              <w:left w:val="single" w:sz="4" w:space="0" w:color="auto"/>
              <w:bottom w:val="single" w:sz="4" w:space="0" w:color="auto"/>
              <w:right w:val="single" w:sz="4" w:space="0" w:color="auto"/>
            </w:tcBorders>
            <w:hideMark/>
          </w:tcPr>
          <w:p w14:paraId="772E0827" w14:textId="77777777" w:rsidR="004E61C7" w:rsidRPr="004E61C7" w:rsidRDefault="004E61C7" w:rsidP="004E61C7">
            <w:pPr>
              <w:rPr>
                <w:b/>
                <w:i/>
                <w:sz w:val="24"/>
                <w:szCs w:val="24"/>
                <w:lang w:eastAsia="ru-RU"/>
              </w:rPr>
            </w:pPr>
            <w:r w:rsidRPr="004E61C7">
              <w:rPr>
                <w:b/>
                <w:i/>
                <w:sz w:val="24"/>
                <w:szCs w:val="24"/>
                <w:lang w:val="ru-RU" w:eastAsia="ru-RU"/>
              </w:rPr>
              <w:t>1</w:t>
            </w:r>
            <w:r w:rsidRPr="004E61C7">
              <w:rPr>
                <w:b/>
                <w:i/>
                <w:sz w:val="24"/>
                <w:szCs w:val="24"/>
                <w:lang w:eastAsia="ru-RU"/>
              </w:rPr>
              <w:t>. Комплексний план просторового розвитку території Броварської міської територіальної громади Броварського району Київської області</w:t>
            </w:r>
            <w:r w:rsidRPr="004E61C7">
              <w:rPr>
                <w:b/>
                <w:i/>
                <w:sz w:val="28"/>
                <w:szCs w:val="2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BFBC7F0" w14:textId="77777777" w:rsidR="004E61C7" w:rsidRPr="004E61C7" w:rsidRDefault="004E61C7" w:rsidP="004E61C7">
            <w:pPr>
              <w:jc w:val="center"/>
              <w:rPr>
                <w:b/>
                <w:i/>
                <w:sz w:val="24"/>
                <w:szCs w:val="24"/>
                <w:lang w:val="ru-RU"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4532211F" w14:textId="77777777" w:rsidR="004E61C7" w:rsidRPr="004E61C7" w:rsidRDefault="004E61C7" w:rsidP="004E61C7">
            <w:pPr>
              <w:jc w:val="center"/>
              <w:rPr>
                <w:b/>
                <w:i/>
                <w:sz w:val="24"/>
                <w:szCs w:val="24"/>
                <w:lang w:val="ru-RU"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F2D816C" w14:textId="77777777" w:rsidR="004E61C7" w:rsidRPr="004E61C7" w:rsidRDefault="004E61C7" w:rsidP="004E61C7">
            <w:pPr>
              <w:jc w:val="center"/>
              <w:rPr>
                <w:b/>
                <w:i/>
                <w:sz w:val="24"/>
                <w:szCs w:val="24"/>
                <w:lang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7FCAD9EE" w14:textId="77777777" w:rsidR="004E61C7" w:rsidRPr="004E61C7" w:rsidRDefault="004E61C7" w:rsidP="004E61C7">
            <w:pPr>
              <w:jc w:val="center"/>
              <w:rPr>
                <w:b/>
                <w:i/>
                <w:sz w:val="24"/>
                <w:szCs w:val="24"/>
                <w:lang w:eastAsia="ru-RU"/>
              </w:rPr>
            </w:pPr>
            <w:r w:rsidRPr="004E61C7">
              <w:rPr>
                <w:b/>
                <w:i/>
                <w:sz w:val="24"/>
                <w:szCs w:val="24"/>
                <w:lang w:eastAsia="ru-RU"/>
              </w:rPr>
              <w:t>10000,00</w:t>
            </w:r>
          </w:p>
        </w:tc>
        <w:tc>
          <w:tcPr>
            <w:tcW w:w="1134" w:type="dxa"/>
            <w:tcBorders>
              <w:top w:val="single" w:sz="4" w:space="0" w:color="auto"/>
              <w:left w:val="single" w:sz="4" w:space="0" w:color="auto"/>
              <w:bottom w:val="single" w:sz="4" w:space="0" w:color="auto"/>
              <w:right w:val="single" w:sz="4" w:space="0" w:color="auto"/>
            </w:tcBorders>
          </w:tcPr>
          <w:p w14:paraId="24178D87" w14:textId="77777777" w:rsidR="004E61C7" w:rsidRPr="004E61C7" w:rsidRDefault="004E61C7" w:rsidP="004E61C7">
            <w:pPr>
              <w:jc w:val="center"/>
              <w:rPr>
                <w:b/>
                <w:i/>
                <w:sz w:val="24"/>
                <w:szCs w:val="24"/>
                <w:lang w:eastAsia="ru-RU"/>
              </w:rPr>
            </w:pPr>
            <w:r w:rsidRPr="004E61C7">
              <w:rPr>
                <w:b/>
                <w:i/>
                <w:sz w:val="24"/>
                <w:szCs w:val="24"/>
                <w:lang w:eastAsia="ru-RU"/>
              </w:rPr>
              <w:t>10000,00</w:t>
            </w:r>
          </w:p>
        </w:tc>
        <w:tc>
          <w:tcPr>
            <w:tcW w:w="1134" w:type="dxa"/>
            <w:tcBorders>
              <w:top w:val="single" w:sz="4" w:space="0" w:color="auto"/>
              <w:left w:val="single" w:sz="4" w:space="0" w:color="auto"/>
              <w:bottom w:val="single" w:sz="4" w:space="0" w:color="auto"/>
              <w:right w:val="single" w:sz="4" w:space="0" w:color="auto"/>
            </w:tcBorders>
          </w:tcPr>
          <w:p w14:paraId="369D3681" w14:textId="77777777" w:rsidR="004E61C7" w:rsidRPr="004E61C7" w:rsidRDefault="004E61C7" w:rsidP="004E61C7">
            <w:pPr>
              <w:jc w:val="center"/>
              <w:rPr>
                <w:b/>
                <w:i/>
                <w:sz w:val="24"/>
                <w:szCs w:val="24"/>
                <w:lang w:eastAsia="ru-RU"/>
              </w:rPr>
            </w:pPr>
            <w:r w:rsidRPr="004E61C7">
              <w:rPr>
                <w:b/>
                <w:i/>
                <w:sz w:val="24"/>
                <w:szCs w:val="24"/>
                <w:lang w:eastAsia="ru-RU"/>
              </w:rPr>
              <w:t>20000,00</w:t>
            </w:r>
          </w:p>
        </w:tc>
      </w:tr>
      <w:tr w:rsidR="004E61C7" w:rsidRPr="004E61C7" w14:paraId="1F8057B4" w14:textId="77777777" w:rsidTr="00651C4D">
        <w:tc>
          <w:tcPr>
            <w:tcW w:w="3085" w:type="dxa"/>
            <w:tcBorders>
              <w:top w:val="single" w:sz="4" w:space="0" w:color="auto"/>
              <w:left w:val="single" w:sz="4" w:space="0" w:color="auto"/>
              <w:bottom w:val="single" w:sz="4" w:space="0" w:color="auto"/>
              <w:right w:val="single" w:sz="4" w:space="0" w:color="auto"/>
            </w:tcBorders>
            <w:hideMark/>
          </w:tcPr>
          <w:p w14:paraId="79A37F6E" w14:textId="77777777" w:rsidR="004E61C7" w:rsidRPr="004E61C7" w:rsidRDefault="004E61C7" w:rsidP="004E61C7">
            <w:pPr>
              <w:rPr>
                <w:b/>
                <w:i/>
                <w:sz w:val="24"/>
                <w:szCs w:val="24"/>
                <w:lang w:eastAsia="ru-RU"/>
              </w:rPr>
            </w:pPr>
            <w:r w:rsidRPr="004E61C7">
              <w:rPr>
                <w:b/>
                <w:i/>
                <w:sz w:val="24"/>
                <w:szCs w:val="24"/>
                <w:lang w:eastAsia="ru-RU"/>
              </w:rPr>
              <w:t>2. Детальні плани територій  та внесення змін</w:t>
            </w:r>
            <w:r w:rsidRPr="004E61C7">
              <w:rPr>
                <w:b/>
                <w:i/>
                <w:sz w:val="24"/>
                <w:szCs w:val="24"/>
                <w:lang w:eastAsia="ru-RU"/>
              </w:rPr>
              <w:tab/>
            </w:r>
          </w:p>
        </w:tc>
        <w:tc>
          <w:tcPr>
            <w:tcW w:w="1134" w:type="dxa"/>
            <w:tcBorders>
              <w:top w:val="single" w:sz="4" w:space="0" w:color="auto"/>
              <w:left w:val="single" w:sz="4" w:space="0" w:color="auto"/>
              <w:bottom w:val="single" w:sz="4" w:space="0" w:color="auto"/>
              <w:right w:val="single" w:sz="4" w:space="0" w:color="auto"/>
            </w:tcBorders>
            <w:hideMark/>
          </w:tcPr>
          <w:p w14:paraId="105C91C1" w14:textId="77777777" w:rsidR="004E61C7" w:rsidRPr="004E61C7" w:rsidRDefault="004E61C7" w:rsidP="004E61C7">
            <w:pPr>
              <w:rPr>
                <w:b/>
                <w:i/>
                <w:sz w:val="24"/>
                <w:szCs w:val="24"/>
                <w:lang w:val="ru-RU" w:eastAsia="ru-RU"/>
              </w:rPr>
            </w:pPr>
            <w:r w:rsidRPr="004E61C7">
              <w:rPr>
                <w:b/>
                <w:i/>
                <w:sz w:val="24"/>
                <w:szCs w:val="24"/>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hideMark/>
          </w:tcPr>
          <w:p w14:paraId="4A505714" w14:textId="77777777" w:rsidR="004E61C7" w:rsidRPr="004E61C7" w:rsidRDefault="004E61C7" w:rsidP="004E61C7">
            <w:pPr>
              <w:jc w:val="center"/>
              <w:rPr>
                <w:b/>
                <w:i/>
                <w:sz w:val="24"/>
                <w:szCs w:val="24"/>
                <w:lang w:eastAsia="ru-RU"/>
              </w:rPr>
            </w:pPr>
            <w:r w:rsidRPr="004E61C7">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hideMark/>
          </w:tcPr>
          <w:p w14:paraId="07297C6D" w14:textId="77777777" w:rsidR="004E61C7" w:rsidRPr="004E61C7" w:rsidRDefault="004E61C7" w:rsidP="004E61C7">
            <w:pPr>
              <w:jc w:val="center"/>
              <w:rPr>
                <w:b/>
                <w:i/>
                <w:sz w:val="24"/>
                <w:szCs w:val="24"/>
                <w:lang w:val="ru-RU" w:eastAsia="ru-RU"/>
              </w:rPr>
            </w:pPr>
            <w:r w:rsidRPr="004E61C7">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hideMark/>
          </w:tcPr>
          <w:p w14:paraId="5D971320" w14:textId="77777777" w:rsidR="004E61C7" w:rsidRPr="004E61C7" w:rsidRDefault="004E61C7" w:rsidP="004E61C7">
            <w:pPr>
              <w:jc w:val="center"/>
              <w:rPr>
                <w:b/>
                <w:i/>
                <w:sz w:val="24"/>
                <w:szCs w:val="24"/>
                <w:lang w:eastAsia="ru-RU"/>
              </w:rPr>
            </w:pPr>
            <w:r w:rsidRPr="004E61C7">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tcPr>
          <w:p w14:paraId="07C58EF1" w14:textId="77777777" w:rsidR="004E61C7" w:rsidRPr="004E61C7" w:rsidRDefault="004E61C7" w:rsidP="004E61C7">
            <w:pPr>
              <w:jc w:val="center"/>
              <w:rPr>
                <w:b/>
                <w:i/>
                <w:sz w:val="24"/>
                <w:szCs w:val="24"/>
                <w:lang w:eastAsia="ru-RU"/>
              </w:rPr>
            </w:pPr>
            <w:r w:rsidRPr="004E61C7">
              <w:rPr>
                <w:b/>
                <w:i/>
                <w:sz w:val="24"/>
                <w:szCs w:val="24"/>
                <w:lang w:eastAsia="ru-RU"/>
              </w:rPr>
              <w:t>1000,00</w:t>
            </w:r>
          </w:p>
        </w:tc>
        <w:tc>
          <w:tcPr>
            <w:tcW w:w="1134" w:type="dxa"/>
            <w:tcBorders>
              <w:top w:val="single" w:sz="4" w:space="0" w:color="auto"/>
              <w:left w:val="single" w:sz="4" w:space="0" w:color="auto"/>
              <w:bottom w:val="single" w:sz="4" w:space="0" w:color="auto"/>
              <w:right w:val="single" w:sz="4" w:space="0" w:color="auto"/>
            </w:tcBorders>
          </w:tcPr>
          <w:p w14:paraId="41095EA3" w14:textId="77777777" w:rsidR="004E61C7" w:rsidRPr="004E61C7" w:rsidRDefault="004E61C7" w:rsidP="004E61C7">
            <w:pPr>
              <w:jc w:val="center"/>
              <w:rPr>
                <w:b/>
                <w:i/>
                <w:sz w:val="24"/>
                <w:szCs w:val="24"/>
                <w:lang w:eastAsia="ru-RU"/>
              </w:rPr>
            </w:pPr>
            <w:r w:rsidRPr="004E61C7">
              <w:rPr>
                <w:b/>
                <w:i/>
                <w:sz w:val="24"/>
                <w:szCs w:val="24"/>
                <w:lang w:eastAsia="ru-RU"/>
              </w:rPr>
              <w:t>4000,0</w:t>
            </w:r>
          </w:p>
        </w:tc>
      </w:tr>
      <w:tr w:rsidR="004E61C7" w:rsidRPr="004E61C7" w14:paraId="164555DA" w14:textId="77777777" w:rsidTr="00651C4D">
        <w:tc>
          <w:tcPr>
            <w:tcW w:w="3085" w:type="dxa"/>
            <w:tcBorders>
              <w:top w:val="single" w:sz="4" w:space="0" w:color="auto"/>
              <w:left w:val="single" w:sz="4" w:space="0" w:color="auto"/>
              <w:bottom w:val="single" w:sz="4" w:space="0" w:color="auto"/>
              <w:right w:val="single" w:sz="4" w:space="0" w:color="auto"/>
            </w:tcBorders>
            <w:hideMark/>
          </w:tcPr>
          <w:p w14:paraId="19B1489E" w14:textId="77777777" w:rsidR="004E61C7" w:rsidRPr="004E61C7" w:rsidRDefault="004E61C7" w:rsidP="004E61C7">
            <w:pPr>
              <w:rPr>
                <w:b/>
                <w:i/>
                <w:sz w:val="24"/>
                <w:szCs w:val="24"/>
                <w:lang w:eastAsia="ru-RU"/>
              </w:rPr>
            </w:pPr>
            <w:r w:rsidRPr="004E61C7">
              <w:rPr>
                <w:b/>
                <w:i/>
                <w:sz w:val="24"/>
                <w:szCs w:val="24"/>
                <w:lang w:eastAsia="ru-RU"/>
              </w:rPr>
              <w:t xml:space="preserve">3. Виконання топо-геодезичних робіт на території територіальної громади  - оновлення топографічної зйомки </w:t>
            </w:r>
          </w:p>
        </w:tc>
        <w:tc>
          <w:tcPr>
            <w:tcW w:w="1134" w:type="dxa"/>
            <w:tcBorders>
              <w:top w:val="single" w:sz="4" w:space="0" w:color="auto"/>
              <w:left w:val="single" w:sz="4" w:space="0" w:color="auto"/>
              <w:bottom w:val="single" w:sz="4" w:space="0" w:color="auto"/>
              <w:right w:val="single" w:sz="4" w:space="0" w:color="auto"/>
            </w:tcBorders>
            <w:hideMark/>
          </w:tcPr>
          <w:p w14:paraId="413BA007" w14:textId="77777777" w:rsidR="004E61C7" w:rsidRPr="004E61C7" w:rsidRDefault="004E61C7" w:rsidP="004E61C7">
            <w:pPr>
              <w:rPr>
                <w:b/>
                <w:i/>
                <w:sz w:val="24"/>
                <w:szCs w:val="24"/>
                <w:lang w:eastAsia="ru-RU"/>
              </w:rPr>
            </w:pPr>
            <w:r w:rsidRPr="004E61C7">
              <w:rPr>
                <w:b/>
                <w:i/>
                <w:sz w:val="24"/>
                <w:szCs w:val="24"/>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hideMark/>
          </w:tcPr>
          <w:p w14:paraId="27770316" w14:textId="77777777" w:rsidR="004E61C7" w:rsidRPr="004E61C7" w:rsidRDefault="004E61C7" w:rsidP="004E61C7">
            <w:pPr>
              <w:jc w:val="center"/>
              <w:rPr>
                <w:b/>
                <w:i/>
                <w:sz w:val="24"/>
                <w:szCs w:val="24"/>
                <w:lang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1BBE34F7" w14:textId="77777777" w:rsidR="004E61C7" w:rsidRPr="004E61C7" w:rsidRDefault="004E61C7" w:rsidP="004E61C7">
            <w:pPr>
              <w:jc w:val="center"/>
              <w:rPr>
                <w:b/>
                <w:i/>
                <w:sz w:val="24"/>
                <w:szCs w:val="24"/>
                <w:lang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6B02B6A1" w14:textId="77777777" w:rsidR="004E61C7" w:rsidRPr="004E61C7" w:rsidRDefault="004E61C7" w:rsidP="004E61C7">
            <w:pPr>
              <w:jc w:val="center"/>
              <w:rPr>
                <w:i/>
                <w:sz w:val="24"/>
                <w:szCs w:val="24"/>
                <w:lang w:eastAsia="ru-RU"/>
              </w:rPr>
            </w:pPr>
            <w:r w:rsidRPr="004E61C7">
              <w:rPr>
                <w:b/>
                <w:i/>
                <w:sz w:val="24"/>
                <w:szCs w:val="24"/>
                <w:lang w:eastAsia="ru-RU"/>
              </w:rPr>
              <w:t>1600,00</w:t>
            </w:r>
          </w:p>
        </w:tc>
        <w:tc>
          <w:tcPr>
            <w:tcW w:w="1134" w:type="dxa"/>
            <w:tcBorders>
              <w:top w:val="single" w:sz="4" w:space="0" w:color="auto"/>
              <w:left w:val="single" w:sz="4" w:space="0" w:color="auto"/>
              <w:bottom w:val="single" w:sz="4" w:space="0" w:color="auto"/>
              <w:right w:val="single" w:sz="4" w:space="0" w:color="auto"/>
            </w:tcBorders>
          </w:tcPr>
          <w:p w14:paraId="62252297" w14:textId="77777777" w:rsidR="004E61C7" w:rsidRPr="004E61C7" w:rsidRDefault="004E61C7" w:rsidP="004E61C7">
            <w:pPr>
              <w:jc w:val="center"/>
              <w:rPr>
                <w:i/>
                <w:sz w:val="24"/>
                <w:szCs w:val="24"/>
                <w:lang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5ACEE78" w14:textId="77777777" w:rsidR="004E61C7" w:rsidRPr="004E61C7" w:rsidRDefault="004E61C7" w:rsidP="004E61C7">
            <w:pPr>
              <w:jc w:val="center"/>
              <w:rPr>
                <w:i/>
                <w:sz w:val="24"/>
                <w:szCs w:val="24"/>
                <w:lang w:eastAsia="ru-RU"/>
              </w:rPr>
            </w:pPr>
            <w:r w:rsidRPr="004E61C7">
              <w:rPr>
                <w:b/>
                <w:i/>
                <w:sz w:val="24"/>
                <w:szCs w:val="24"/>
                <w:lang w:eastAsia="ru-RU"/>
              </w:rPr>
              <w:t>1600,0</w:t>
            </w:r>
          </w:p>
        </w:tc>
      </w:tr>
      <w:tr w:rsidR="004E61C7" w:rsidRPr="004E61C7" w14:paraId="4C4CA321" w14:textId="77777777" w:rsidTr="00651C4D">
        <w:tc>
          <w:tcPr>
            <w:tcW w:w="3085" w:type="dxa"/>
            <w:tcBorders>
              <w:top w:val="single" w:sz="4" w:space="0" w:color="auto"/>
              <w:left w:val="single" w:sz="4" w:space="0" w:color="auto"/>
              <w:bottom w:val="single" w:sz="4" w:space="0" w:color="auto"/>
              <w:right w:val="single" w:sz="4" w:space="0" w:color="auto"/>
            </w:tcBorders>
            <w:hideMark/>
          </w:tcPr>
          <w:p w14:paraId="7CFB4104" w14:textId="77777777" w:rsidR="004E61C7" w:rsidRPr="004E61C7" w:rsidRDefault="004E61C7" w:rsidP="004E61C7">
            <w:pPr>
              <w:rPr>
                <w:b/>
                <w:i/>
                <w:sz w:val="24"/>
                <w:szCs w:val="24"/>
                <w:lang w:eastAsia="ru-RU"/>
              </w:rPr>
            </w:pPr>
            <w:r w:rsidRPr="004E61C7">
              <w:rPr>
                <w:b/>
                <w:i/>
                <w:sz w:val="24"/>
                <w:szCs w:val="24"/>
                <w:lang w:eastAsia="ru-RU"/>
              </w:rPr>
              <w:t>4. Експертиза, рецензії, висновки, моніторинг</w:t>
            </w:r>
          </w:p>
        </w:tc>
        <w:tc>
          <w:tcPr>
            <w:tcW w:w="1134" w:type="dxa"/>
            <w:tcBorders>
              <w:top w:val="single" w:sz="4" w:space="0" w:color="auto"/>
              <w:left w:val="single" w:sz="4" w:space="0" w:color="auto"/>
              <w:bottom w:val="single" w:sz="4" w:space="0" w:color="auto"/>
              <w:right w:val="single" w:sz="4" w:space="0" w:color="auto"/>
            </w:tcBorders>
            <w:hideMark/>
          </w:tcPr>
          <w:p w14:paraId="4DFA38D4" w14:textId="77777777" w:rsidR="004E61C7" w:rsidRPr="004E61C7" w:rsidRDefault="004E61C7" w:rsidP="004E61C7">
            <w:pPr>
              <w:jc w:val="center"/>
              <w:rPr>
                <w:b/>
                <w:i/>
                <w:sz w:val="24"/>
                <w:szCs w:val="24"/>
                <w:lang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1362F8F5" w14:textId="77777777" w:rsidR="004E61C7" w:rsidRPr="004E61C7" w:rsidRDefault="004E61C7" w:rsidP="004E61C7">
            <w:pPr>
              <w:jc w:val="center"/>
              <w:rPr>
                <w:b/>
                <w:i/>
                <w:sz w:val="24"/>
                <w:szCs w:val="24"/>
                <w:lang w:eastAsia="ru-RU"/>
              </w:rPr>
            </w:pPr>
            <w:r w:rsidRPr="004E61C7">
              <w:rPr>
                <w:b/>
                <w:i/>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hideMark/>
          </w:tcPr>
          <w:p w14:paraId="56F57D9C" w14:textId="77777777" w:rsidR="004E61C7" w:rsidRPr="004E61C7" w:rsidRDefault="004E61C7" w:rsidP="004E61C7">
            <w:pPr>
              <w:jc w:val="center"/>
              <w:rPr>
                <w:b/>
                <w:i/>
                <w:sz w:val="24"/>
                <w:szCs w:val="24"/>
                <w:lang w:eastAsia="ru-RU"/>
              </w:rPr>
            </w:pPr>
            <w:r w:rsidRPr="004E61C7">
              <w:rPr>
                <w:b/>
                <w:i/>
                <w:sz w:val="24"/>
                <w:szCs w:val="24"/>
                <w:lang w:eastAsia="ru-RU"/>
              </w:rPr>
              <w:t>120,00</w:t>
            </w:r>
          </w:p>
        </w:tc>
        <w:tc>
          <w:tcPr>
            <w:tcW w:w="1134" w:type="dxa"/>
            <w:tcBorders>
              <w:top w:val="single" w:sz="4" w:space="0" w:color="auto"/>
              <w:left w:val="single" w:sz="4" w:space="0" w:color="auto"/>
              <w:bottom w:val="single" w:sz="4" w:space="0" w:color="auto"/>
              <w:right w:val="single" w:sz="4" w:space="0" w:color="auto"/>
            </w:tcBorders>
            <w:hideMark/>
          </w:tcPr>
          <w:p w14:paraId="22E0A2C4" w14:textId="77777777" w:rsidR="004E61C7" w:rsidRPr="004E61C7" w:rsidRDefault="004E61C7" w:rsidP="004E61C7">
            <w:pPr>
              <w:jc w:val="center"/>
              <w:rPr>
                <w:b/>
                <w:i/>
                <w:sz w:val="24"/>
                <w:szCs w:val="24"/>
                <w:lang w:eastAsia="ru-RU"/>
              </w:rPr>
            </w:pPr>
            <w:r w:rsidRPr="004E61C7">
              <w:rPr>
                <w:b/>
                <w:i/>
                <w:sz w:val="24"/>
                <w:szCs w:val="24"/>
                <w:lang w:eastAsia="ru-RU"/>
              </w:rPr>
              <w:t>200,00</w:t>
            </w:r>
          </w:p>
        </w:tc>
        <w:tc>
          <w:tcPr>
            <w:tcW w:w="1134" w:type="dxa"/>
            <w:tcBorders>
              <w:top w:val="single" w:sz="4" w:space="0" w:color="auto"/>
              <w:left w:val="single" w:sz="4" w:space="0" w:color="auto"/>
              <w:bottom w:val="single" w:sz="4" w:space="0" w:color="auto"/>
              <w:right w:val="single" w:sz="4" w:space="0" w:color="auto"/>
            </w:tcBorders>
          </w:tcPr>
          <w:p w14:paraId="1ED0EB8F" w14:textId="77777777" w:rsidR="004E61C7" w:rsidRPr="004E61C7" w:rsidRDefault="004E61C7" w:rsidP="004E61C7">
            <w:pPr>
              <w:jc w:val="center"/>
              <w:rPr>
                <w:b/>
                <w:i/>
                <w:sz w:val="24"/>
                <w:szCs w:val="24"/>
                <w:lang w:eastAsia="ru-RU"/>
              </w:rPr>
            </w:pPr>
            <w:r w:rsidRPr="004E61C7">
              <w:rPr>
                <w:b/>
                <w:i/>
                <w:sz w:val="24"/>
                <w:szCs w:val="24"/>
                <w:lang w:eastAsia="ru-RU"/>
              </w:rPr>
              <w:t>200,00</w:t>
            </w:r>
          </w:p>
        </w:tc>
        <w:tc>
          <w:tcPr>
            <w:tcW w:w="1134" w:type="dxa"/>
            <w:tcBorders>
              <w:top w:val="single" w:sz="4" w:space="0" w:color="auto"/>
              <w:left w:val="single" w:sz="4" w:space="0" w:color="auto"/>
              <w:bottom w:val="single" w:sz="4" w:space="0" w:color="auto"/>
              <w:right w:val="single" w:sz="4" w:space="0" w:color="auto"/>
            </w:tcBorders>
          </w:tcPr>
          <w:p w14:paraId="4FE982D2" w14:textId="77777777" w:rsidR="004E61C7" w:rsidRPr="004E61C7" w:rsidRDefault="004E61C7" w:rsidP="004E61C7">
            <w:pPr>
              <w:jc w:val="center"/>
              <w:rPr>
                <w:b/>
                <w:i/>
                <w:sz w:val="24"/>
                <w:szCs w:val="24"/>
                <w:lang w:eastAsia="ru-RU"/>
              </w:rPr>
            </w:pPr>
            <w:r w:rsidRPr="004E61C7">
              <w:rPr>
                <w:b/>
                <w:i/>
                <w:sz w:val="24"/>
                <w:szCs w:val="24"/>
                <w:lang w:eastAsia="ru-RU"/>
              </w:rPr>
              <w:t>640,0</w:t>
            </w:r>
          </w:p>
        </w:tc>
      </w:tr>
      <w:tr w:rsidR="004E61C7" w:rsidRPr="004E61C7" w14:paraId="6E4B511C" w14:textId="77777777" w:rsidTr="00651C4D">
        <w:tc>
          <w:tcPr>
            <w:tcW w:w="3085" w:type="dxa"/>
            <w:tcBorders>
              <w:top w:val="single" w:sz="4" w:space="0" w:color="auto"/>
              <w:left w:val="single" w:sz="4" w:space="0" w:color="auto"/>
              <w:bottom w:val="single" w:sz="4" w:space="0" w:color="auto"/>
              <w:right w:val="single" w:sz="4" w:space="0" w:color="auto"/>
            </w:tcBorders>
            <w:hideMark/>
          </w:tcPr>
          <w:p w14:paraId="331B17F5" w14:textId="77777777" w:rsidR="004E61C7" w:rsidRPr="004E61C7" w:rsidRDefault="004E61C7" w:rsidP="004E61C7">
            <w:pPr>
              <w:rPr>
                <w:b/>
                <w:i/>
                <w:sz w:val="24"/>
                <w:szCs w:val="24"/>
                <w:lang w:eastAsia="ru-RU"/>
              </w:rPr>
            </w:pPr>
            <w:r w:rsidRPr="004E61C7">
              <w:rPr>
                <w:b/>
                <w:i/>
                <w:sz w:val="24"/>
                <w:szCs w:val="24"/>
                <w:lang w:eastAsia="ru-RU"/>
              </w:rPr>
              <w:t xml:space="preserve">5. Друкування оголошень та повідомлень через медіа </w:t>
            </w:r>
          </w:p>
        </w:tc>
        <w:tc>
          <w:tcPr>
            <w:tcW w:w="1134" w:type="dxa"/>
            <w:tcBorders>
              <w:top w:val="single" w:sz="4" w:space="0" w:color="auto"/>
              <w:left w:val="single" w:sz="4" w:space="0" w:color="auto"/>
              <w:bottom w:val="single" w:sz="4" w:space="0" w:color="auto"/>
              <w:right w:val="single" w:sz="4" w:space="0" w:color="auto"/>
            </w:tcBorders>
            <w:hideMark/>
          </w:tcPr>
          <w:p w14:paraId="3172EC38" w14:textId="77777777" w:rsidR="004E61C7" w:rsidRPr="004E61C7" w:rsidRDefault="004E61C7" w:rsidP="004E61C7">
            <w:pPr>
              <w:jc w:val="center"/>
              <w:rPr>
                <w:b/>
                <w:i/>
                <w:sz w:val="24"/>
                <w:szCs w:val="24"/>
                <w:lang w:eastAsia="ru-RU"/>
              </w:rPr>
            </w:pPr>
            <w:r w:rsidRPr="004E61C7">
              <w:rPr>
                <w:b/>
                <w:i/>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hideMark/>
          </w:tcPr>
          <w:p w14:paraId="20DCEE7F" w14:textId="77777777" w:rsidR="004E61C7" w:rsidRPr="004E61C7" w:rsidRDefault="004E61C7" w:rsidP="004E61C7">
            <w:pPr>
              <w:jc w:val="center"/>
              <w:rPr>
                <w:b/>
                <w:i/>
                <w:sz w:val="24"/>
                <w:szCs w:val="24"/>
                <w:lang w:eastAsia="ru-RU"/>
              </w:rPr>
            </w:pPr>
            <w:r w:rsidRPr="004E61C7">
              <w:rPr>
                <w:b/>
                <w:i/>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hideMark/>
          </w:tcPr>
          <w:p w14:paraId="56B642EB" w14:textId="77777777" w:rsidR="004E61C7" w:rsidRPr="004E61C7" w:rsidRDefault="004E61C7" w:rsidP="004E61C7">
            <w:pPr>
              <w:jc w:val="center"/>
              <w:rPr>
                <w:b/>
                <w:i/>
                <w:sz w:val="24"/>
                <w:szCs w:val="24"/>
                <w:lang w:eastAsia="ru-RU"/>
              </w:rPr>
            </w:pPr>
            <w:r w:rsidRPr="004E61C7">
              <w:rPr>
                <w:b/>
                <w:i/>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hideMark/>
          </w:tcPr>
          <w:p w14:paraId="293227D6" w14:textId="77777777" w:rsidR="004E61C7" w:rsidRPr="004E61C7" w:rsidRDefault="004E61C7" w:rsidP="004E61C7">
            <w:pPr>
              <w:jc w:val="center"/>
              <w:rPr>
                <w:b/>
                <w:i/>
                <w:sz w:val="24"/>
                <w:szCs w:val="24"/>
                <w:lang w:eastAsia="ru-RU"/>
              </w:rPr>
            </w:pPr>
            <w:r w:rsidRPr="004E61C7">
              <w:rPr>
                <w:b/>
                <w:i/>
                <w:sz w:val="24"/>
                <w:szCs w:val="24"/>
                <w:lang w:eastAsia="ru-RU"/>
              </w:rPr>
              <w:t>100,00</w:t>
            </w:r>
          </w:p>
        </w:tc>
        <w:tc>
          <w:tcPr>
            <w:tcW w:w="1134" w:type="dxa"/>
            <w:tcBorders>
              <w:top w:val="single" w:sz="4" w:space="0" w:color="auto"/>
              <w:left w:val="single" w:sz="4" w:space="0" w:color="auto"/>
              <w:bottom w:val="single" w:sz="4" w:space="0" w:color="auto"/>
              <w:right w:val="single" w:sz="4" w:space="0" w:color="auto"/>
            </w:tcBorders>
          </w:tcPr>
          <w:p w14:paraId="042EF6E4" w14:textId="77777777" w:rsidR="004E61C7" w:rsidRPr="004E61C7" w:rsidRDefault="004E61C7" w:rsidP="004E61C7">
            <w:pPr>
              <w:jc w:val="center"/>
              <w:rPr>
                <w:b/>
                <w:i/>
                <w:sz w:val="24"/>
                <w:szCs w:val="24"/>
                <w:lang w:eastAsia="ru-RU"/>
              </w:rPr>
            </w:pPr>
            <w:r w:rsidRPr="004E61C7">
              <w:rPr>
                <w:b/>
                <w:i/>
                <w:sz w:val="24"/>
                <w:szCs w:val="24"/>
                <w:lang w:eastAsia="ru-RU"/>
              </w:rPr>
              <w:t>100,00</w:t>
            </w:r>
          </w:p>
        </w:tc>
        <w:tc>
          <w:tcPr>
            <w:tcW w:w="1134" w:type="dxa"/>
            <w:tcBorders>
              <w:top w:val="single" w:sz="4" w:space="0" w:color="auto"/>
              <w:left w:val="single" w:sz="4" w:space="0" w:color="auto"/>
              <w:bottom w:val="single" w:sz="4" w:space="0" w:color="auto"/>
              <w:right w:val="single" w:sz="4" w:space="0" w:color="auto"/>
            </w:tcBorders>
          </w:tcPr>
          <w:p w14:paraId="18C23A82" w14:textId="77777777" w:rsidR="004E61C7" w:rsidRPr="004E61C7" w:rsidRDefault="004E61C7" w:rsidP="004E61C7">
            <w:pPr>
              <w:jc w:val="center"/>
              <w:rPr>
                <w:b/>
                <w:i/>
                <w:sz w:val="24"/>
                <w:szCs w:val="24"/>
                <w:lang w:eastAsia="ru-RU"/>
              </w:rPr>
            </w:pPr>
            <w:r w:rsidRPr="004E61C7">
              <w:rPr>
                <w:b/>
                <w:i/>
                <w:sz w:val="24"/>
                <w:szCs w:val="24"/>
                <w:lang w:eastAsia="ru-RU"/>
              </w:rPr>
              <w:t>360,0</w:t>
            </w:r>
          </w:p>
        </w:tc>
      </w:tr>
      <w:tr w:rsidR="004E61C7" w:rsidRPr="004E61C7" w14:paraId="121B659C" w14:textId="77777777" w:rsidTr="00651C4D">
        <w:tc>
          <w:tcPr>
            <w:tcW w:w="3085" w:type="dxa"/>
            <w:tcBorders>
              <w:top w:val="single" w:sz="4" w:space="0" w:color="auto"/>
              <w:left w:val="single" w:sz="4" w:space="0" w:color="auto"/>
              <w:bottom w:val="single" w:sz="4" w:space="0" w:color="auto"/>
              <w:right w:val="single" w:sz="4" w:space="0" w:color="auto"/>
            </w:tcBorders>
            <w:hideMark/>
          </w:tcPr>
          <w:p w14:paraId="5A738EBD" w14:textId="77777777" w:rsidR="004E61C7" w:rsidRPr="004E61C7" w:rsidRDefault="004E61C7" w:rsidP="004E61C7">
            <w:pPr>
              <w:rPr>
                <w:b/>
                <w:i/>
                <w:sz w:val="24"/>
                <w:szCs w:val="24"/>
                <w:lang w:eastAsia="ru-RU"/>
              </w:rPr>
            </w:pPr>
            <w:r w:rsidRPr="004E61C7">
              <w:rPr>
                <w:b/>
                <w:i/>
                <w:sz w:val="24"/>
                <w:szCs w:val="24"/>
                <w:lang w:eastAsia="ru-RU"/>
              </w:rPr>
              <w:t xml:space="preserve">Всього </w:t>
            </w:r>
          </w:p>
          <w:p w14:paraId="1E37D456" w14:textId="77777777" w:rsidR="004E61C7" w:rsidRPr="004E61C7" w:rsidRDefault="004E61C7" w:rsidP="004E61C7">
            <w:pPr>
              <w:rPr>
                <w:b/>
                <w:i/>
                <w:sz w:val="24"/>
                <w:szCs w:val="24"/>
                <w:lang w:eastAsia="ru-RU"/>
              </w:rPr>
            </w:pPr>
            <w:r w:rsidRPr="004E61C7">
              <w:rPr>
                <w:b/>
                <w:i/>
                <w:sz w:val="24"/>
                <w:szCs w:val="24"/>
                <w:lang w:eastAsia="ru-RU"/>
              </w:rPr>
              <w:t>на 2024 -2028 роки</w:t>
            </w:r>
          </w:p>
        </w:tc>
        <w:tc>
          <w:tcPr>
            <w:tcW w:w="1134" w:type="dxa"/>
            <w:tcBorders>
              <w:top w:val="single" w:sz="4" w:space="0" w:color="auto"/>
              <w:left w:val="single" w:sz="4" w:space="0" w:color="auto"/>
              <w:bottom w:val="single" w:sz="4" w:space="0" w:color="auto"/>
              <w:right w:val="single" w:sz="4" w:space="0" w:color="auto"/>
            </w:tcBorders>
            <w:hideMark/>
          </w:tcPr>
          <w:p w14:paraId="5ED99B64" w14:textId="77777777" w:rsidR="004E61C7" w:rsidRPr="004E61C7" w:rsidRDefault="004E61C7" w:rsidP="004E61C7">
            <w:pPr>
              <w:rPr>
                <w:b/>
                <w:i/>
                <w:sz w:val="24"/>
                <w:szCs w:val="24"/>
                <w:lang w:eastAsia="ru-RU"/>
              </w:rPr>
            </w:pPr>
            <w:r w:rsidRPr="004E61C7">
              <w:rPr>
                <w:b/>
                <w:i/>
                <w:sz w:val="24"/>
                <w:szCs w:val="24"/>
                <w:lang w:eastAsia="ru-RU"/>
              </w:rPr>
              <w:t xml:space="preserve">    0,00</w:t>
            </w:r>
          </w:p>
        </w:tc>
        <w:tc>
          <w:tcPr>
            <w:tcW w:w="1134" w:type="dxa"/>
            <w:tcBorders>
              <w:top w:val="single" w:sz="4" w:space="0" w:color="auto"/>
              <w:left w:val="single" w:sz="4" w:space="0" w:color="auto"/>
              <w:bottom w:val="single" w:sz="4" w:space="0" w:color="auto"/>
              <w:right w:val="single" w:sz="4" w:space="0" w:color="auto"/>
            </w:tcBorders>
            <w:hideMark/>
          </w:tcPr>
          <w:p w14:paraId="5D2B355A" w14:textId="77777777" w:rsidR="004E61C7" w:rsidRPr="004E61C7" w:rsidRDefault="004E61C7" w:rsidP="004E61C7">
            <w:pPr>
              <w:jc w:val="center"/>
              <w:rPr>
                <w:b/>
                <w:i/>
                <w:sz w:val="24"/>
                <w:szCs w:val="24"/>
                <w:lang w:eastAsia="ru-RU"/>
              </w:rPr>
            </w:pPr>
            <w:r w:rsidRPr="004E61C7">
              <w:rPr>
                <w:b/>
                <w:i/>
                <w:sz w:val="24"/>
                <w:szCs w:val="24"/>
                <w:lang w:eastAsia="ru-RU"/>
              </w:rPr>
              <w:t>1200,00</w:t>
            </w:r>
          </w:p>
        </w:tc>
        <w:tc>
          <w:tcPr>
            <w:tcW w:w="1134" w:type="dxa"/>
            <w:tcBorders>
              <w:top w:val="single" w:sz="4" w:space="0" w:color="auto"/>
              <w:left w:val="single" w:sz="4" w:space="0" w:color="auto"/>
              <w:bottom w:val="single" w:sz="4" w:space="0" w:color="auto"/>
              <w:right w:val="single" w:sz="4" w:space="0" w:color="auto"/>
            </w:tcBorders>
            <w:hideMark/>
          </w:tcPr>
          <w:p w14:paraId="5DAA985B" w14:textId="77777777" w:rsidR="004E61C7" w:rsidRPr="004E61C7" w:rsidRDefault="004E61C7" w:rsidP="004E61C7">
            <w:pPr>
              <w:jc w:val="center"/>
              <w:rPr>
                <w:b/>
                <w:i/>
                <w:sz w:val="24"/>
                <w:szCs w:val="24"/>
                <w:lang w:eastAsia="ru-RU"/>
              </w:rPr>
            </w:pPr>
            <w:r w:rsidRPr="004E61C7">
              <w:rPr>
                <w:b/>
                <w:i/>
                <w:sz w:val="24"/>
                <w:szCs w:val="24"/>
                <w:lang w:eastAsia="ru-RU"/>
              </w:rPr>
              <w:t>1200,00</w:t>
            </w:r>
          </w:p>
        </w:tc>
        <w:tc>
          <w:tcPr>
            <w:tcW w:w="1134" w:type="dxa"/>
            <w:tcBorders>
              <w:top w:val="single" w:sz="4" w:space="0" w:color="auto"/>
              <w:left w:val="single" w:sz="4" w:space="0" w:color="auto"/>
              <w:bottom w:val="single" w:sz="4" w:space="0" w:color="auto"/>
              <w:right w:val="single" w:sz="4" w:space="0" w:color="auto"/>
            </w:tcBorders>
            <w:hideMark/>
          </w:tcPr>
          <w:p w14:paraId="74A3D304" w14:textId="77777777" w:rsidR="004E61C7" w:rsidRPr="004E61C7" w:rsidRDefault="004E61C7" w:rsidP="004E61C7">
            <w:pPr>
              <w:jc w:val="center"/>
              <w:rPr>
                <w:b/>
                <w:i/>
                <w:sz w:val="24"/>
                <w:szCs w:val="24"/>
                <w:lang w:eastAsia="ru-RU"/>
              </w:rPr>
            </w:pPr>
            <w:r w:rsidRPr="004E61C7">
              <w:rPr>
                <w:b/>
                <w:i/>
                <w:sz w:val="24"/>
                <w:szCs w:val="24"/>
                <w:lang w:eastAsia="ru-RU"/>
              </w:rPr>
              <w:t>12900,00</w:t>
            </w:r>
          </w:p>
        </w:tc>
        <w:tc>
          <w:tcPr>
            <w:tcW w:w="1134" w:type="dxa"/>
            <w:tcBorders>
              <w:top w:val="single" w:sz="4" w:space="0" w:color="auto"/>
              <w:left w:val="single" w:sz="4" w:space="0" w:color="auto"/>
              <w:bottom w:val="single" w:sz="4" w:space="0" w:color="auto"/>
              <w:right w:val="single" w:sz="4" w:space="0" w:color="auto"/>
            </w:tcBorders>
          </w:tcPr>
          <w:p w14:paraId="4BE3393D" w14:textId="77777777" w:rsidR="004E61C7" w:rsidRPr="004E61C7" w:rsidRDefault="004E61C7" w:rsidP="004E61C7">
            <w:pPr>
              <w:jc w:val="center"/>
              <w:rPr>
                <w:b/>
                <w:i/>
                <w:sz w:val="24"/>
                <w:szCs w:val="24"/>
                <w:lang w:eastAsia="ru-RU"/>
              </w:rPr>
            </w:pPr>
            <w:r w:rsidRPr="004E61C7">
              <w:rPr>
                <w:b/>
                <w:i/>
                <w:sz w:val="24"/>
                <w:szCs w:val="24"/>
                <w:lang w:eastAsia="ru-RU"/>
              </w:rPr>
              <w:t>11300,00</w:t>
            </w:r>
          </w:p>
        </w:tc>
        <w:tc>
          <w:tcPr>
            <w:tcW w:w="1134" w:type="dxa"/>
            <w:tcBorders>
              <w:top w:val="single" w:sz="4" w:space="0" w:color="auto"/>
              <w:left w:val="single" w:sz="4" w:space="0" w:color="auto"/>
              <w:bottom w:val="single" w:sz="4" w:space="0" w:color="auto"/>
              <w:right w:val="single" w:sz="4" w:space="0" w:color="auto"/>
            </w:tcBorders>
          </w:tcPr>
          <w:p w14:paraId="6717AB81" w14:textId="77777777" w:rsidR="004E61C7" w:rsidRPr="004E61C7" w:rsidRDefault="004E61C7" w:rsidP="004E61C7">
            <w:pPr>
              <w:jc w:val="center"/>
              <w:rPr>
                <w:b/>
                <w:i/>
                <w:sz w:val="24"/>
                <w:szCs w:val="24"/>
                <w:lang w:eastAsia="ru-RU"/>
              </w:rPr>
            </w:pPr>
            <w:r w:rsidRPr="004E61C7">
              <w:rPr>
                <w:b/>
                <w:i/>
                <w:sz w:val="24"/>
                <w:szCs w:val="24"/>
                <w:lang w:eastAsia="ru-RU"/>
              </w:rPr>
              <w:t>26600,0</w:t>
            </w:r>
          </w:p>
        </w:tc>
      </w:tr>
    </w:tbl>
    <w:p w14:paraId="4015BACF" w14:textId="77777777" w:rsidR="004E61C7" w:rsidRPr="004E61C7" w:rsidRDefault="004E61C7" w:rsidP="004E61C7">
      <w:pPr>
        <w:spacing w:before="120" w:after="0" w:line="240" w:lineRule="auto"/>
        <w:jc w:val="both"/>
        <w:rPr>
          <w:rFonts w:ascii="Times New Roman" w:eastAsia="Times New Roman" w:hAnsi="Times New Roman" w:cs="Times New Roman"/>
          <w:b/>
          <w:sz w:val="32"/>
          <w:szCs w:val="32"/>
          <w:lang w:eastAsia="ru-RU"/>
        </w:rPr>
      </w:pPr>
      <w:r w:rsidRPr="004E61C7">
        <w:rPr>
          <w:rFonts w:ascii="Times New Roman" w:eastAsia="Times New Roman" w:hAnsi="Times New Roman" w:cs="Times New Roman"/>
          <w:b/>
          <w:sz w:val="32"/>
          <w:szCs w:val="32"/>
          <w:lang w:eastAsia="ru-RU"/>
        </w:rPr>
        <w:tab/>
      </w:r>
    </w:p>
    <w:p w14:paraId="1CAC6653" w14:textId="77777777" w:rsidR="004E61C7" w:rsidRPr="004E61C7" w:rsidRDefault="004E61C7" w:rsidP="004E61C7">
      <w:pPr>
        <w:spacing w:before="120" w:after="0" w:line="240" w:lineRule="auto"/>
        <w:jc w:val="both"/>
        <w:rPr>
          <w:rFonts w:ascii="Times New Roman" w:eastAsia="Times New Roman" w:hAnsi="Times New Roman" w:cs="Times New Roman"/>
          <w:b/>
          <w:i/>
          <w:sz w:val="32"/>
          <w:szCs w:val="32"/>
          <w:lang w:eastAsia="ru-RU"/>
        </w:rPr>
      </w:pPr>
      <w:r w:rsidRPr="004E61C7">
        <w:rPr>
          <w:rFonts w:ascii="Times New Roman" w:eastAsia="Times New Roman" w:hAnsi="Times New Roman" w:cs="Times New Roman"/>
          <w:b/>
          <w:sz w:val="32"/>
          <w:szCs w:val="32"/>
          <w:lang w:eastAsia="ru-RU"/>
        </w:rPr>
        <w:t xml:space="preserve">        </w:t>
      </w:r>
      <w:r w:rsidRPr="004E61C7">
        <w:rPr>
          <w:rFonts w:ascii="Times New Roman" w:eastAsia="Times New Roman" w:hAnsi="Times New Roman" w:cs="Times New Roman"/>
          <w:b/>
          <w:sz w:val="32"/>
          <w:szCs w:val="32"/>
          <w:lang w:val="en-US" w:eastAsia="ru-RU"/>
        </w:rPr>
        <w:t>V</w:t>
      </w:r>
      <w:r w:rsidRPr="004E61C7">
        <w:rPr>
          <w:rFonts w:ascii="Times New Roman" w:eastAsia="Times New Roman" w:hAnsi="Times New Roman" w:cs="Times New Roman"/>
          <w:b/>
          <w:sz w:val="32"/>
          <w:szCs w:val="32"/>
          <w:lang w:eastAsia="ru-RU"/>
        </w:rPr>
        <w:t xml:space="preserve">І. </w:t>
      </w:r>
      <w:r w:rsidRPr="004E61C7">
        <w:rPr>
          <w:rFonts w:ascii="Times New Roman" w:eastAsia="Times New Roman" w:hAnsi="Times New Roman" w:cs="Times New Roman"/>
          <w:b/>
          <w:i/>
          <w:sz w:val="32"/>
          <w:szCs w:val="32"/>
          <w:lang w:eastAsia="ru-RU"/>
        </w:rPr>
        <w:t>Очікувані результати та результативні показники.</w:t>
      </w:r>
    </w:p>
    <w:p w14:paraId="1CDE50CD" w14:textId="77777777" w:rsidR="004E61C7" w:rsidRPr="004E61C7" w:rsidRDefault="004E61C7" w:rsidP="004E61C7">
      <w:pPr>
        <w:spacing w:before="120" w:after="0" w:line="240" w:lineRule="auto"/>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w:t>
      </w:r>
      <w:r w:rsidRPr="004E61C7">
        <w:rPr>
          <w:rFonts w:ascii="Times New Roman" w:eastAsia="Times New Roman" w:hAnsi="Times New Roman" w:cs="Times New Roman"/>
          <w:sz w:val="28"/>
          <w:szCs w:val="28"/>
          <w:lang w:eastAsia="ru-RU"/>
        </w:rPr>
        <w:tab/>
        <w:t xml:space="preserve">Розроблення містобудівної документації містобудівної документації населених пунктів Броварської міської територіальної громади Броварського району Київської області надасть можливість бачення майбутнього розвитку </w:t>
      </w:r>
      <w:r w:rsidRPr="004E61C7">
        <w:rPr>
          <w:rFonts w:ascii="Times New Roman" w:eastAsia="Times New Roman" w:hAnsi="Times New Roman" w:cs="Times New Roman"/>
          <w:sz w:val="28"/>
          <w:szCs w:val="28"/>
          <w:lang w:eastAsia="ru-RU"/>
        </w:rPr>
        <w:lastRenderedPageBreak/>
        <w:t>територіальної громади у вигляді переліку пріоритетів та стратегічних цілей, вимірюваних індикаторів їх досягнення (індикаторів розвитку територіальної громади), що мають просторове відображення на території територіальної громади, своєчасного прогнозування та підготовки соціальної, інженерно-транспортної інфраструктури та інших галузей господарського комплексу громади в умовах зміни пріоритетів та параметрів для здійснення державної містобудівної політики в громаді.</w:t>
      </w:r>
    </w:p>
    <w:p w14:paraId="17CE895D"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картографо-геодезичної основи.</w:t>
      </w:r>
    </w:p>
    <w:p w14:paraId="697873CC"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Термін виконання програми – 2024 - 2028 роки.</w:t>
      </w:r>
    </w:p>
    <w:p w14:paraId="4CFF5018" w14:textId="77777777" w:rsidR="004E61C7" w:rsidRPr="004E61C7" w:rsidRDefault="004E61C7" w:rsidP="004E61C7">
      <w:pPr>
        <w:spacing w:after="0" w:line="240" w:lineRule="auto"/>
        <w:ind w:firstLine="540"/>
        <w:jc w:val="both"/>
        <w:rPr>
          <w:rFonts w:ascii="Times New Roman" w:eastAsia="Times New Roman" w:hAnsi="Times New Roman" w:cs="Times New Roman"/>
          <w:sz w:val="28"/>
          <w:szCs w:val="28"/>
          <w:lang w:eastAsia="ru-RU"/>
        </w:rPr>
      </w:pPr>
      <w:r w:rsidRPr="004E61C7">
        <w:rPr>
          <w:rFonts w:ascii="Times New Roman" w:eastAsia="Times New Roman" w:hAnsi="Times New Roman" w:cs="Times New Roman"/>
          <w:sz w:val="28"/>
          <w:szCs w:val="28"/>
          <w:lang w:eastAsia="ru-RU"/>
        </w:rPr>
        <w:t xml:space="preserve">  Відповідальний виконавець – Управління містобудування та архітектури виконавчого комітету Броварської міської ради Броварського району Київської області.</w:t>
      </w:r>
    </w:p>
    <w:p w14:paraId="79B093A3" w14:textId="77777777" w:rsidR="004E61C7" w:rsidRPr="004E61C7" w:rsidRDefault="004E61C7" w:rsidP="004E61C7">
      <w:pPr>
        <w:spacing w:after="0" w:line="240" w:lineRule="auto"/>
        <w:rPr>
          <w:rFonts w:ascii="Times New Roman" w:eastAsia="Times New Roman" w:hAnsi="Times New Roman" w:cs="Times New Roman"/>
          <w:b/>
          <w:i/>
          <w:sz w:val="28"/>
          <w:szCs w:val="28"/>
          <w:lang w:eastAsia="ru-RU"/>
        </w:rPr>
      </w:pPr>
    </w:p>
    <w:p w14:paraId="061CDC23" w14:textId="77777777" w:rsidR="004E61C7" w:rsidRPr="004E61C7" w:rsidRDefault="004E61C7" w:rsidP="004E61C7">
      <w:pPr>
        <w:spacing w:after="0" w:line="240" w:lineRule="auto"/>
        <w:rPr>
          <w:rFonts w:ascii="Times New Roman" w:eastAsia="Times New Roman" w:hAnsi="Times New Roman" w:cs="Times New Roman"/>
          <w:b/>
          <w:i/>
          <w:sz w:val="28"/>
          <w:szCs w:val="28"/>
          <w:lang w:eastAsia="ru-RU"/>
        </w:rPr>
      </w:pPr>
    </w:p>
    <w:p w14:paraId="1C35F160" w14:textId="77777777" w:rsidR="004E61C7" w:rsidRPr="004E61C7" w:rsidRDefault="004E61C7" w:rsidP="004E61C7">
      <w:pPr>
        <w:spacing w:after="0" w:line="240" w:lineRule="auto"/>
        <w:rPr>
          <w:rFonts w:ascii="Times New Roman" w:eastAsia="Times New Roman" w:hAnsi="Times New Roman" w:cs="Times New Roman"/>
          <w:sz w:val="24"/>
          <w:szCs w:val="24"/>
          <w:lang w:val="ru-RU" w:eastAsia="ru-RU"/>
        </w:rPr>
      </w:pPr>
      <w:r w:rsidRPr="004E61C7">
        <w:rPr>
          <w:rFonts w:ascii="Times New Roman" w:eastAsia="Times New Roman" w:hAnsi="Times New Roman" w:cs="Times New Roman"/>
          <w:sz w:val="28"/>
          <w:szCs w:val="28"/>
          <w:lang w:eastAsia="ru-RU"/>
        </w:rPr>
        <w:t xml:space="preserve">Міський голова                                                                Ігор САПОЖКО         </w:t>
      </w:r>
      <w:permEnd w:id="1"/>
    </w:p>
    <w:sectPr w:rsidR="004E61C7" w:rsidRPr="004E61C7" w:rsidSect="004F7CAD">
      <w:headerReference w:type="default" r:id="rId10"/>
      <w:footerReference w:type="default" r:id="rId11"/>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0C08" w14:textId="77777777" w:rsidR="00741BC8" w:rsidRDefault="00741BC8">
      <w:pPr>
        <w:spacing w:after="0" w:line="240" w:lineRule="auto"/>
      </w:pPr>
      <w:r>
        <w:separator/>
      </w:r>
    </w:p>
  </w:endnote>
  <w:endnote w:type="continuationSeparator" w:id="0">
    <w:p w14:paraId="733CE312" w14:textId="77777777" w:rsidR="00741BC8" w:rsidRDefault="0074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E356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619B" w14:textId="77777777" w:rsidR="00741BC8" w:rsidRDefault="00741BC8">
      <w:pPr>
        <w:spacing w:after="0" w:line="240" w:lineRule="auto"/>
      </w:pPr>
      <w:r>
        <w:separator/>
      </w:r>
    </w:p>
  </w:footnote>
  <w:footnote w:type="continuationSeparator" w:id="0">
    <w:p w14:paraId="252D9103" w14:textId="77777777" w:rsidR="00741BC8" w:rsidRDefault="0074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4E356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126C7"/>
    <w:multiLevelType w:val="hybridMultilevel"/>
    <w:tmpl w:val="CDD02F5A"/>
    <w:lvl w:ilvl="0" w:tplc="88EAEEB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37946E6"/>
    <w:multiLevelType w:val="hybridMultilevel"/>
    <w:tmpl w:val="62D645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0BE6CA5"/>
    <w:multiLevelType w:val="hybridMultilevel"/>
    <w:tmpl w:val="CC324CBC"/>
    <w:lvl w:ilvl="0" w:tplc="65BE8146">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16cid:durableId="1182167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913627">
    <w:abstractNumId w:val="0"/>
  </w:num>
  <w:num w:numId="3" w16cid:durableId="173107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7116C"/>
    <w:rsid w:val="002D71B2"/>
    <w:rsid w:val="003044F0"/>
    <w:rsid w:val="003530E1"/>
    <w:rsid w:val="003735BC"/>
    <w:rsid w:val="003A4315"/>
    <w:rsid w:val="003B2A39"/>
    <w:rsid w:val="004208DA"/>
    <w:rsid w:val="00424AD7"/>
    <w:rsid w:val="00424B54"/>
    <w:rsid w:val="00456BA9"/>
    <w:rsid w:val="004851E3"/>
    <w:rsid w:val="004A29C7"/>
    <w:rsid w:val="004C0164"/>
    <w:rsid w:val="004C6C25"/>
    <w:rsid w:val="004E356E"/>
    <w:rsid w:val="004E61C7"/>
    <w:rsid w:val="004F7CAD"/>
    <w:rsid w:val="00520285"/>
    <w:rsid w:val="00524AF7"/>
    <w:rsid w:val="00545B76"/>
    <w:rsid w:val="0066012A"/>
    <w:rsid w:val="00660131"/>
    <w:rsid w:val="00741BC8"/>
    <w:rsid w:val="00784598"/>
    <w:rsid w:val="007C582E"/>
    <w:rsid w:val="0081066D"/>
    <w:rsid w:val="00853C00"/>
    <w:rsid w:val="00893E2E"/>
    <w:rsid w:val="008B6EF2"/>
    <w:rsid w:val="009378D7"/>
    <w:rsid w:val="009E1F3A"/>
    <w:rsid w:val="00A67CE5"/>
    <w:rsid w:val="00A84A56"/>
    <w:rsid w:val="00B20C04"/>
    <w:rsid w:val="00B3670E"/>
    <w:rsid w:val="00BF532A"/>
    <w:rsid w:val="00C46CEC"/>
    <w:rsid w:val="00C72BF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table" w:styleId="a7">
    <w:name w:val="Table Grid"/>
    <w:basedOn w:val="a1"/>
    <w:rsid w:val="004E61C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354-19/paran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2354-19/paran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45E0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1B59E8"/>
    <w:rsid w:val="004D1168"/>
    <w:rsid w:val="00767368"/>
    <w:rsid w:val="009248AD"/>
    <w:rsid w:val="00934C4A"/>
    <w:rsid w:val="00A51DB1"/>
    <w:rsid w:val="00AE1036"/>
    <w:rsid w:val="00C45E07"/>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7EF6-CA79-47AE-9BD0-2A5DCBAF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9942</Words>
  <Characters>5668</Characters>
  <Application>Microsoft Office Word</Application>
  <DocSecurity>8</DocSecurity>
  <Lines>47</Lines>
  <Paragraphs>31</Paragraphs>
  <ScaleCrop>false</ScaleCrop>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6</cp:revision>
  <dcterms:created xsi:type="dcterms:W3CDTF">2023-12-21T13:50:00Z</dcterms:created>
  <dcterms:modified xsi:type="dcterms:W3CDTF">2023-12-21T14:22:00Z</dcterms:modified>
</cp:coreProperties>
</file>