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01BC" w14:textId="77777777" w:rsidR="00F77F0C" w:rsidRDefault="00084B7E" w:rsidP="00B3670E">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F77F0C">
        <w:rPr>
          <w:rFonts w:ascii="Times New Roman" w:hAnsi="Times New Roman" w:cs="Times New Roman"/>
          <w:sz w:val="28"/>
          <w:szCs w:val="28"/>
          <w:lang w:val="ru-RU"/>
        </w:rPr>
        <w:t xml:space="preserve"> </w:t>
      </w:r>
    </w:p>
    <w:p w14:paraId="5C916CD2" w14:textId="2A036CE0" w:rsidR="004208DA" w:rsidRPr="00456BA9" w:rsidRDefault="00F77F0C"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r w:rsidR="00456BA9" w:rsidRPr="00F77F0C">
        <w:rPr>
          <w:rFonts w:ascii="Times New Roman" w:hAnsi="Times New Roman" w:cs="Times New Roman"/>
          <w:sz w:val="28"/>
          <w:szCs w:val="28"/>
          <w:lang w:val="ru-RU"/>
        </w:rPr>
        <w:t xml:space="preserve">     </w:t>
      </w:r>
      <w:permEnd w:id="0"/>
    </w:p>
    <w:p w14:paraId="6E2C2E53" w14:textId="690770F3" w:rsidR="007C582E" w:rsidRDefault="00084B7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084B7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084B7E"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51A7D3D6" w:rsidR="003530E1" w:rsidRPr="004208DA" w:rsidRDefault="002D6FB2"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ід</w:t>
      </w:r>
      <w:r>
        <w:rPr>
          <w:rFonts w:ascii="Times New Roman" w:hAnsi="Times New Roman" w:cs="Times New Roman"/>
          <w:sz w:val="28"/>
          <w:szCs w:val="28"/>
        </w:rPr>
        <w:t xml:space="preserve"> 21.12.2023</w:t>
      </w:r>
      <w:r w:rsidR="0066012A">
        <w:rPr>
          <w:rFonts w:ascii="Times New Roman" w:hAnsi="Times New Roman" w:cs="Times New Roman"/>
          <w:sz w:val="28"/>
          <w:szCs w:val="28"/>
        </w:rPr>
        <w:t xml:space="preserve"> №</w:t>
      </w:r>
      <w:r>
        <w:rPr>
          <w:rFonts w:ascii="Times New Roman" w:hAnsi="Times New Roman" w:cs="Times New Roman"/>
          <w:sz w:val="28"/>
          <w:szCs w:val="28"/>
        </w:rPr>
        <w:t>1453-61-08</w:t>
      </w:r>
    </w:p>
    <w:p w14:paraId="0A449B32" w14:textId="77777777" w:rsidR="004208DA" w:rsidRDefault="004208DA" w:rsidP="004208DA">
      <w:pPr>
        <w:spacing w:after="0"/>
        <w:rPr>
          <w:rFonts w:ascii="Times New Roman" w:hAnsi="Times New Roman" w:cs="Times New Roman"/>
          <w:sz w:val="28"/>
          <w:szCs w:val="28"/>
        </w:rPr>
      </w:pPr>
    </w:p>
    <w:p w14:paraId="15BFB15B" w14:textId="77777777" w:rsidR="002D6FB2" w:rsidRDefault="002D6FB2" w:rsidP="004208DA">
      <w:pPr>
        <w:spacing w:after="0"/>
        <w:rPr>
          <w:rFonts w:ascii="Times New Roman" w:hAnsi="Times New Roman" w:cs="Times New Roman"/>
          <w:sz w:val="28"/>
          <w:szCs w:val="28"/>
        </w:rPr>
      </w:pPr>
    </w:p>
    <w:p w14:paraId="063DBE15" w14:textId="77777777" w:rsidR="002D6FB2" w:rsidRDefault="002D6FB2" w:rsidP="004208DA">
      <w:pPr>
        <w:spacing w:after="0"/>
        <w:rPr>
          <w:rFonts w:ascii="Times New Roman" w:hAnsi="Times New Roman" w:cs="Times New Roman"/>
          <w:sz w:val="28"/>
          <w:szCs w:val="28"/>
        </w:rPr>
      </w:pPr>
    </w:p>
    <w:p w14:paraId="0641F213" w14:textId="77777777" w:rsidR="002D6FB2" w:rsidRDefault="002D6FB2" w:rsidP="004208DA">
      <w:pPr>
        <w:spacing w:after="0"/>
        <w:rPr>
          <w:rFonts w:ascii="Times New Roman" w:hAnsi="Times New Roman" w:cs="Times New Roman"/>
          <w:sz w:val="28"/>
          <w:szCs w:val="28"/>
        </w:rPr>
      </w:pPr>
    </w:p>
    <w:p w14:paraId="63AA138D" w14:textId="77777777" w:rsidR="002D6FB2" w:rsidRDefault="002D6FB2" w:rsidP="004208DA">
      <w:pPr>
        <w:spacing w:after="0"/>
        <w:rPr>
          <w:rFonts w:ascii="Times New Roman" w:hAnsi="Times New Roman" w:cs="Times New Roman"/>
          <w:sz w:val="28"/>
          <w:szCs w:val="28"/>
        </w:rPr>
      </w:pPr>
    </w:p>
    <w:p w14:paraId="7FE5C9B9" w14:textId="77777777" w:rsidR="002D6FB2" w:rsidRDefault="002D6FB2" w:rsidP="004208DA">
      <w:pPr>
        <w:spacing w:after="0"/>
        <w:rPr>
          <w:rFonts w:ascii="Times New Roman" w:hAnsi="Times New Roman" w:cs="Times New Roman"/>
          <w:sz w:val="28"/>
          <w:szCs w:val="28"/>
        </w:rPr>
      </w:pPr>
    </w:p>
    <w:p w14:paraId="098CF228" w14:textId="77777777" w:rsidR="002D6FB2" w:rsidRPr="007C582E" w:rsidRDefault="002D6FB2" w:rsidP="004208DA">
      <w:pPr>
        <w:spacing w:after="0"/>
        <w:rPr>
          <w:rFonts w:ascii="Times New Roman" w:hAnsi="Times New Roman" w:cs="Times New Roman"/>
          <w:sz w:val="28"/>
          <w:szCs w:val="28"/>
        </w:rPr>
      </w:pPr>
    </w:p>
    <w:p w14:paraId="442C5BB9" w14:textId="77777777" w:rsidR="00F77F0C" w:rsidRPr="00BF7EF0" w:rsidRDefault="00F77F0C" w:rsidP="00F77F0C">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Програма</w:t>
      </w:r>
    </w:p>
    <w:p w14:paraId="74C78F63" w14:textId="77777777" w:rsidR="00F77F0C" w:rsidRPr="00BF7EF0" w:rsidRDefault="00F77F0C" w:rsidP="00F77F0C">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 </w:t>
      </w:r>
    </w:p>
    <w:p w14:paraId="26D4B83C" w14:textId="77777777" w:rsidR="00F77F0C" w:rsidRPr="00BF7EF0" w:rsidRDefault="00F77F0C" w:rsidP="00F77F0C">
      <w:pPr>
        <w:spacing w:after="0" w:line="36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ведення містобудівного кадастру на території </w:t>
      </w:r>
    </w:p>
    <w:p w14:paraId="49ACA598" w14:textId="77777777" w:rsidR="00F77F0C" w:rsidRPr="00BF7EF0" w:rsidRDefault="00F77F0C" w:rsidP="00F77F0C">
      <w:pPr>
        <w:spacing w:after="0" w:line="36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Броварської міської територіальної громади Броварського району Київської області на 2024- 2028 роки</w:t>
      </w:r>
    </w:p>
    <w:p w14:paraId="7F59A336" w14:textId="77777777" w:rsidR="00F77F0C" w:rsidRPr="00BF7EF0" w:rsidRDefault="00F77F0C" w:rsidP="00F77F0C">
      <w:pPr>
        <w:spacing w:after="0" w:line="240" w:lineRule="auto"/>
        <w:jc w:val="center"/>
        <w:rPr>
          <w:rFonts w:ascii="Times New Roman" w:eastAsia="Times New Roman" w:hAnsi="Times New Roman" w:cs="Times New Roman"/>
          <w:sz w:val="28"/>
          <w:szCs w:val="28"/>
          <w:lang w:eastAsia="ru-RU"/>
        </w:rPr>
      </w:pPr>
    </w:p>
    <w:p w14:paraId="2CD75D82" w14:textId="77777777" w:rsidR="00F77F0C" w:rsidRPr="00BF7EF0" w:rsidRDefault="00F77F0C" w:rsidP="00F77F0C">
      <w:pPr>
        <w:spacing w:after="0" w:line="240" w:lineRule="auto"/>
        <w:jc w:val="center"/>
        <w:rPr>
          <w:rFonts w:ascii="Times New Roman" w:eastAsia="Times New Roman" w:hAnsi="Times New Roman" w:cs="Times New Roman"/>
          <w:sz w:val="28"/>
          <w:szCs w:val="28"/>
          <w:lang w:eastAsia="ru-RU"/>
        </w:rPr>
      </w:pPr>
    </w:p>
    <w:p w14:paraId="5D2B06B0" w14:textId="77777777" w:rsidR="00F77F0C" w:rsidRPr="00BF7EF0" w:rsidRDefault="00F77F0C" w:rsidP="00F77F0C">
      <w:pPr>
        <w:spacing w:after="0" w:line="240" w:lineRule="auto"/>
        <w:jc w:val="right"/>
        <w:rPr>
          <w:rFonts w:ascii="Times New Roman" w:eastAsia="Times New Roman" w:hAnsi="Times New Roman" w:cs="Times New Roman"/>
          <w:sz w:val="28"/>
          <w:szCs w:val="28"/>
          <w:lang w:eastAsia="ru-RU"/>
        </w:rPr>
      </w:pPr>
    </w:p>
    <w:p w14:paraId="56AC6C32" w14:textId="77777777" w:rsidR="00F77F0C" w:rsidRPr="00BF7EF0" w:rsidRDefault="00F77F0C" w:rsidP="00F77F0C">
      <w:pPr>
        <w:spacing w:after="0" w:line="240" w:lineRule="auto"/>
        <w:jc w:val="right"/>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2FBFA756" w14:textId="77777777" w:rsidR="00F77F0C" w:rsidRPr="00BF7EF0" w:rsidRDefault="00F77F0C" w:rsidP="00F77F0C">
      <w:pPr>
        <w:rPr>
          <w:rFonts w:ascii="Times New Roman" w:eastAsia="Times New Roman" w:hAnsi="Times New Roman" w:cs="Times New Roman"/>
          <w:sz w:val="28"/>
          <w:szCs w:val="28"/>
          <w:lang w:eastAsia="ru-RU"/>
        </w:rPr>
      </w:pPr>
    </w:p>
    <w:p w14:paraId="66835AAB" w14:textId="77777777" w:rsidR="00F77F0C" w:rsidRPr="00BF7EF0" w:rsidRDefault="00F77F0C" w:rsidP="00F77F0C">
      <w:pPr>
        <w:rPr>
          <w:rFonts w:ascii="Times New Roman" w:eastAsia="Times New Roman" w:hAnsi="Times New Roman" w:cs="Times New Roman"/>
          <w:sz w:val="28"/>
          <w:szCs w:val="28"/>
          <w:lang w:eastAsia="ru-RU"/>
        </w:rPr>
      </w:pPr>
    </w:p>
    <w:p w14:paraId="583A3673" w14:textId="77777777" w:rsidR="00F77F0C" w:rsidRPr="00BF7EF0" w:rsidRDefault="00F77F0C" w:rsidP="00F77F0C">
      <w:pPr>
        <w:rPr>
          <w:rFonts w:ascii="Times New Roman" w:eastAsia="Times New Roman" w:hAnsi="Times New Roman" w:cs="Times New Roman"/>
          <w:sz w:val="28"/>
          <w:szCs w:val="28"/>
          <w:lang w:eastAsia="ru-RU"/>
        </w:rPr>
      </w:pPr>
    </w:p>
    <w:p w14:paraId="4C47BBEF" w14:textId="77777777" w:rsidR="00F77F0C" w:rsidRPr="00BF7EF0" w:rsidRDefault="00F77F0C" w:rsidP="00F77F0C">
      <w:pPr>
        <w:rPr>
          <w:rFonts w:ascii="Times New Roman" w:eastAsia="Times New Roman" w:hAnsi="Times New Roman" w:cs="Times New Roman"/>
          <w:sz w:val="28"/>
          <w:szCs w:val="28"/>
          <w:lang w:eastAsia="ru-RU"/>
        </w:rPr>
      </w:pPr>
    </w:p>
    <w:p w14:paraId="770197B6" w14:textId="77777777" w:rsidR="00F77F0C" w:rsidRPr="00BF7EF0" w:rsidRDefault="00F77F0C" w:rsidP="00F77F0C">
      <w:pPr>
        <w:rPr>
          <w:rFonts w:ascii="Times New Roman" w:eastAsia="Times New Roman" w:hAnsi="Times New Roman" w:cs="Times New Roman"/>
          <w:sz w:val="28"/>
          <w:szCs w:val="28"/>
          <w:lang w:eastAsia="ru-RU"/>
        </w:rPr>
      </w:pPr>
    </w:p>
    <w:p w14:paraId="132623CC" w14:textId="77777777" w:rsidR="00F77F0C" w:rsidRPr="00BF7EF0" w:rsidRDefault="00F77F0C" w:rsidP="00F77F0C">
      <w:pPr>
        <w:rPr>
          <w:rFonts w:ascii="Times New Roman" w:eastAsia="Times New Roman" w:hAnsi="Times New Roman" w:cs="Times New Roman"/>
          <w:sz w:val="28"/>
          <w:szCs w:val="28"/>
          <w:lang w:eastAsia="ru-RU"/>
        </w:rPr>
      </w:pPr>
    </w:p>
    <w:p w14:paraId="3937F432" w14:textId="77777777" w:rsidR="00F77F0C" w:rsidRPr="00BF7EF0" w:rsidRDefault="00F77F0C" w:rsidP="00F77F0C">
      <w:pPr>
        <w:rPr>
          <w:rFonts w:ascii="Times New Roman" w:eastAsia="Times New Roman" w:hAnsi="Times New Roman" w:cs="Times New Roman"/>
          <w:sz w:val="28"/>
          <w:szCs w:val="28"/>
          <w:lang w:eastAsia="ru-RU"/>
        </w:rPr>
      </w:pPr>
    </w:p>
    <w:p w14:paraId="329FE6A6" w14:textId="77777777" w:rsidR="00F77F0C" w:rsidRPr="00BF7EF0" w:rsidRDefault="00F77F0C" w:rsidP="00F77F0C">
      <w:pPr>
        <w:rPr>
          <w:rFonts w:ascii="Times New Roman" w:eastAsia="Times New Roman" w:hAnsi="Times New Roman" w:cs="Times New Roman"/>
          <w:sz w:val="28"/>
          <w:szCs w:val="28"/>
          <w:lang w:eastAsia="ru-RU"/>
        </w:rPr>
      </w:pPr>
    </w:p>
    <w:p w14:paraId="3B6048E5" w14:textId="77777777" w:rsidR="00F77F0C" w:rsidRPr="00BF7EF0" w:rsidRDefault="00F77F0C" w:rsidP="00F77F0C">
      <w:pPr>
        <w:rPr>
          <w:rFonts w:ascii="Times New Roman" w:eastAsia="Times New Roman" w:hAnsi="Times New Roman" w:cs="Times New Roman"/>
          <w:sz w:val="28"/>
          <w:szCs w:val="28"/>
          <w:lang w:eastAsia="ru-RU"/>
        </w:rPr>
      </w:pPr>
    </w:p>
    <w:p w14:paraId="77D943D1" w14:textId="77777777" w:rsidR="00F77F0C" w:rsidRPr="00BF7EF0" w:rsidRDefault="00F77F0C" w:rsidP="00F77F0C">
      <w:pPr>
        <w:rPr>
          <w:rFonts w:ascii="Times New Roman" w:eastAsia="Times New Roman" w:hAnsi="Times New Roman" w:cs="Times New Roman"/>
          <w:sz w:val="28"/>
          <w:szCs w:val="28"/>
          <w:lang w:eastAsia="ru-RU"/>
        </w:rPr>
      </w:pPr>
    </w:p>
    <w:p w14:paraId="650BA5D4" w14:textId="77777777" w:rsidR="00F77F0C" w:rsidRPr="00BF7EF0" w:rsidRDefault="00F77F0C" w:rsidP="00F77F0C">
      <w:pPr>
        <w:rPr>
          <w:rFonts w:ascii="Times New Roman" w:eastAsia="Times New Roman" w:hAnsi="Times New Roman" w:cs="Times New Roman"/>
          <w:sz w:val="28"/>
          <w:szCs w:val="28"/>
          <w:lang w:eastAsia="ru-RU"/>
        </w:rPr>
      </w:pPr>
    </w:p>
    <w:p w14:paraId="0AE5AE6E" w14:textId="77777777" w:rsidR="00F77F0C" w:rsidRPr="00BF7EF0" w:rsidRDefault="00F77F0C" w:rsidP="00F77F0C">
      <w:pPr>
        <w:spacing w:after="0"/>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br w:type="page"/>
      </w:r>
      <w:r w:rsidRPr="00BF7EF0">
        <w:rPr>
          <w:rFonts w:ascii="Times New Roman" w:eastAsia="Times New Roman" w:hAnsi="Times New Roman" w:cs="Times New Roman"/>
          <w:b/>
          <w:sz w:val="28"/>
          <w:szCs w:val="28"/>
          <w:lang w:eastAsia="ru-RU"/>
        </w:rPr>
        <w:lastRenderedPageBreak/>
        <w:t>ПРОГРАМА</w:t>
      </w:r>
    </w:p>
    <w:p w14:paraId="28616178" w14:textId="77777777" w:rsidR="00F77F0C" w:rsidRPr="00BF7EF0" w:rsidRDefault="00F77F0C" w:rsidP="00F77F0C">
      <w:pPr>
        <w:tabs>
          <w:tab w:val="left" w:pos="3390"/>
        </w:tabs>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    ведення містобудівного кадастру на території </w:t>
      </w:r>
    </w:p>
    <w:p w14:paraId="3AE4F237" w14:textId="77777777" w:rsidR="00F77F0C" w:rsidRPr="00BF7EF0" w:rsidRDefault="00F77F0C" w:rsidP="00F77F0C">
      <w:pPr>
        <w:tabs>
          <w:tab w:val="left" w:pos="3390"/>
        </w:tabs>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    Броварської міської територіальної громади </w:t>
      </w:r>
    </w:p>
    <w:p w14:paraId="7C2CF59A" w14:textId="77777777" w:rsidR="00F77F0C" w:rsidRPr="00BF7EF0" w:rsidRDefault="00F77F0C" w:rsidP="00F77F0C">
      <w:pPr>
        <w:tabs>
          <w:tab w:val="left" w:pos="3390"/>
        </w:tabs>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Броварського району Київської області на 2024- 2028 роки</w:t>
      </w:r>
    </w:p>
    <w:p w14:paraId="63D71C0A" w14:textId="77777777" w:rsidR="00F77F0C" w:rsidRPr="00BF7EF0" w:rsidRDefault="00F77F0C" w:rsidP="00F77F0C">
      <w:pPr>
        <w:tabs>
          <w:tab w:val="left" w:pos="3390"/>
        </w:tabs>
        <w:spacing w:after="0" w:line="240" w:lineRule="auto"/>
        <w:jc w:val="center"/>
        <w:outlineLvl w:val="0"/>
        <w:rPr>
          <w:rFonts w:ascii="Times New Roman" w:eastAsia="Times New Roman" w:hAnsi="Times New Roman" w:cs="Times New Roman"/>
          <w:b/>
          <w:sz w:val="28"/>
          <w:szCs w:val="28"/>
          <w:lang w:eastAsia="ru-RU"/>
        </w:rPr>
      </w:pPr>
    </w:p>
    <w:p w14:paraId="4E5B98A7" w14:textId="77777777" w:rsidR="00F77F0C" w:rsidRPr="00BF7EF0" w:rsidRDefault="00F77F0C" w:rsidP="00F77F0C">
      <w:pPr>
        <w:tabs>
          <w:tab w:val="left" w:pos="3390"/>
        </w:tabs>
        <w:spacing w:after="120" w:line="240" w:lineRule="auto"/>
        <w:ind w:left="357"/>
        <w:jc w:val="center"/>
        <w:outlineLvl w:val="0"/>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Паспорт Програми</w:t>
      </w:r>
    </w:p>
    <w:tbl>
      <w:tblPr>
        <w:tblW w:w="9720" w:type="dxa"/>
        <w:tblInd w:w="108" w:type="dxa"/>
        <w:tblLook w:val="0000" w:firstRow="0" w:lastRow="0" w:firstColumn="0" w:lastColumn="0" w:noHBand="0" w:noVBand="0"/>
      </w:tblPr>
      <w:tblGrid>
        <w:gridCol w:w="3240"/>
        <w:gridCol w:w="6480"/>
      </w:tblGrid>
      <w:tr w:rsidR="00F77F0C" w:rsidRPr="00BF7EF0" w14:paraId="503753F2" w14:textId="77777777" w:rsidTr="00681F5D">
        <w:trPr>
          <w:trHeight w:val="100"/>
        </w:trPr>
        <w:tc>
          <w:tcPr>
            <w:tcW w:w="3240" w:type="dxa"/>
          </w:tcPr>
          <w:p w14:paraId="2AFC2386"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Назва Програми:</w:t>
            </w:r>
          </w:p>
          <w:p w14:paraId="25EB91E4"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p>
        </w:tc>
        <w:tc>
          <w:tcPr>
            <w:tcW w:w="6480" w:type="dxa"/>
          </w:tcPr>
          <w:p w14:paraId="594892DF" w14:textId="77777777" w:rsidR="00F77F0C" w:rsidRPr="00BF7EF0" w:rsidRDefault="00F77F0C" w:rsidP="00681F5D">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Програма ведення містобудівного кадастру на території Броварської міської територіальної громади Броварського району Київської області на 2024- 2028 роки. </w:t>
            </w:r>
          </w:p>
        </w:tc>
      </w:tr>
      <w:tr w:rsidR="00F77F0C" w:rsidRPr="00BF7EF0" w14:paraId="555C363D" w14:textId="77777777" w:rsidTr="00681F5D">
        <w:trPr>
          <w:trHeight w:val="100"/>
        </w:trPr>
        <w:tc>
          <w:tcPr>
            <w:tcW w:w="3240" w:type="dxa"/>
          </w:tcPr>
          <w:p w14:paraId="759C4A12"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Підстава до розробки Програми:</w:t>
            </w:r>
          </w:p>
        </w:tc>
        <w:tc>
          <w:tcPr>
            <w:tcW w:w="6480" w:type="dxa"/>
          </w:tcPr>
          <w:p w14:paraId="07D2889B" w14:textId="77777777" w:rsidR="00F77F0C" w:rsidRPr="00BF7EF0" w:rsidRDefault="00F77F0C" w:rsidP="00681F5D">
            <w:pPr>
              <w:tabs>
                <w:tab w:val="left" w:pos="3390"/>
              </w:tabs>
              <w:spacing w:after="0" w:line="240" w:lineRule="auto"/>
              <w:jc w:val="both"/>
              <w:rPr>
                <w:rFonts w:ascii="Times New Roman" w:eastAsia="Times New Roman" w:hAnsi="Times New Roman" w:cs="Times New Roman"/>
                <w:spacing w:val="1"/>
                <w:sz w:val="28"/>
                <w:szCs w:val="28"/>
                <w:lang w:eastAsia="ru-RU"/>
              </w:rPr>
            </w:pPr>
            <w:r w:rsidRPr="00BF7EF0">
              <w:rPr>
                <w:rFonts w:ascii="Times New Roman" w:eastAsia="Times New Roman" w:hAnsi="Times New Roman" w:cs="Times New Roman"/>
                <w:spacing w:val="1"/>
                <w:sz w:val="28"/>
                <w:szCs w:val="28"/>
                <w:lang w:eastAsia="ru-RU"/>
              </w:rPr>
              <w:t>- Закон України «Про регулювання містобудівної діяльності»;</w:t>
            </w:r>
          </w:p>
          <w:p w14:paraId="32CF63B9" w14:textId="77777777" w:rsidR="00F77F0C" w:rsidRPr="00BF7EF0" w:rsidRDefault="00F77F0C" w:rsidP="00681F5D">
            <w:pPr>
              <w:tabs>
                <w:tab w:val="left" w:pos="3390"/>
              </w:tabs>
              <w:spacing w:after="0" w:line="240" w:lineRule="auto"/>
              <w:jc w:val="both"/>
              <w:rPr>
                <w:rFonts w:ascii="Times New Roman" w:eastAsia="Times New Roman" w:hAnsi="Times New Roman" w:cs="Times New Roman"/>
                <w:spacing w:val="1"/>
                <w:sz w:val="28"/>
                <w:szCs w:val="28"/>
                <w:lang w:eastAsia="ru-RU"/>
              </w:rPr>
            </w:pPr>
            <w:r w:rsidRPr="00BF7EF0">
              <w:rPr>
                <w:rFonts w:ascii="Times New Roman" w:eastAsia="Times New Roman" w:hAnsi="Times New Roman" w:cs="Times New Roman"/>
                <w:spacing w:val="1"/>
                <w:sz w:val="28"/>
                <w:szCs w:val="28"/>
                <w:lang w:eastAsia="ru-RU"/>
              </w:rPr>
              <w:t>- Закон України «Про національну інфраструктуру геопросторових даних»;</w:t>
            </w:r>
          </w:p>
          <w:p w14:paraId="593179A3" w14:textId="77777777" w:rsidR="00F77F0C" w:rsidRPr="00BF7EF0" w:rsidRDefault="00F77F0C" w:rsidP="00681F5D">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pacing w:val="1"/>
                <w:sz w:val="28"/>
                <w:szCs w:val="28"/>
                <w:lang w:eastAsia="ru-RU"/>
              </w:rPr>
              <w:t xml:space="preserve">- </w:t>
            </w:r>
            <w:r w:rsidRPr="00BF7EF0">
              <w:rPr>
                <w:rFonts w:ascii="Times New Roman" w:eastAsia="Times New Roman" w:hAnsi="Times New Roman" w:cs="Times New Roman"/>
                <w:sz w:val="28"/>
                <w:szCs w:val="28"/>
                <w:lang w:eastAsia="ru-RU"/>
              </w:rPr>
              <w:t>Постан</w:t>
            </w:r>
            <w:r w:rsidRPr="00BF7EF0">
              <w:rPr>
                <w:rFonts w:ascii="Times New Roman" w:eastAsia="Times New Roman" w:hAnsi="Times New Roman" w:cs="Times New Roman"/>
                <w:spacing w:val="2"/>
                <w:sz w:val="28"/>
                <w:szCs w:val="28"/>
                <w:lang w:eastAsia="ru-RU"/>
              </w:rPr>
              <w:t>о</w:t>
            </w:r>
            <w:r w:rsidRPr="00BF7EF0">
              <w:rPr>
                <w:rFonts w:ascii="Times New Roman" w:eastAsia="Times New Roman" w:hAnsi="Times New Roman" w:cs="Times New Roman"/>
                <w:sz w:val="28"/>
                <w:szCs w:val="28"/>
                <w:lang w:eastAsia="ru-RU"/>
              </w:rPr>
              <w:t>ва</w:t>
            </w:r>
            <w:r w:rsidRPr="00BF7EF0">
              <w:rPr>
                <w:rFonts w:ascii="Times New Roman" w:eastAsia="Times New Roman" w:hAnsi="Times New Roman" w:cs="Times New Roman"/>
                <w:spacing w:val="3"/>
                <w:sz w:val="28"/>
                <w:szCs w:val="28"/>
                <w:lang w:eastAsia="ru-RU"/>
              </w:rPr>
              <w:t xml:space="preserve"> </w:t>
            </w:r>
            <w:r w:rsidRPr="00BF7EF0">
              <w:rPr>
                <w:rFonts w:ascii="Times New Roman" w:eastAsia="Times New Roman" w:hAnsi="Times New Roman" w:cs="Times New Roman"/>
                <w:sz w:val="28"/>
                <w:szCs w:val="28"/>
                <w:lang w:eastAsia="ru-RU"/>
              </w:rPr>
              <w:t xml:space="preserve">Кабінету Міністрів України від 25.05.2011 № </w:t>
            </w:r>
            <w:r w:rsidRPr="00BF7EF0">
              <w:rPr>
                <w:rFonts w:ascii="Times New Roman" w:eastAsia="Times New Roman" w:hAnsi="Times New Roman" w:cs="Times New Roman"/>
                <w:spacing w:val="1"/>
                <w:sz w:val="28"/>
                <w:szCs w:val="28"/>
                <w:lang w:eastAsia="ru-RU"/>
              </w:rPr>
              <w:t>55</w:t>
            </w:r>
            <w:r w:rsidRPr="00BF7EF0">
              <w:rPr>
                <w:rFonts w:ascii="Times New Roman" w:eastAsia="Times New Roman" w:hAnsi="Times New Roman" w:cs="Times New Roman"/>
                <w:sz w:val="28"/>
                <w:szCs w:val="28"/>
                <w:lang w:eastAsia="ru-RU"/>
              </w:rPr>
              <w:t>9 «Про містобудів</w:t>
            </w:r>
            <w:r w:rsidRPr="00BF7EF0">
              <w:rPr>
                <w:rFonts w:ascii="Times New Roman" w:eastAsia="Times New Roman" w:hAnsi="Times New Roman" w:cs="Times New Roman"/>
                <w:spacing w:val="-1"/>
                <w:sz w:val="28"/>
                <w:szCs w:val="28"/>
                <w:lang w:eastAsia="ru-RU"/>
              </w:rPr>
              <w:t>ни</w:t>
            </w:r>
            <w:r w:rsidRPr="00BF7EF0">
              <w:rPr>
                <w:rFonts w:ascii="Times New Roman" w:eastAsia="Times New Roman" w:hAnsi="Times New Roman" w:cs="Times New Roman"/>
                <w:sz w:val="28"/>
                <w:szCs w:val="28"/>
                <w:lang w:eastAsia="ru-RU"/>
              </w:rPr>
              <w:t>й  кадас</w:t>
            </w:r>
            <w:r w:rsidRPr="00BF7EF0">
              <w:rPr>
                <w:rFonts w:ascii="Times New Roman" w:eastAsia="Times New Roman" w:hAnsi="Times New Roman" w:cs="Times New Roman"/>
                <w:spacing w:val="1"/>
                <w:sz w:val="28"/>
                <w:szCs w:val="28"/>
                <w:lang w:eastAsia="ru-RU"/>
              </w:rPr>
              <w:t>т</w:t>
            </w:r>
            <w:r w:rsidRPr="00BF7EF0">
              <w:rPr>
                <w:rFonts w:ascii="Times New Roman" w:eastAsia="Times New Roman" w:hAnsi="Times New Roman" w:cs="Times New Roman"/>
                <w:spacing w:val="2"/>
                <w:sz w:val="28"/>
                <w:szCs w:val="28"/>
                <w:lang w:eastAsia="ru-RU"/>
              </w:rPr>
              <w:t>р</w:t>
            </w:r>
            <w:r w:rsidRPr="00BF7EF0">
              <w:rPr>
                <w:rFonts w:ascii="Times New Roman" w:eastAsia="Times New Roman" w:hAnsi="Times New Roman" w:cs="Times New Roman"/>
                <w:sz w:val="28"/>
                <w:szCs w:val="28"/>
                <w:lang w:eastAsia="ru-RU"/>
              </w:rPr>
              <w:t>»;</w:t>
            </w:r>
          </w:p>
          <w:p w14:paraId="5A143C5A" w14:textId="77777777" w:rsidR="00F77F0C" w:rsidRPr="00BF7EF0" w:rsidRDefault="00F77F0C" w:rsidP="00681F5D">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Постан</w:t>
            </w:r>
            <w:r w:rsidRPr="00BF7EF0">
              <w:rPr>
                <w:rFonts w:ascii="Times New Roman" w:eastAsia="Times New Roman" w:hAnsi="Times New Roman" w:cs="Times New Roman"/>
                <w:spacing w:val="2"/>
                <w:sz w:val="28"/>
                <w:szCs w:val="28"/>
                <w:lang w:eastAsia="ru-RU"/>
              </w:rPr>
              <w:t>о</w:t>
            </w:r>
            <w:r w:rsidRPr="00BF7EF0">
              <w:rPr>
                <w:rFonts w:ascii="Times New Roman" w:eastAsia="Times New Roman" w:hAnsi="Times New Roman" w:cs="Times New Roman"/>
                <w:sz w:val="28"/>
                <w:szCs w:val="28"/>
                <w:lang w:eastAsia="ru-RU"/>
              </w:rPr>
              <w:t>ва</w:t>
            </w:r>
            <w:r w:rsidRPr="00BF7EF0">
              <w:rPr>
                <w:rFonts w:ascii="Times New Roman" w:eastAsia="Times New Roman" w:hAnsi="Times New Roman" w:cs="Times New Roman"/>
                <w:spacing w:val="3"/>
                <w:sz w:val="28"/>
                <w:szCs w:val="28"/>
                <w:lang w:eastAsia="ru-RU"/>
              </w:rPr>
              <w:t xml:space="preserve"> </w:t>
            </w:r>
            <w:r w:rsidRPr="00BF7EF0">
              <w:rPr>
                <w:rFonts w:ascii="Times New Roman" w:eastAsia="Times New Roman" w:hAnsi="Times New Roman" w:cs="Times New Roman"/>
                <w:sz w:val="28"/>
                <w:szCs w:val="28"/>
                <w:lang w:eastAsia="ru-RU"/>
              </w:rPr>
              <w:t xml:space="preserve">Кабінету Міністрів України від 25.05.2011 № </w:t>
            </w:r>
            <w:r w:rsidRPr="00BF7EF0">
              <w:rPr>
                <w:rFonts w:ascii="Times New Roman" w:eastAsia="Times New Roman" w:hAnsi="Times New Roman" w:cs="Times New Roman"/>
                <w:spacing w:val="1"/>
                <w:sz w:val="28"/>
                <w:szCs w:val="28"/>
                <w:lang w:eastAsia="ru-RU"/>
              </w:rPr>
              <w:t>55</w:t>
            </w:r>
            <w:r w:rsidRPr="00BF7EF0">
              <w:rPr>
                <w:rFonts w:ascii="Times New Roman" w:eastAsia="Times New Roman" w:hAnsi="Times New Roman" w:cs="Times New Roman"/>
                <w:sz w:val="28"/>
                <w:szCs w:val="28"/>
                <w:lang w:eastAsia="ru-RU"/>
              </w:rPr>
              <w:t>6 «Про порядок обміну інформацією між містобудівним та державним земельним кадастрами».</w:t>
            </w:r>
          </w:p>
        </w:tc>
      </w:tr>
      <w:tr w:rsidR="00F77F0C" w:rsidRPr="00BF7EF0" w14:paraId="1F4EE198" w14:textId="77777777" w:rsidTr="00681F5D">
        <w:trPr>
          <w:trHeight w:val="100"/>
        </w:trPr>
        <w:tc>
          <w:tcPr>
            <w:tcW w:w="3240" w:type="dxa"/>
          </w:tcPr>
          <w:p w14:paraId="4D99B16E"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Головний розробник Програми:</w:t>
            </w:r>
          </w:p>
          <w:p w14:paraId="1C3898B0"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p>
        </w:tc>
        <w:tc>
          <w:tcPr>
            <w:tcW w:w="6480" w:type="dxa"/>
          </w:tcPr>
          <w:p w14:paraId="4246559B" w14:textId="77777777" w:rsidR="00F77F0C" w:rsidRPr="00BF7EF0" w:rsidRDefault="00F77F0C" w:rsidP="00681F5D">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Управління містобудування та архітектури виконавчого комітету Броварської міської ради Броварського району Київської області.</w:t>
            </w:r>
          </w:p>
        </w:tc>
      </w:tr>
      <w:tr w:rsidR="00F77F0C" w:rsidRPr="00BF7EF0" w14:paraId="1BC1F06C" w14:textId="77777777" w:rsidTr="00681F5D">
        <w:trPr>
          <w:trHeight w:val="100"/>
        </w:trPr>
        <w:tc>
          <w:tcPr>
            <w:tcW w:w="3240" w:type="dxa"/>
          </w:tcPr>
          <w:p w14:paraId="3031463B"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Головна мета Програми</w:t>
            </w:r>
          </w:p>
        </w:tc>
        <w:tc>
          <w:tcPr>
            <w:tcW w:w="6480" w:type="dxa"/>
          </w:tcPr>
          <w:p w14:paraId="6D60203F" w14:textId="77777777" w:rsidR="00F77F0C" w:rsidRPr="00BF7EF0" w:rsidRDefault="00F77F0C" w:rsidP="00681F5D">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Метою Програми є реалізація організаційно- технічних заходів, спрямованих на функціонування, введення та розвитку містобудівного кадастру на місцевому рівні. </w:t>
            </w:r>
          </w:p>
        </w:tc>
      </w:tr>
      <w:tr w:rsidR="00F77F0C" w:rsidRPr="00BF7EF0" w14:paraId="78945AAE" w14:textId="77777777" w:rsidTr="00681F5D">
        <w:trPr>
          <w:trHeight w:val="100"/>
        </w:trPr>
        <w:tc>
          <w:tcPr>
            <w:tcW w:w="3240" w:type="dxa"/>
          </w:tcPr>
          <w:p w14:paraId="7A31297C"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Строки реалізації </w:t>
            </w:r>
          </w:p>
        </w:tc>
        <w:tc>
          <w:tcPr>
            <w:tcW w:w="6480" w:type="dxa"/>
          </w:tcPr>
          <w:p w14:paraId="4B117A79" w14:textId="77777777" w:rsidR="00F77F0C" w:rsidRPr="00BF7EF0" w:rsidRDefault="00F77F0C" w:rsidP="00681F5D">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2024 – 2028 роки.</w:t>
            </w:r>
          </w:p>
        </w:tc>
      </w:tr>
      <w:tr w:rsidR="00F77F0C" w:rsidRPr="00BF7EF0" w14:paraId="7449C346" w14:textId="77777777" w:rsidTr="00681F5D">
        <w:trPr>
          <w:trHeight w:val="100"/>
        </w:trPr>
        <w:tc>
          <w:tcPr>
            <w:tcW w:w="3240" w:type="dxa"/>
          </w:tcPr>
          <w:p w14:paraId="6E67C689"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Джерела фінансування</w:t>
            </w:r>
          </w:p>
        </w:tc>
        <w:tc>
          <w:tcPr>
            <w:tcW w:w="6480" w:type="dxa"/>
          </w:tcPr>
          <w:p w14:paraId="1E386364" w14:textId="77777777" w:rsidR="00F77F0C" w:rsidRPr="00BF7EF0" w:rsidRDefault="00F77F0C" w:rsidP="00681F5D">
            <w:pPr>
              <w:tabs>
                <w:tab w:val="left" w:pos="3390"/>
              </w:tabs>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Місцевий бюджет.</w:t>
            </w:r>
          </w:p>
        </w:tc>
      </w:tr>
      <w:tr w:rsidR="00F77F0C" w:rsidRPr="00BF7EF0" w14:paraId="2F053A6B" w14:textId="77777777" w:rsidTr="00681F5D">
        <w:trPr>
          <w:trHeight w:val="100"/>
        </w:trPr>
        <w:tc>
          <w:tcPr>
            <w:tcW w:w="3240" w:type="dxa"/>
          </w:tcPr>
          <w:p w14:paraId="4CD54D5D"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Обсяг фінансування: </w:t>
            </w:r>
          </w:p>
        </w:tc>
        <w:tc>
          <w:tcPr>
            <w:tcW w:w="6480" w:type="dxa"/>
          </w:tcPr>
          <w:p w14:paraId="2E05C938" w14:textId="77777777" w:rsidR="00F77F0C" w:rsidRPr="00BF7EF0" w:rsidRDefault="00F77F0C" w:rsidP="00681F5D">
            <w:pPr>
              <w:tabs>
                <w:tab w:val="center" w:pos="3132"/>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2341,20 тис. грн.</w:t>
            </w:r>
          </w:p>
        </w:tc>
      </w:tr>
      <w:tr w:rsidR="00F77F0C" w:rsidRPr="00BF7EF0" w14:paraId="6FA09BCB" w14:textId="77777777" w:rsidTr="00681F5D">
        <w:trPr>
          <w:trHeight w:val="100"/>
        </w:trPr>
        <w:tc>
          <w:tcPr>
            <w:tcW w:w="3240" w:type="dxa"/>
          </w:tcPr>
          <w:p w14:paraId="769EE2E0" w14:textId="77777777" w:rsidR="00F77F0C" w:rsidRPr="00BF7EF0" w:rsidRDefault="00F77F0C" w:rsidP="00681F5D">
            <w:pPr>
              <w:tabs>
                <w:tab w:val="left" w:pos="3390"/>
              </w:tabs>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Очікувані кінцеві результати реалізації Програми:</w:t>
            </w:r>
          </w:p>
        </w:tc>
        <w:tc>
          <w:tcPr>
            <w:tcW w:w="6480" w:type="dxa"/>
          </w:tcPr>
          <w:p w14:paraId="48729A92" w14:textId="77777777" w:rsidR="00F77F0C" w:rsidRPr="00BF7EF0" w:rsidRDefault="00F77F0C" w:rsidP="00681F5D">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Реалізація Програми дасть можливість  забезпечити структурні органи  виконавчої влади,  проектні установи, зацікавлені організації та інших осіб актуальною і об’єктивною інформацією про дійсний стан і статус об’єктів нерухомості землекористування та зміни їх характеристик,  функціонального використання, результатів    економічної  оцінки, метричні дані тощо.</w:t>
            </w:r>
          </w:p>
        </w:tc>
      </w:tr>
    </w:tbl>
    <w:p w14:paraId="7F85A2E5" w14:textId="77777777" w:rsidR="00F77F0C" w:rsidRDefault="00F77F0C" w:rsidP="00F77F0C">
      <w:pPr>
        <w:tabs>
          <w:tab w:val="left" w:pos="3390"/>
        </w:tabs>
        <w:spacing w:after="120" w:line="240" w:lineRule="auto"/>
        <w:outlineLvl w:val="0"/>
        <w:rPr>
          <w:rFonts w:ascii="Times New Roman" w:eastAsia="Times New Roman" w:hAnsi="Times New Roman" w:cs="Times New Roman"/>
          <w:b/>
          <w:sz w:val="28"/>
          <w:szCs w:val="28"/>
          <w:lang w:eastAsia="ru-RU"/>
        </w:rPr>
      </w:pPr>
    </w:p>
    <w:p w14:paraId="44C7179D" w14:textId="77777777" w:rsidR="00F77F0C" w:rsidRDefault="00F77F0C" w:rsidP="00F77F0C">
      <w:pPr>
        <w:tabs>
          <w:tab w:val="left" w:pos="3390"/>
        </w:tabs>
        <w:spacing w:after="120" w:line="240" w:lineRule="auto"/>
        <w:outlineLvl w:val="0"/>
        <w:rPr>
          <w:rFonts w:ascii="Times New Roman" w:eastAsia="Times New Roman" w:hAnsi="Times New Roman" w:cs="Times New Roman"/>
          <w:b/>
          <w:sz w:val="28"/>
          <w:szCs w:val="28"/>
          <w:lang w:eastAsia="ru-RU"/>
        </w:rPr>
      </w:pPr>
    </w:p>
    <w:p w14:paraId="24E1B595" w14:textId="77777777" w:rsidR="00F77F0C" w:rsidRDefault="00F77F0C" w:rsidP="00F77F0C">
      <w:pPr>
        <w:tabs>
          <w:tab w:val="left" w:pos="3390"/>
        </w:tabs>
        <w:spacing w:after="120" w:line="240" w:lineRule="auto"/>
        <w:outlineLvl w:val="0"/>
        <w:rPr>
          <w:rFonts w:ascii="Times New Roman" w:eastAsia="Times New Roman" w:hAnsi="Times New Roman" w:cs="Times New Roman"/>
          <w:b/>
          <w:sz w:val="28"/>
          <w:szCs w:val="28"/>
          <w:lang w:eastAsia="ru-RU"/>
        </w:rPr>
      </w:pPr>
    </w:p>
    <w:p w14:paraId="01FFDCEA" w14:textId="77777777" w:rsidR="00F77F0C" w:rsidRDefault="00F77F0C" w:rsidP="00F77F0C">
      <w:pPr>
        <w:tabs>
          <w:tab w:val="left" w:pos="3390"/>
        </w:tabs>
        <w:spacing w:after="120" w:line="240" w:lineRule="auto"/>
        <w:outlineLvl w:val="0"/>
        <w:rPr>
          <w:rFonts w:ascii="Times New Roman" w:eastAsia="Times New Roman" w:hAnsi="Times New Roman" w:cs="Times New Roman"/>
          <w:b/>
          <w:sz w:val="28"/>
          <w:szCs w:val="28"/>
          <w:lang w:eastAsia="ru-RU"/>
        </w:rPr>
      </w:pPr>
    </w:p>
    <w:p w14:paraId="4FCAB0EF" w14:textId="77777777" w:rsidR="00F77F0C" w:rsidRPr="00BF7EF0" w:rsidRDefault="00F77F0C" w:rsidP="00F77F0C">
      <w:pPr>
        <w:tabs>
          <w:tab w:val="left" w:pos="3390"/>
        </w:tabs>
        <w:spacing w:after="120" w:line="240" w:lineRule="auto"/>
        <w:jc w:val="center"/>
        <w:outlineLvl w:val="0"/>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І. Загальні положення, мета Програми</w:t>
      </w:r>
    </w:p>
    <w:p w14:paraId="2DF295F2" w14:textId="77777777" w:rsidR="00F77F0C" w:rsidRPr="00BF7EF0" w:rsidRDefault="00F77F0C" w:rsidP="00F77F0C">
      <w:pPr>
        <w:shd w:val="clear" w:color="auto" w:fill="FFFFFF"/>
        <w:spacing w:after="0" w:line="240" w:lineRule="auto"/>
        <w:ind w:firstLine="600"/>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З набранням чинності Закону України «Про національну інфраструктуру геопросторових даних», Закону України «Про регулювання містобудівної діяльності», постанов Кабінету Міністрів України від 25.05.2011 № 556</w:t>
      </w:r>
      <w:r>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 xml:space="preserve"> «Про порядок обміну інформацією між містобудівним та державним земельним кадастрами» та від 25.05.2011 № 559 «Про містобудівний кадастр», постала необхідність зберігання та використання геопросторових даних про територію, адміністративно-територіальні одиниці, екологічні, інженерно-геологічні умови, інформаційних ресурсів будівельних норм, державних стандартів і правил для задоволення інформаційних потреб у плануванні територій та будівництві, формування галузевої складової державних геоінформаційних ресурсів.</w:t>
      </w:r>
      <w:r>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Кабінетом Міністрів України</w:t>
      </w:r>
      <w:r>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 xml:space="preserve">та Міністерством </w:t>
      </w:r>
      <w:r w:rsidRPr="00BF7EF0">
        <w:rPr>
          <w:rFonts w:ascii="Times New Roman" w:eastAsia="Times New Roman" w:hAnsi="Times New Roman" w:cs="Times New Roman"/>
          <w:color w:val="000000"/>
          <w:sz w:val="28"/>
          <w:szCs w:val="28"/>
          <w:lang w:eastAsia="ru-RU"/>
        </w:rPr>
        <w:t xml:space="preserve">регіонального розвитку, будівництва та житлово-комунального господарства України </w:t>
      </w:r>
      <w:r w:rsidRPr="00BF7EF0">
        <w:rPr>
          <w:rFonts w:ascii="Times New Roman" w:eastAsia="Times New Roman" w:hAnsi="Times New Roman" w:cs="Times New Roman"/>
          <w:sz w:val="28"/>
          <w:szCs w:val="28"/>
          <w:lang w:eastAsia="ru-RU"/>
        </w:rPr>
        <w:t xml:space="preserve">поставлено завдання здійснити організаційні заходи щодо створення і забезпечення функціонування містобудівного кадастру та служби містобудівного кадастру на базовому рівні. </w:t>
      </w:r>
    </w:p>
    <w:p w14:paraId="4E6F3C94" w14:textId="77777777" w:rsidR="00F77F0C" w:rsidRPr="00BF7EF0" w:rsidRDefault="00F77F0C" w:rsidP="00F77F0C">
      <w:pPr>
        <w:spacing w:after="0" w:line="240" w:lineRule="auto"/>
        <w:ind w:firstLine="709"/>
        <w:jc w:val="both"/>
        <w:rPr>
          <w:rFonts w:ascii="Times New Roman" w:eastAsia="Times New Roman" w:hAnsi="Times New Roman" w:cs="Times New Roman"/>
          <w:noProof/>
          <w:sz w:val="28"/>
          <w:szCs w:val="28"/>
          <w:lang w:eastAsia="ru-RU"/>
        </w:rPr>
      </w:pPr>
      <w:r w:rsidRPr="00BF7EF0">
        <w:rPr>
          <w:rFonts w:ascii="Times New Roman" w:eastAsia="Times New Roman" w:hAnsi="Times New Roman" w:cs="Times New Roman"/>
          <w:sz w:val="28"/>
          <w:szCs w:val="28"/>
          <w:lang w:eastAsia="ru-RU"/>
        </w:rPr>
        <w:t>Програма розроблена відповідно до вимог чинного законодавства та передбачає основні заходи, спрямовані на функціонування, введення та розвитку містобудівного кадастру на місцевому рівні на визначений період.</w:t>
      </w:r>
    </w:p>
    <w:p w14:paraId="1C73E78A" w14:textId="77777777" w:rsidR="00F77F0C" w:rsidRPr="00BF7EF0" w:rsidRDefault="00F77F0C" w:rsidP="00F77F0C">
      <w:pPr>
        <w:widowControl w:val="0"/>
        <w:spacing w:after="0" w:line="240" w:lineRule="auto"/>
        <w:ind w:firstLine="709"/>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Реалізація Програми як спеціалізованої системи найбільш повних даних про належність територій до відповідних функціональних зон, їх сучасне та перспективне призначення, екологічну, інженерно-геологічну ситуацію, стан забудови та інженерного забезпечення, характеристики будинків і споруд на землях усіх форм власності має базуватися на наявних даних про планування та забудову територій в Броварській міський територіальній громаді (далі – територіальна громада), а також на інформації отриманій з інших джерел: земельного та інших видів кадастрів, матеріалів технічної інвентаризації будинків і споруд, картографічних та топографо-геодезичних матеріалів, які отримуються у встановленому чинним законодавством порядку. Об</w:t>
      </w:r>
      <w:r>
        <w:rPr>
          <w:rFonts w:ascii="Times New Roman" w:eastAsia="Times New Roman" w:hAnsi="Times New Roman" w:cs="Times New Roman"/>
          <w:sz w:val="28"/>
          <w:szCs w:val="28"/>
          <w:lang w:eastAsia="ru-RU"/>
        </w:rPr>
        <w:t>’</w:t>
      </w:r>
      <w:r w:rsidRPr="00BF7EF0">
        <w:rPr>
          <w:rFonts w:ascii="Times New Roman" w:eastAsia="Times New Roman" w:hAnsi="Times New Roman" w:cs="Times New Roman"/>
          <w:sz w:val="28"/>
          <w:szCs w:val="28"/>
          <w:lang w:eastAsia="ru-RU"/>
        </w:rPr>
        <w:t xml:space="preserve">єднання в одній автоматизованій системі інформаційних ресурсів галузевих кадастрів та інформаційних систем з питань використання територій, їх кадастрового, екологічного, інженерно-геологічного, гідрогеологічного та іншого районування території створить передумови для переходу на новий рівень управління територіями. Передбачені Програмою заходи спрямовані на створення належних умов для діяльності Служби містобудівного кадастру управління містобудування та архітектури виконавчого комітету Броварської міської ради Броварського району Київської області з планового введення до інформаційної бази даних кадастрової інформації, обслуговування автоматизованої інформаційної системи містобудівного кадастру та забезпечення кадастровою інформацією органів управління.            </w:t>
      </w:r>
    </w:p>
    <w:p w14:paraId="25865095" w14:textId="77777777" w:rsidR="00F77F0C" w:rsidRPr="00BF7EF0" w:rsidRDefault="00F77F0C" w:rsidP="00F77F0C">
      <w:pPr>
        <w:widowControl w:val="0"/>
        <w:spacing w:after="0" w:line="240" w:lineRule="auto"/>
        <w:ind w:firstLine="709"/>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Джерелами фінансування Програми є кошти місцевого бюджету та  інші джерела фінансування, не заборонені чинним законодавством. </w:t>
      </w:r>
    </w:p>
    <w:p w14:paraId="2CCE277E" w14:textId="77777777" w:rsidR="00F77F0C" w:rsidRPr="00BF7EF0" w:rsidRDefault="00F77F0C" w:rsidP="00F77F0C">
      <w:pPr>
        <w:widowControl w:val="0"/>
        <w:spacing w:after="120" w:line="240" w:lineRule="auto"/>
        <w:ind w:firstLine="709"/>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Метою Програми є реалізація організаційно-технічних заходів,           спрямованих  на функціонування, введення та розвитку містобудівного </w:t>
      </w:r>
      <w:r w:rsidRPr="00BF7EF0">
        <w:rPr>
          <w:rFonts w:ascii="Times New Roman" w:eastAsia="Times New Roman" w:hAnsi="Times New Roman" w:cs="Times New Roman"/>
          <w:sz w:val="28"/>
          <w:szCs w:val="28"/>
          <w:lang w:eastAsia="ru-RU"/>
        </w:rPr>
        <w:lastRenderedPageBreak/>
        <w:t>кадастру на місцевому рівні</w:t>
      </w:r>
      <w:r w:rsidRPr="00BF7EF0">
        <w:rPr>
          <w:rFonts w:ascii="Times New Roman" w:eastAsia="Times New Roman" w:hAnsi="Times New Roman" w:cs="Times New Roman"/>
          <w:sz w:val="28"/>
          <w:szCs w:val="28"/>
          <w:lang w:val="ru-RU" w:eastAsia="ru-RU"/>
        </w:rPr>
        <w:t>.</w:t>
      </w:r>
    </w:p>
    <w:p w14:paraId="7BCDCB8F" w14:textId="77777777" w:rsidR="00F77F0C" w:rsidRPr="00BF7EF0" w:rsidRDefault="00F77F0C" w:rsidP="00F77F0C">
      <w:pPr>
        <w:spacing w:after="120" w:line="240" w:lineRule="auto"/>
        <w:jc w:val="center"/>
        <w:outlineLvl w:val="0"/>
        <w:rPr>
          <w:rFonts w:ascii="Times New Roman" w:eastAsia="Times New Roman" w:hAnsi="Times New Roman" w:cs="Times New Roman"/>
          <w:b/>
          <w:sz w:val="28"/>
          <w:szCs w:val="28"/>
          <w:lang w:val="ru-RU" w:eastAsia="ru-RU"/>
        </w:rPr>
      </w:pPr>
      <w:r w:rsidRPr="00BF7EF0">
        <w:rPr>
          <w:rFonts w:ascii="Times New Roman" w:eastAsia="Times New Roman" w:hAnsi="Times New Roman" w:cs="Times New Roman"/>
          <w:b/>
          <w:sz w:val="28"/>
          <w:szCs w:val="28"/>
          <w:lang w:eastAsia="ru-RU"/>
        </w:rPr>
        <w:t>ІІ. Перелік завдань і заходів Програми</w:t>
      </w:r>
    </w:p>
    <w:p w14:paraId="21073565" w14:textId="77777777" w:rsidR="00F77F0C" w:rsidRPr="00BF7EF0" w:rsidRDefault="00F77F0C" w:rsidP="00F77F0C">
      <w:pPr>
        <w:spacing w:after="0" w:line="240" w:lineRule="auto"/>
        <w:jc w:val="both"/>
        <w:outlineLvl w:val="0"/>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 xml:space="preserve">         Містобудівний кадастр формується на базі  спеціальної «кадастрової» інформації, що включає відомості про просторове розташування об’єктів міського середовища, які розміщені на земній поверхні, над і під нею, явища і процеси, які відбуваються на території населеного пункту, економічний і правовий статус цих територій і об’єктів, їх природні та господарські, кількісні і якісні характеристики. Результатом ведення містобудівного кадастру  є забезпечення органів місцевого самоврядування, державних територіальних органів, установ, підприємств й організацій інформацією при вирішенні таких основних завдань:</w:t>
      </w:r>
    </w:p>
    <w:p w14:paraId="2C9834B1"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прогнозування розвитку, планування і забудови територіальної громади;</w:t>
      </w:r>
    </w:p>
    <w:p w14:paraId="662A2B56"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облік земельних ділянок, будинків і споруд та їх власників і користувачів;</w:t>
      </w:r>
    </w:p>
    <w:p w14:paraId="7ACD758E"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регулювання земельних відносин на території територіальної громади;</w:t>
      </w:r>
    </w:p>
    <w:p w14:paraId="3723B755"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розміщення, проектування, будівництва і реконструкції об’єктів житлово-цивільного, виробничого, комунального та іншого призначення;</w:t>
      </w:r>
    </w:p>
    <w:p w14:paraId="703CFD56"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розвиток соціальної, інженерної і транспортної інфраструктури;</w:t>
      </w:r>
    </w:p>
    <w:p w14:paraId="6ECFB4B1"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визначення зон економічної та нормативної грошової оцінки земель, обґрунтування розмірів оподаткування і вартості земельних ділянок, будинків і споруд;</w:t>
      </w:r>
    </w:p>
    <w:p w14:paraId="3153CC3C"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експлуатація об’єктів комунального господарства та інженерних систем життєзабезпечення населення, моніторинг стану цих об’єктів, формування програм їх розвитку і реконструкції;</w:t>
      </w:r>
    </w:p>
    <w:p w14:paraId="76CEDCDB"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оцінка стану та розвитку транспортної мережі, телекомунікацій і відповідної інфраструктури, підготовка проектів розвитку транспортної мережі на території територіальної громади;</w:t>
      </w:r>
    </w:p>
    <w:p w14:paraId="78FBAD33"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моніторинг дотримання зонінгових  правил забудови та іншого використання  земель;</w:t>
      </w:r>
    </w:p>
    <w:p w14:paraId="6A30703E"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облік природних ресурсів та ландшафтів на території територіальної громади, планування їх використання, охорони та відтворення;</w:t>
      </w:r>
    </w:p>
    <w:p w14:paraId="5F4ED7F5"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  контроль за раціональним використанням територіальних ресурсів, аналіз реалізації затвердженої містобудівної та землевпорядної документації та інше;</w:t>
      </w:r>
    </w:p>
    <w:p w14:paraId="6EBFBF3F"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інформаційна підтримка діяльності органів системи попередження та дій в надзвичайних ситуаціях, у тому числі створення бази даних потенційно небезпечних об'єктів природного і техногенного характеру, оцінка і прогнозування можливого виникнення та наслідків надзвичайних ситуацій;</w:t>
      </w:r>
    </w:p>
    <w:p w14:paraId="4D18CDA5"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поліпшення інвестиційної привабливості території за рахунок геоінформаційної підтримки інвестиційної діяльності;</w:t>
      </w:r>
    </w:p>
    <w:p w14:paraId="4B961339" w14:textId="77777777" w:rsidR="00F77F0C" w:rsidRPr="00BF7EF0" w:rsidRDefault="00F77F0C" w:rsidP="00F77F0C">
      <w:pPr>
        <w:tabs>
          <w:tab w:val="left" w:pos="426"/>
        </w:tabs>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eastAsia="ru-RU"/>
        </w:rPr>
        <w:t>забезпечення  актуальною й  достовірною  вихідною інформацією проектів містобудівного, землевпорядного, природоохоронного та іншого призначення щодо розвитку території територіальної громади.</w:t>
      </w:r>
    </w:p>
    <w:p w14:paraId="576C5B34"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Містобудівний кадастр Броварської міської ради Броварського району Київської області є джерелом інформації про міське середовище та  </w:t>
      </w:r>
      <w:r w:rsidRPr="00BF7EF0">
        <w:rPr>
          <w:rFonts w:ascii="Times New Roman" w:eastAsia="Times New Roman" w:hAnsi="Times New Roman" w:cs="Times New Roman"/>
          <w:sz w:val="28"/>
          <w:szCs w:val="28"/>
          <w:lang w:eastAsia="ru-RU"/>
        </w:rPr>
        <w:lastRenderedPageBreak/>
        <w:t xml:space="preserve">використовується для визначення  містобудівної політики, пріоритетних напрямків розвитку територіальної громади, здійснення моніторингу забудови та іншого використання території. </w:t>
      </w:r>
    </w:p>
    <w:p w14:paraId="72F3D080"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У систему містобудівного кадастру вводяться відомості про:</w:t>
      </w:r>
    </w:p>
    <w:p w14:paraId="0E92ACF3"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Єдину цифрову топографічну основу території територіальної громади на підставі топографічних карт і планів та планово-картографічної основи державного земельного кадастру на територію територіальної громади, результатів інженерно-геодезичних виконавчих знімань завершеного будівництвом об’єктів інфраструктури та результатів містобудівного моніторингу. Враховуючи наявність цифрових карт масштабу 1:2000, на першому етапі планується доповнення наявних матеріалів  топографічними зйомками масштабу 1:500, відповідно до проведеної інвентаризації.</w:t>
      </w:r>
    </w:p>
    <w:p w14:paraId="2C018FDD"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Межі міста Бровари, сіл Княжичі, Переможець та Требухів Броварського району Київської області на підставі даних державного земельного кадастру.</w:t>
      </w:r>
    </w:p>
    <w:p w14:paraId="52F8E3DB"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Комплексний план просторового розвитку території територіальної громади, Генеральні плани населених пунктів громади, План зонування територій сіл Княжичі, Требухів та Переможець Броварського району Київської області та детальні плани територій.</w:t>
      </w:r>
    </w:p>
    <w:p w14:paraId="314A28D8"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w:t>
      </w: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Межі кадастрових зон і кварталів, межі економіко-планувальних зон нормативної грошової оцінки земель територіальної громади, межі земельних ділянок, кадастрові номери земельних ділянок, угіддя земельних ділянок (із зазначенням контурів будівель, споруд, розташованих на земельних ділянках), цільове призначення земельних ділянок, вид функціонального використання земельних ділянок, нормативна грошова оцінка земельних ділянок, розподіл земель між власниками і користувачами (зазначається форма власності та вид речового права), обмеження у використанні земельних ділянок на підставі даних державного земельного кадастру.</w:t>
      </w:r>
    </w:p>
    <w:p w14:paraId="050DA99C"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 Інформація про розміщення, проектування, будівництво і реконструкцію об’єктів житлово-цивільного, виробничого, комунального та іншого призначення.</w:t>
      </w:r>
    </w:p>
    <w:p w14:paraId="78306F8E"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6. Інженерно-транспортну інфраструктуру на підставі топографічних карт і планів, даних експлуатаційних служб у сфері інженерно-транспортної інфраструктури, результатів інженерно-геодезичних виконавчих знімань завершених будівництвом об’єктів інфраструктури масштабу 1:500, схем, розроблених інститутами.</w:t>
      </w:r>
    </w:p>
    <w:p w14:paraId="75348907"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7. Будинки і споруди, їх правовий режим, технічний стан, архітектурну та історико-культурну цінність на підставі топографічних карт і планів, даних технічної інвентаризації, які містяться в архівних матеріалах комунального підприємства Броварської міської ради Броварського району Київської області «Броварське міське бюро технічної інвентаризації» та інших організацій.</w:t>
      </w:r>
    </w:p>
    <w:p w14:paraId="7B79C7DA"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8. Реєстр містобудівних умов та обмежень, будівельних паспортів забудови земельної ділянки наданих Управлінням містобудування та архітектури виконавчого комітету Броварської міської ради Броварського району Київської області.</w:t>
      </w:r>
    </w:p>
    <w:p w14:paraId="09F4EF35"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lastRenderedPageBreak/>
        <w:t>9. Відомості про об'єкти комунальної власності територіальної громади.</w:t>
      </w:r>
    </w:p>
    <w:p w14:paraId="14898538"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 Відомості про експлуатацію об’єктів комунального господарства та інженерних систем життєзабезпечення населення, моніторинг стану цих об’єктів, формування програм їх розвитку і реконструкції.</w:t>
      </w:r>
    </w:p>
    <w:p w14:paraId="7AC87B53"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ru-RU"/>
        </w:rPr>
        <w:t>11. Оцінка</w:t>
      </w:r>
      <w:r w:rsidRPr="00BF7EF0">
        <w:rPr>
          <w:rFonts w:ascii="Times New Roman" w:eastAsia="Times New Roman" w:hAnsi="Times New Roman" w:cs="Times New Roman"/>
          <w:sz w:val="28"/>
          <w:szCs w:val="28"/>
          <w:lang w:eastAsia="en-US"/>
        </w:rPr>
        <w:t xml:space="preserve"> стану та розвитку транспортної мережі, телекомунікацій і відповідної інфраструктури, підготовка проектів розвитку транспортної мережі на території територіальної громади.</w:t>
      </w:r>
    </w:p>
    <w:p w14:paraId="78301204"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en-US"/>
        </w:rPr>
      </w:pPr>
      <w:r w:rsidRPr="00BF7EF0">
        <w:rPr>
          <w:rFonts w:ascii="Times New Roman" w:eastAsia="Times New Roman" w:hAnsi="Times New Roman" w:cs="Times New Roman"/>
          <w:sz w:val="28"/>
          <w:szCs w:val="28"/>
          <w:lang w:eastAsia="en-US"/>
        </w:rPr>
        <w:t>12. Облік природних ресурсів та ландшафтів на території територіальної громади, планування їх використання, охорони та відтворення.</w:t>
      </w:r>
    </w:p>
    <w:p w14:paraId="67300ED3"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13. Інформація про поліпшення інвестиційної привабливості території за рахунок геоінформаційної підтримки інвестиційної діяльності.</w:t>
      </w:r>
    </w:p>
    <w:p w14:paraId="39B599BB"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14.  Реєстр назв вулиць та інших поіменованих об’єктів місцевості на підставі топографічних планів, офіційних довідників та рішень Броварської міської, Княжицької та Требухівської сільських рад, Броварської міської ради Броварського району Київської області про найменування (перейменування) вулиць та інших поіменованих об’єктів місцевості.</w:t>
      </w:r>
    </w:p>
    <w:p w14:paraId="06D7760D"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15. Реєстр адрес на території територіальної громади на підставі топографічних планів, електронного реєстру адрес та рішень виконавчого органу місцевого самоврядування про присвоєння та зміну адрес об’єктів будівництва та нерухомого майна на території територіальної громади.</w:t>
      </w:r>
    </w:p>
    <w:p w14:paraId="12D87F68"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16.</w:t>
      </w: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Затверджені містобудівні програми, схеми та проекти розвитку інфраструктури, озеленення, благоустрою та захисту території, інвестиційні програми та проекти на підставі відповідних рішень органу місцевого самоврядування про їх затвердження (погодження).</w:t>
      </w:r>
    </w:p>
    <w:p w14:paraId="169C727B"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17. Іншу містобудівну документацію, матеріали проектної документації, дозволи (декларації) про будівництво, акти контрольних перевірок, документи на прийняття об’єктів в експлуатацію на підставі рішень про затвердження (погодження) відповідної документації, виданих повідомлень, декларацій, дозволів на виконання будівельних робіт, зареєстрованих декларацій, сертифікатів про готовність об’єкта до експлуатації та інших документів щодо об’єктів містобудування і будівництва відповідно до Закону України                «Про регулювання містобудівної діяльності».</w:t>
      </w:r>
    </w:p>
    <w:p w14:paraId="0AE086EB"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18.  Червоні лінії та лінії регулювання забудови.</w:t>
      </w:r>
    </w:p>
    <w:p w14:paraId="62A49B9E"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19. Відомості про об'єкти зовнішньої реклами.</w:t>
      </w:r>
    </w:p>
    <w:p w14:paraId="5FF2E9B8"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 Інформація про розміщення тимчасових споруд.</w:t>
      </w:r>
    </w:p>
    <w:p w14:paraId="04FD1236"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21. Екологічні та інженерно-геологічні характеристики окремих територій і земельних ділянок, можливість провадження на них містобудівної діяльності з урахуванням планувальних обмежень на підставі відповідної містобудівної документації, даних екологічних, гідрометеорологічних, радіологічних, санітарно-гігієнічних та інших досліджень, а також на підставі даних, отриманих з відповідних галузевих кадастрів та інформаційних систем щодо питань використання території, їх екологічного, інженерно-геологічного, сейсмічного, гідрогеологічного та іншого районування території територіальної громади.</w:t>
      </w:r>
    </w:p>
    <w:p w14:paraId="7BB05756"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lastRenderedPageBreak/>
        <w:t>22.  Нормативно-правові акти у сфері містобудування, а також будівельні норми, державні стандарти і правила на підставі рішень про їх  затвердження відповідно до законодавства.</w:t>
      </w:r>
    </w:p>
    <w:p w14:paraId="37138783"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val="ru-RU" w:eastAsia="ru-RU"/>
        </w:rPr>
        <w:tab/>
      </w:r>
      <w:r w:rsidRPr="00BF7EF0">
        <w:rPr>
          <w:rFonts w:ascii="Times New Roman" w:eastAsia="Times New Roman" w:hAnsi="Times New Roman" w:cs="Times New Roman"/>
          <w:sz w:val="28"/>
          <w:szCs w:val="28"/>
          <w:lang w:eastAsia="ru-RU"/>
        </w:rPr>
        <w:t>Ведення містобудівного кадастру здійснюється за принципами:</w:t>
      </w:r>
    </w:p>
    <w:p w14:paraId="03427D71"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Актуальності, достовірності, повноти, цілісності, точності та обґрунтованості інформаційних ресурсів містобудівного кадастру.</w:t>
      </w:r>
    </w:p>
    <w:p w14:paraId="28D30B27"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Відкритості та доступності інформації з містобудівного кадастру, законності її одержання, поширення і зберігання.</w:t>
      </w:r>
    </w:p>
    <w:p w14:paraId="435FAC5D"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Безперервності внесення до містобудівного кадастру відомостей про об’єкти містобудування, що змінюються.</w:t>
      </w:r>
    </w:p>
    <w:p w14:paraId="48644A6B"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 Інтероперабельності з інформаційними системами державного земельного кадастру та інших галузевих кадастрів і реєстрами, що належать до державних інформаційних ресурсів.</w:t>
      </w:r>
    </w:p>
    <w:p w14:paraId="4A87D485"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w:t>
      </w:r>
      <w:r w:rsidRPr="00BF7EF0">
        <w:rPr>
          <w:rFonts w:ascii="Times New Roman" w:eastAsia="Times New Roman" w:hAnsi="Times New Roman" w:cs="Times New Roman"/>
          <w:b/>
          <w:sz w:val="28"/>
          <w:szCs w:val="28"/>
          <w:lang w:eastAsia="ru-RU"/>
        </w:rPr>
        <w:t>.</w:t>
      </w:r>
      <w:r w:rsidRPr="00BF7EF0">
        <w:rPr>
          <w:rFonts w:ascii="Times New Roman" w:eastAsia="Times New Roman" w:hAnsi="Times New Roman" w:cs="Times New Roman"/>
          <w:sz w:val="28"/>
          <w:szCs w:val="28"/>
          <w:lang w:eastAsia="ru-RU"/>
        </w:rPr>
        <w:t xml:space="preserve"> Координації діяльності суб’єктів містобудівного кадастру, які забезпечують виробництво, оновлення, оброблення, зберігання, постачання та використання інформаційних ресурсів містобудівного кадастру.</w:t>
      </w:r>
    </w:p>
    <w:p w14:paraId="57F0D080"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Інформація, що міститься в містобудівному кадастрі, повинна використовуватися при розв’язанні завдань:</w:t>
      </w:r>
    </w:p>
    <w:p w14:paraId="4C7BA4B4"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Прогнозування розвитку, планування і забудови територіальної громади.</w:t>
      </w:r>
    </w:p>
    <w:p w14:paraId="3E6A5DF0"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Розміщення, проектування, будівництва і реконструкції об’єктів житлово-цивільного, виробничого, комунального та іншого призначення.</w:t>
      </w:r>
    </w:p>
    <w:p w14:paraId="11A2A425"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Створення соціальної, інженерної  і транспортної інфраструктури, регулювання земельних відносин на відповідних територіях.</w:t>
      </w:r>
    </w:p>
    <w:p w14:paraId="277FDEC2"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 Визначення зон економічної оцінки територій, обґрунтування розмірів оподаткування і вартості земельних ділянок, будинків і споруд з урахуванням місцевих умов.</w:t>
      </w:r>
    </w:p>
    <w:p w14:paraId="6F917E9B"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 Обліку власників і користувачів будинків і споруд.</w:t>
      </w:r>
    </w:p>
    <w:p w14:paraId="3BB3011C"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6.  Контролю за раціональним використанням територіальних ресурсів, аналізу реалізації затвердженої містобудівної документації та інше.</w:t>
      </w:r>
    </w:p>
    <w:p w14:paraId="5D3E724D" w14:textId="77777777" w:rsidR="00F77F0C" w:rsidRPr="00BF7EF0" w:rsidRDefault="00F77F0C" w:rsidP="00F77F0C">
      <w:pPr>
        <w:tabs>
          <w:tab w:val="left" w:pos="3390"/>
        </w:tabs>
        <w:spacing w:before="120" w:after="120" w:line="240" w:lineRule="auto"/>
        <w:jc w:val="center"/>
        <w:outlineLvl w:val="0"/>
        <w:rPr>
          <w:rFonts w:ascii="Times New Roman" w:eastAsia="Times New Roman" w:hAnsi="Times New Roman" w:cs="Times New Roman"/>
          <w:sz w:val="28"/>
          <w:szCs w:val="28"/>
          <w:lang w:val="ru-RU" w:eastAsia="ru-RU"/>
        </w:rPr>
      </w:pPr>
      <w:r w:rsidRPr="00BF7EF0">
        <w:rPr>
          <w:rFonts w:ascii="Times New Roman" w:eastAsia="Times New Roman" w:hAnsi="Times New Roman" w:cs="Times New Roman"/>
          <w:b/>
          <w:bCs/>
          <w:sz w:val="28"/>
          <w:szCs w:val="28"/>
          <w:lang w:val="en-US" w:eastAsia="ru-RU"/>
        </w:rPr>
        <w:t>III</w:t>
      </w:r>
      <w:r w:rsidRPr="00BF7EF0">
        <w:rPr>
          <w:rFonts w:ascii="Times New Roman" w:eastAsia="Times New Roman" w:hAnsi="Times New Roman" w:cs="Times New Roman"/>
          <w:b/>
          <w:bCs/>
          <w:sz w:val="28"/>
          <w:szCs w:val="28"/>
          <w:lang w:eastAsia="ru-RU"/>
        </w:rPr>
        <w:t>.</w:t>
      </w:r>
      <w:r w:rsidRPr="00BF7EF0">
        <w:rPr>
          <w:rFonts w:ascii="Times New Roman" w:eastAsia="Times New Roman" w:hAnsi="Times New Roman" w:cs="Times New Roman"/>
          <w:sz w:val="20"/>
          <w:szCs w:val="20"/>
          <w:lang w:val="ru-RU" w:eastAsia="ru-RU"/>
        </w:rPr>
        <w:t xml:space="preserve"> </w:t>
      </w:r>
      <w:r w:rsidRPr="00BF7EF0">
        <w:rPr>
          <w:rFonts w:ascii="Times New Roman" w:eastAsia="Times New Roman" w:hAnsi="Times New Roman" w:cs="Times New Roman"/>
          <w:b/>
          <w:bCs/>
          <w:sz w:val="28"/>
          <w:szCs w:val="28"/>
          <w:lang w:eastAsia="ru-RU"/>
        </w:rPr>
        <w:t>Механізм реалізації Програми</w:t>
      </w:r>
    </w:p>
    <w:p w14:paraId="3FB3D9BA" w14:textId="77777777" w:rsidR="00F77F0C" w:rsidRPr="00BF7EF0" w:rsidRDefault="00F77F0C" w:rsidP="00F77F0C">
      <w:pPr>
        <w:widowControl w:val="0"/>
        <w:spacing w:after="0" w:line="240" w:lineRule="auto"/>
        <w:jc w:val="both"/>
        <w:rPr>
          <w:rFonts w:ascii="Times New Roman" w:eastAsia="Times New Roman" w:hAnsi="Times New Roman" w:cs="Times New Roman"/>
          <w:sz w:val="28"/>
          <w:szCs w:val="20"/>
          <w:lang w:eastAsia="ru-RU"/>
        </w:rPr>
      </w:pPr>
      <w:r w:rsidRPr="00BF7EF0">
        <w:rPr>
          <w:rFonts w:ascii="Times New Roman" w:eastAsia="Times New Roman" w:hAnsi="Times New Roman" w:cs="Times New Roman"/>
          <w:sz w:val="28"/>
          <w:szCs w:val="20"/>
          <w:lang w:eastAsia="ru-RU"/>
        </w:rPr>
        <w:t xml:space="preserve">        Фінансування заходів Програми здійснюється відповідно до законодавства України в межах наявних фінансових ресурсів. Джерелами фінансування Програми є кошти місцевого  бюджету та  інших джерел фінансування,                не заборонених</w:t>
      </w:r>
      <w:r w:rsidRPr="00BF7EF0">
        <w:rPr>
          <w:rFonts w:ascii="Times New Roman" w:eastAsia="Times New Roman" w:hAnsi="Times New Roman" w:cs="Times New Roman"/>
          <w:sz w:val="28"/>
          <w:szCs w:val="20"/>
          <w:lang w:val="ru-RU" w:eastAsia="ru-RU"/>
        </w:rPr>
        <w:t xml:space="preserve"> </w:t>
      </w:r>
      <w:r w:rsidRPr="00BF7EF0">
        <w:rPr>
          <w:rFonts w:ascii="Times New Roman" w:eastAsia="Times New Roman" w:hAnsi="Times New Roman" w:cs="Times New Roman"/>
          <w:sz w:val="28"/>
          <w:szCs w:val="20"/>
          <w:lang w:eastAsia="ru-RU"/>
        </w:rPr>
        <w:t xml:space="preserve">чинним законодавством.  </w:t>
      </w:r>
    </w:p>
    <w:p w14:paraId="71B481AB" w14:textId="77777777" w:rsidR="00F77F0C" w:rsidRPr="00BF7EF0" w:rsidRDefault="00F77F0C" w:rsidP="00F77F0C">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Програма розрахована на період 2024-2028 роки і складається з двох етапів.</w:t>
      </w:r>
    </w:p>
    <w:p w14:paraId="34DF79CE"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Перший етап включає:</w:t>
      </w:r>
    </w:p>
    <w:p w14:paraId="7C5090E6" w14:textId="77777777" w:rsidR="00F77F0C" w:rsidRPr="00BF7EF0" w:rsidRDefault="00F77F0C" w:rsidP="00F77F0C">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1. Проведення  інвентаризації  наявних  матеріалів,  дані  яких  передбачається  ввести до містобудівного кадастру, забезпечити розроблення містобудівної документації, планово-картографічного матеріалу, яких за результатами інвентаризації не вистачає. Зокрема організувати  доповнення єдиної цифрової топографічної основи територіальної громади планово-картографічними матеріалами масштабу 1:500, потреба в яких виникла у зв’язку з  необхідністю  введення до містобудівного кадастру відомостей про інженерно-транспорту </w:t>
      </w:r>
      <w:r w:rsidRPr="00BF7EF0">
        <w:rPr>
          <w:rFonts w:ascii="Times New Roman" w:eastAsia="Times New Roman" w:hAnsi="Times New Roman" w:cs="Times New Roman"/>
          <w:sz w:val="28"/>
          <w:szCs w:val="28"/>
          <w:lang w:eastAsia="ru-RU"/>
        </w:rPr>
        <w:lastRenderedPageBreak/>
        <w:t>інфраструктуру, результатів інженерно-геодезичних виконавчих знімань в масштабі 1:500, переведення їх у цифровий формат;</w:t>
      </w:r>
    </w:p>
    <w:p w14:paraId="39D3C92E"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Забезпечення Служби містобудівного кадастру відповідним програмно-технічним комплексом містобудівного кадастру, інформаційно-комунікаційною системою автоматизації процесів збору, обробки, систематизації, реєстрації, зберігання та оновлення кадастрової інформації.</w:t>
      </w:r>
    </w:p>
    <w:p w14:paraId="0CD9CCD8" w14:textId="77777777" w:rsidR="00F77F0C" w:rsidRPr="00BF7EF0" w:rsidRDefault="00F77F0C" w:rsidP="00F77F0C">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Придбання та встановлення технічного комплексу геоінформаційної системи та геопорталу містобудівного кадастру, спеціалізованого програмного забезпечення;</w:t>
      </w:r>
    </w:p>
    <w:p w14:paraId="1A9439DC" w14:textId="77777777" w:rsidR="00F77F0C" w:rsidRPr="00BF7EF0" w:rsidRDefault="00F77F0C" w:rsidP="00F77F0C">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 Розроблення  уніфікованої системи електронного документообігу для кадастрового обліку та обміну кадастровими даними;</w:t>
      </w:r>
    </w:p>
    <w:p w14:paraId="437C7A06" w14:textId="77777777" w:rsidR="00F77F0C" w:rsidRPr="00BF7EF0" w:rsidRDefault="00F77F0C" w:rsidP="00F77F0C">
      <w:pPr>
        <w:widowControl w:val="0"/>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5. </w:t>
      </w:r>
      <w:r w:rsidRPr="00BF7EF0">
        <w:rPr>
          <w:rFonts w:ascii="Times New Roman" w:eastAsia="Times New Roman" w:hAnsi="Times New Roman" w:cs="Times New Roman"/>
          <w:sz w:val="29"/>
          <w:szCs w:val="20"/>
          <w:lang w:eastAsia="ru-RU"/>
        </w:rPr>
        <w:t>Встановлення програмного забезпечення геоінформаційної системи  та геопорталу містобудівного кадастру</w:t>
      </w:r>
      <w:r w:rsidRPr="00BF7EF0">
        <w:rPr>
          <w:rFonts w:ascii="Times New Roman" w:eastAsia="Times New Roman" w:hAnsi="Times New Roman" w:cs="Times New Roman"/>
          <w:sz w:val="28"/>
          <w:szCs w:val="28"/>
          <w:lang w:eastAsia="ru-RU"/>
        </w:rPr>
        <w:t xml:space="preserve"> </w:t>
      </w:r>
    </w:p>
    <w:p w14:paraId="19620E80" w14:textId="77777777" w:rsidR="00F77F0C" w:rsidRPr="00BF7EF0" w:rsidRDefault="00F77F0C" w:rsidP="00F77F0C">
      <w:pPr>
        <w:widowControl w:val="0"/>
        <w:spacing w:after="0" w:line="240" w:lineRule="auto"/>
        <w:jc w:val="both"/>
        <w:rPr>
          <w:rFonts w:ascii="Times New Roman" w:eastAsia="Times New Roman" w:hAnsi="Times New Roman" w:cs="Times New Roman"/>
          <w:sz w:val="29"/>
          <w:szCs w:val="20"/>
          <w:lang w:eastAsia="ru-RU"/>
        </w:rPr>
      </w:pPr>
      <w:r w:rsidRPr="00BF7EF0">
        <w:rPr>
          <w:rFonts w:ascii="Times New Roman" w:eastAsia="Times New Roman" w:hAnsi="Times New Roman" w:cs="Times New Roman"/>
          <w:sz w:val="28"/>
          <w:szCs w:val="28"/>
          <w:lang w:eastAsia="ru-RU"/>
        </w:rPr>
        <w:t>6. Формування інформаційних ресурсів містобудівного кадастру та введення в експлуатацію геоінформаційної системи і геопорталу</w:t>
      </w:r>
      <w:r w:rsidRPr="00BF7EF0">
        <w:rPr>
          <w:rFonts w:ascii="Times New Roman" w:eastAsia="Times New Roman" w:hAnsi="Times New Roman" w:cs="Times New Roman"/>
          <w:sz w:val="29"/>
          <w:szCs w:val="20"/>
          <w:lang w:eastAsia="ru-RU"/>
        </w:rPr>
        <w:t xml:space="preserve"> містобудівного кадастру;</w:t>
      </w:r>
    </w:p>
    <w:p w14:paraId="61D30191" w14:textId="77777777" w:rsidR="00F77F0C" w:rsidRPr="00BF7EF0" w:rsidRDefault="00F77F0C" w:rsidP="00F77F0C">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Другий етап включає: </w:t>
      </w:r>
    </w:p>
    <w:p w14:paraId="76EFF2EF"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Удосконалення діяльності Служби містобудівного кадастру.</w:t>
      </w:r>
    </w:p>
    <w:p w14:paraId="6E47C42A"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 Встановлення комунікаційних  каналів обміну інформацією з розподіленими базами даних.</w:t>
      </w:r>
    </w:p>
    <w:p w14:paraId="523D7D83"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3. Організація системи захисту інформації та доступу до інформаційних ресурсів містобудівного кадастру.</w:t>
      </w:r>
    </w:p>
    <w:p w14:paraId="1C04E6FB"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 Організація робіт з планового введення даних до баз  даних містобудівного кадастру та формування  і видача на запит кадастрових документів та довідок.</w:t>
      </w:r>
    </w:p>
    <w:p w14:paraId="031DDD3D"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 Експлуатація геоінформаційної системи містобудівного кадастру і геопорталу містобудівного кадастру. Введення інформаційних ресурсів містобудівного кадастру.</w:t>
      </w:r>
    </w:p>
    <w:p w14:paraId="2BBD2D86" w14:textId="77777777" w:rsidR="00F77F0C" w:rsidRPr="00BF7EF0" w:rsidRDefault="00F77F0C" w:rsidP="00F77F0C">
      <w:pPr>
        <w:spacing w:after="0" w:line="100" w:lineRule="atLeast"/>
        <w:jc w:val="both"/>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6. Постійне забезпечення органів державної виконавчої влади та місцевого самоврядування, заінтересованих підприємств,  установ, організацій і громадян містобудівною документацією.</w:t>
      </w:r>
    </w:p>
    <w:p w14:paraId="138848A6" w14:textId="77777777" w:rsidR="00F77F0C" w:rsidRPr="00BF7EF0" w:rsidRDefault="00F77F0C" w:rsidP="00F77F0C">
      <w:pPr>
        <w:spacing w:before="120" w:after="120" w:line="240" w:lineRule="auto"/>
        <w:jc w:val="center"/>
        <w:rPr>
          <w:rFonts w:ascii="Times New Roman" w:eastAsia="Times New Roman" w:hAnsi="Times New Roman" w:cs="Times New Roman"/>
          <w:b/>
          <w:bCs/>
          <w:sz w:val="28"/>
          <w:szCs w:val="28"/>
          <w:lang w:eastAsia="ru-RU"/>
        </w:rPr>
      </w:pPr>
      <w:r w:rsidRPr="00BF7EF0">
        <w:rPr>
          <w:rFonts w:ascii="Times New Roman" w:eastAsia="Times New Roman" w:hAnsi="Times New Roman" w:cs="Times New Roman"/>
          <w:b/>
          <w:sz w:val="28"/>
          <w:szCs w:val="28"/>
          <w:lang w:val="en-US" w:eastAsia="ru-RU"/>
        </w:rPr>
        <w:t>IV</w:t>
      </w:r>
      <w:r w:rsidRPr="00BF7EF0">
        <w:rPr>
          <w:rFonts w:ascii="Times New Roman" w:eastAsia="Times New Roman" w:hAnsi="Times New Roman" w:cs="Times New Roman"/>
          <w:b/>
          <w:sz w:val="28"/>
          <w:szCs w:val="28"/>
          <w:lang w:eastAsia="ru-RU"/>
        </w:rPr>
        <w:t>. Регламент доступу до</w:t>
      </w:r>
      <w:r w:rsidRPr="00BF7EF0">
        <w:rPr>
          <w:rFonts w:ascii="Times New Roman" w:eastAsia="Times New Roman" w:hAnsi="Times New Roman" w:cs="Times New Roman"/>
          <w:b/>
          <w:sz w:val="28"/>
          <w:szCs w:val="28"/>
          <w:lang w:val="ru-RU" w:eastAsia="ru-RU"/>
        </w:rPr>
        <w:t xml:space="preserve"> </w:t>
      </w:r>
      <w:r w:rsidRPr="00BF7EF0">
        <w:rPr>
          <w:rFonts w:ascii="Times New Roman" w:eastAsia="Times New Roman" w:hAnsi="Times New Roman" w:cs="Times New Roman"/>
          <w:b/>
          <w:sz w:val="28"/>
          <w:szCs w:val="28"/>
          <w:lang w:eastAsia="ru-RU"/>
        </w:rPr>
        <w:t xml:space="preserve">містобудівного </w:t>
      </w:r>
      <w:r w:rsidRPr="00BF7EF0">
        <w:rPr>
          <w:rFonts w:ascii="Times New Roman" w:eastAsia="Times New Roman" w:hAnsi="Times New Roman" w:cs="Times New Roman"/>
          <w:b/>
          <w:sz w:val="28"/>
          <w:szCs w:val="28"/>
          <w:lang w:val="ru-RU" w:eastAsia="ru-RU"/>
        </w:rPr>
        <w:t xml:space="preserve">кадастру </w:t>
      </w:r>
    </w:p>
    <w:p w14:paraId="6E57C00D" w14:textId="77777777" w:rsidR="00F77F0C" w:rsidRPr="00BF7EF0" w:rsidRDefault="00F77F0C" w:rsidP="00F77F0C">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 Доступ до інформації містобудівного кадастру територіальної громади:</w:t>
      </w:r>
    </w:p>
    <w:p w14:paraId="376F91F5" w14:textId="77777777" w:rsidR="00F77F0C" w:rsidRPr="00BF7EF0" w:rsidRDefault="00F77F0C" w:rsidP="00F77F0C">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1.1. Інформація, що міститься в містобудівному кадастрі, є відкритою і загальнодоступною, окрім відомостей, що відносяться до інформації з обмеженим доступом, і надається на підставі Законів України                                 «Про інформацію», «Про доступ до публічної інформації» і інших законодавчих актів України.</w:t>
      </w:r>
    </w:p>
    <w:p w14:paraId="4E3F38BF" w14:textId="77777777" w:rsidR="00F77F0C" w:rsidRPr="00BF7EF0" w:rsidRDefault="00F77F0C" w:rsidP="00F77F0C">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1.2. Інформація містобудівного кадастру територіальної громади, яка є власністю держави або територіальної громади, або є державною чи комерційною таємницею, надається в порядку, встановленому законодавством України.</w:t>
      </w:r>
    </w:p>
    <w:p w14:paraId="6A70E1EF" w14:textId="77777777" w:rsidR="00F77F0C" w:rsidRPr="00BF7EF0" w:rsidRDefault="00F77F0C" w:rsidP="00F77F0C">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1.3. Інформація, яка міститься в містобудівному кадастрі територіальної громади і не має обмежень в доступі, надається суб’єктам містобудівної </w:t>
      </w:r>
      <w:r w:rsidRPr="00BF7EF0">
        <w:rPr>
          <w:rFonts w:ascii="Times New Roman" w:eastAsia="Times New Roman" w:hAnsi="Times New Roman" w:cs="Times New Roman"/>
          <w:sz w:val="28"/>
          <w:szCs w:val="28"/>
          <w:lang w:eastAsia="ru-RU"/>
        </w:rPr>
        <w:lastRenderedPageBreak/>
        <w:t>діяльності по їх запитах, у вигляді кадастрової довідки з містобудівного кадастру.</w:t>
      </w:r>
    </w:p>
    <w:p w14:paraId="079872E8" w14:textId="77777777" w:rsidR="00F77F0C" w:rsidRPr="00BF7EF0" w:rsidRDefault="00F77F0C" w:rsidP="00F77F0C">
      <w:pPr>
        <w:shd w:val="clear" w:color="auto" w:fill="FFFFFF"/>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1.4. Забезпечення прямого санкціонованого доступу до кадастрової системи окремих користувачів відповідно </w:t>
      </w:r>
      <w:r w:rsidRPr="00BF7EF0">
        <w:rPr>
          <w:rFonts w:ascii="Times New Roman" w:eastAsia="Times New Roman" w:hAnsi="Times New Roman" w:cs="Times New Roman"/>
          <w:sz w:val="28"/>
          <w:szCs w:val="28"/>
          <w:lang w:val="ru-RU" w:eastAsia="ru-RU"/>
        </w:rPr>
        <w:t>до</w:t>
      </w:r>
      <w:r w:rsidRPr="00BF7EF0">
        <w:rPr>
          <w:rFonts w:ascii="Times New Roman" w:eastAsia="Times New Roman" w:hAnsi="Times New Roman" w:cs="Times New Roman"/>
          <w:sz w:val="28"/>
          <w:szCs w:val="28"/>
          <w:lang w:eastAsia="ru-RU"/>
        </w:rPr>
        <w:t xml:space="preserve"> Переліку осіб, що мають доступ до кадастрової системи м. Бровари Київської області  (додаток до Програми).</w:t>
      </w:r>
    </w:p>
    <w:p w14:paraId="7E7CE307" w14:textId="77777777" w:rsidR="00F77F0C" w:rsidRDefault="00F77F0C" w:rsidP="00F77F0C">
      <w:pPr>
        <w:shd w:val="clear" w:color="auto" w:fill="FFFFFF"/>
        <w:spacing w:after="120" w:line="240" w:lineRule="auto"/>
        <w:jc w:val="both"/>
        <w:rPr>
          <w:rFonts w:ascii="Times New Roman" w:eastAsia="Times New Roman" w:hAnsi="Times New Roman" w:cs="Times New Roman"/>
          <w:b/>
          <w:bCs/>
          <w:sz w:val="28"/>
          <w:szCs w:val="20"/>
          <w:lang w:eastAsia="ru-RU"/>
        </w:rPr>
      </w:pPr>
      <w:r w:rsidRPr="00BF7EF0">
        <w:rPr>
          <w:rFonts w:ascii="Times New Roman" w:eastAsia="Times New Roman" w:hAnsi="Times New Roman" w:cs="Times New Roman"/>
          <w:sz w:val="28"/>
          <w:szCs w:val="28"/>
          <w:lang w:eastAsia="ru-RU"/>
        </w:rPr>
        <w:t>2.  Служба несе відповідальність за своєчасне внесення інформації у базу даних містобудівного кадастру, обробку, аналіз і оновлення отриманих даних,  формування кадастрових довідок на запити користувачів в межах санкціонованого доступу до інформаційних ресурсів містобудівного кадастру та їх надання.</w:t>
      </w:r>
    </w:p>
    <w:p w14:paraId="181E7EF4" w14:textId="77777777" w:rsidR="00F77F0C" w:rsidRPr="00BF7EF0" w:rsidRDefault="00F77F0C" w:rsidP="00F77F0C">
      <w:pPr>
        <w:shd w:val="clear" w:color="auto" w:fill="FFFFFF"/>
        <w:spacing w:after="120" w:line="240" w:lineRule="auto"/>
        <w:jc w:val="center"/>
        <w:rPr>
          <w:rFonts w:ascii="Times New Roman" w:eastAsia="Times New Roman" w:hAnsi="Times New Roman" w:cs="Times New Roman"/>
          <w:b/>
          <w:bCs/>
          <w:sz w:val="28"/>
          <w:szCs w:val="20"/>
          <w:lang w:eastAsia="ru-RU"/>
        </w:rPr>
      </w:pPr>
      <w:r w:rsidRPr="00BF7EF0">
        <w:rPr>
          <w:rFonts w:ascii="Times New Roman" w:eastAsia="Times New Roman" w:hAnsi="Times New Roman" w:cs="Times New Roman"/>
          <w:b/>
          <w:bCs/>
          <w:sz w:val="28"/>
          <w:szCs w:val="20"/>
          <w:lang w:val="en-US" w:eastAsia="ru-RU"/>
        </w:rPr>
        <w:t>V</w:t>
      </w:r>
      <w:r w:rsidRPr="00BF7EF0">
        <w:rPr>
          <w:rFonts w:ascii="Times New Roman" w:eastAsia="Times New Roman" w:hAnsi="Times New Roman" w:cs="Times New Roman"/>
          <w:b/>
          <w:bCs/>
          <w:sz w:val="28"/>
          <w:szCs w:val="20"/>
          <w:lang w:eastAsia="ru-RU"/>
        </w:rPr>
        <w:t>. Основні цільові групи</w:t>
      </w:r>
    </w:p>
    <w:p w14:paraId="64F91069"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1. Управління містобудування та архітектури виконавчого комітету Броварської міської ради Броварського району Київської області.</w:t>
      </w:r>
    </w:p>
    <w:p w14:paraId="41F767B5"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2. Виконавчі органи Броварської міської ради Броварського району Київської області.</w:t>
      </w:r>
    </w:p>
    <w:p w14:paraId="4B52633E"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3. Забудовники, потенційні інвестори.</w:t>
      </w:r>
    </w:p>
    <w:p w14:paraId="32B62F38" w14:textId="77777777" w:rsidR="00F77F0C" w:rsidRPr="00BF7EF0" w:rsidRDefault="00F77F0C" w:rsidP="00F77F0C">
      <w:pPr>
        <w:spacing w:after="0" w:line="100" w:lineRule="atLeast"/>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4. Інші юридичні та фізичні особи.</w:t>
      </w:r>
    </w:p>
    <w:p w14:paraId="123E4E30" w14:textId="77777777" w:rsidR="00F77F0C" w:rsidRPr="00BF7EF0" w:rsidRDefault="00F77F0C" w:rsidP="00F77F0C">
      <w:pPr>
        <w:spacing w:before="120" w:after="120" w:line="100" w:lineRule="atLeast"/>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val="en-US" w:eastAsia="ru-RU"/>
        </w:rPr>
        <w:t>VI</w:t>
      </w:r>
      <w:r w:rsidRPr="00BF7EF0">
        <w:rPr>
          <w:rFonts w:ascii="Times New Roman" w:eastAsia="Times New Roman" w:hAnsi="Times New Roman" w:cs="Times New Roman"/>
          <w:b/>
          <w:sz w:val="28"/>
          <w:szCs w:val="28"/>
          <w:lang w:eastAsia="ru-RU"/>
        </w:rPr>
        <w:t>. Обсяг коштів, необхідних для реалізації Програми</w:t>
      </w:r>
    </w:p>
    <w:p w14:paraId="7B4A4EEA" w14:textId="77777777" w:rsidR="00F77F0C" w:rsidRPr="00BF7EF0" w:rsidRDefault="00F77F0C" w:rsidP="00F77F0C">
      <w:pPr>
        <w:spacing w:after="0" w:line="100" w:lineRule="atLeast"/>
        <w:ind w:firstLine="708"/>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Фінансування Програми передбачається за рахунок коштів місцевого бюджету та інших  джерел, не заборонених  законом.</w:t>
      </w:r>
    </w:p>
    <w:p w14:paraId="6CC27226" w14:textId="77777777" w:rsidR="00F77F0C" w:rsidRPr="00BF7EF0" w:rsidRDefault="00F77F0C" w:rsidP="00F77F0C">
      <w:pPr>
        <w:spacing w:after="0" w:line="100" w:lineRule="atLeast"/>
        <w:ind w:firstLine="708"/>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Обсяг видатків з місцевого бюджету на відповідний рік визначається Броварською міською радою Броварського району Київської області при затвердженні місцевого бюджету.</w:t>
      </w:r>
    </w:p>
    <w:p w14:paraId="7AA2017B" w14:textId="77777777" w:rsidR="00F77F0C" w:rsidRPr="00BF7EF0" w:rsidRDefault="00F77F0C" w:rsidP="00F77F0C">
      <w:pPr>
        <w:spacing w:before="120" w:after="120" w:line="100" w:lineRule="atLeast"/>
        <w:ind w:firstLine="709"/>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Загальний обсяг фінансування Програми </w:t>
      </w: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 xml:space="preserve">2341,20 тис. грн. </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5"/>
        <w:gridCol w:w="990"/>
        <w:gridCol w:w="993"/>
        <w:gridCol w:w="992"/>
        <w:gridCol w:w="992"/>
        <w:gridCol w:w="6"/>
        <w:gridCol w:w="986"/>
        <w:gridCol w:w="10"/>
        <w:gridCol w:w="1369"/>
        <w:gridCol w:w="11"/>
      </w:tblGrid>
      <w:tr w:rsidR="00F77F0C" w:rsidRPr="00BF7EF0" w14:paraId="705AE3CC" w14:textId="77777777" w:rsidTr="00681F5D">
        <w:trPr>
          <w:gridAfter w:val="1"/>
          <w:wAfter w:w="11" w:type="dxa"/>
        </w:trPr>
        <w:tc>
          <w:tcPr>
            <w:tcW w:w="3648" w:type="dxa"/>
            <w:vMerge w:val="restart"/>
            <w:tcBorders>
              <w:top w:val="single" w:sz="4" w:space="0" w:color="auto"/>
              <w:left w:val="single" w:sz="4" w:space="0" w:color="auto"/>
              <w:bottom w:val="single" w:sz="4" w:space="0" w:color="auto"/>
              <w:right w:val="single" w:sz="4" w:space="0" w:color="auto"/>
            </w:tcBorders>
            <w:vAlign w:val="center"/>
            <w:hideMark/>
          </w:tcPr>
          <w:p w14:paraId="341FB841"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Завдання та заходи</w:t>
            </w:r>
          </w:p>
        </w:tc>
        <w:tc>
          <w:tcPr>
            <w:tcW w:w="6335" w:type="dxa"/>
            <w:gridSpan w:val="8"/>
            <w:tcBorders>
              <w:top w:val="single" w:sz="4" w:space="0" w:color="auto"/>
              <w:left w:val="single" w:sz="4" w:space="0" w:color="auto"/>
              <w:bottom w:val="single" w:sz="4" w:space="0" w:color="auto"/>
              <w:right w:val="single" w:sz="4" w:space="0" w:color="auto"/>
            </w:tcBorders>
            <w:vAlign w:val="center"/>
          </w:tcPr>
          <w:p w14:paraId="3FEC7718"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Обсяг фінансування,</w:t>
            </w:r>
          </w:p>
          <w:p w14:paraId="6DA1B99E"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b/>
                <w:sz w:val="28"/>
                <w:szCs w:val="28"/>
                <w:lang w:eastAsia="ru-RU"/>
              </w:rPr>
              <w:t>тис. грн.</w:t>
            </w:r>
          </w:p>
        </w:tc>
      </w:tr>
      <w:tr w:rsidR="00F77F0C" w:rsidRPr="00BF7EF0" w14:paraId="7FE20144" w14:textId="77777777" w:rsidTr="00681F5D">
        <w:tc>
          <w:tcPr>
            <w:tcW w:w="3648" w:type="dxa"/>
            <w:vMerge/>
            <w:tcBorders>
              <w:top w:val="single" w:sz="4" w:space="0" w:color="auto"/>
              <w:left w:val="single" w:sz="4" w:space="0" w:color="auto"/>
              <w:bottom w:val="single" w:sz="4" w:space="0" w:color="auto"/>
              <w:right w:val="single" w:sz="4" w:space="0" w:color="auto"/>
            </w:tcBorders>
            <w:vAlign w:val="center"/>
            <w:hideMark/>
          </w:tcPr>
          <w:p w14:paraId="69E1FD9F" w14:textId="77777777" w:rsidR="00F77F0C" w:rsidRPr="00BF7EF0" w:rsidRDefault="00F77F0C" w:rsidP="00681F5D">
            <w:pPr>
              <w:spacing w:after="0" w:line="240" w:lineRule="auto"/>
              <w:rPr>
                <w:rFonts w:ascii="Times New Roman" w:eastAsia="Times New Roman" w:hAnsi="Times New Roman" w:cs="Times New Roman"/>
                <w:b/>
                <w:i/>
                <w:sz w:val="28"/>
                <w:szCs w:val="28"/>
                <w:lang w:eastAsia="ru-RU"/>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1DCBA7FD"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2024 рік</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F8459E"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2025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3746C"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2026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E62BA6"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2027 рік</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F256607"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2028 рік</w:t>
            </w:r>
          </w:p>
        </w:tc>
        <w:tc>
          <w:tcPr>
            <w:tcW w:w="1387" w:type="dxa"/>
            <w:gridSpan w:val="3"/>
            <w:vMerge w:val="restart"/>
            <w:tcBorders>
              <w:top w:val="single" w:sz="4" w:space="0" w:color="auto"/>
              <w:left w:val="single" w:sz="4" w:space="0" w:color="auto"/>
              <w:bottom w:val="single" w:sz="4" w:space="0" w:color="auto"/>
              <w:right w:val="single" w:sz="4" w:space="0" w:color="auto"/>
            </w:tcBorders>
            <w:vAlign w:val="center"/>
          </w:tcPr>
          <w:p w14:paraId="08C81BDF"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Всього</w:t>
            </w:r>
          </w:p>
        </w:tc>
      </w:tr>
      <w:tr w:rsidR="00F77F0C" w:rsidRPr="00BF7EF0" w14:paraId="44EE12F9" w14:textId="77777777" w:rsidTr="00681F5D">
        <w:tc>
          <w:tcPr>
            <w:tcW w:w="3648" w:type="dxa"/>
            <w:vMerge/>
            <w:tcBorders>
              <w:top w:val="single" w:sz="4" w:space="0" w:color="auto"/>
              <w:left w:val="single" w:sz="4" w:space="0" w:color="auto"/>
              <w:bottom w:val="single" w:sz="4" w:space="0" w:color="auto"/>
              <w:right w:val="single" w:sz="4" w:space="0" w:color="auto"/>
            </w:tcBorders>
            <w:vAlign w:val="center"/>
            <w:hideMark/>
          </w:tcPr>
          <w:p w14:paraId="1C5783F1" w14:textId="77777777" w:rsidR="00F77F0C" w:rsidRPr="00BF7EF0" w:rsidRDefault="00F77F0C" w:rsidP="00681F5D">
            <w:pPr>
              <w:spacing w:after="0" w:line="240" w:lineRule="auto"/>
              <w:rPr>
                <w:rFonts w:ascii="Times New Roman" w:eastAsia="Times New Roman" w:hAnsi="Times New Roman" w:cs="Times New Roman"/>
                <w:b/>
                <w:i/>
                <w:sz w:val="28"/>
                <w:szCs w:val="28"/>
                <w:lang w:eastAsia="ru-RU"/>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646D804D"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DFFC50"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F69F2"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F03D70"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71A0F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Загальний фонд</w:t>
            </w:r>
          </w:p>
        </w:tc>
        <w:tc>
          <w:tcPr>
            <w:tcW w:w="1387" w:type="dxa"/>
            <w:gridSpan w:val="3"/>
            <w:vMerge/>
            <w:tcBorders>
              <w:top w:val="single" w:sz="4" w:space="0" w:color="auto"/>
              <w:left w:val="single" w:sz="4" w:space="0" w:color="auto"/>
              <w:bottom w:val="single" w:sz="4" w:space="0" w:color="auto"/>
              <w:right w:val="single" w:sz="4" w:space="0" w:color="auto"/>
            </w:tcBorders>
            <w:vAlign w:val="center"/>
          </w:tcPr>
          <w:p w14:paraId="4C39152C"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tc>
      </w:tr>
      <w:tr w:rsidR="00F77F0C" w:rsidRPr="00BF7EF0" w14:paraId="0AE10A55" w14:textId="77777777" w:rsidTr="00681F5D">
        <w:trPr>
          <w:gridAfter w:val="1"/>
          <w:wAfter w:w="11" w:type="dxa"/>
          <w:trHeight w:val="1124"/>
        </w:trPr>
        <w:tc>
          <w:tcPr>
            <w:tcW w:w="3648" w:type="dxa"/>
            <w:tcBorders>
              <w:top w:val="single" w:sz="4" w:space="0" w:color="auto"/>
              <w:left w:val="single" w:sz="4" w:space="0" w:color="auto"/>
              <w:right w:val="single" w:sz="4" w:space="0" w:color="auto"/>
            </w:tcBorders>
            <w:hideMark/>
          </w:tcPr>
          <w:p w14:paraId="7C5ABA10" w14:textId="77777777" w:rsidR="00F77F0C" w:rsidRPr="00BF7EF0" w:rsidRDefault="00F77F0C" w:rsidP="002D6FB2">
            <w:pPr>
              <w:spacing w:after="0" w:line="240" w:lineRule="auto"/>
              <w:jc w:val="both"/>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1. Програмне </w:t>
            </w:r>
          </w:p>
          <w:p w14:paraId="3FA0EF53" w14:textId="77777777" w:rsidR="00F77F0C" w:rsidRPr="00BF7EF0" w:rsidRDefault="00F77F0C" w:rsidP="002D6FB2">
            <w:pPr>
              <w:spacing w:after="0" w:line="240" w:lineRule="auto"/>
              <w:jc w:val="both"/>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забезпечення:</w:t>
            </w:r>
          </w:p>
          <w:p w14:paraId="1C0A1234"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ведення реєстру </w:t>
            </w:r>
            <w:proofErr w:type="spellStart"/>
            <w:r w:rsidRPr="00BF7EF0">
              <w:rPr>
                <w:rFonts w:ascii="Times New Roman" w:eastAsia="Times New Roman" w:hAnsi="Times New Roman" w:cs="Times New Roman"/>
                <w:sz w:val="28"/>
                <w:szCs w:val="28"/>
                <w:lang w:eastAsia="ru-RU"/>
              </w:rPr>
              <w:t>адрес,вулиць</w:t>
            </w:r>
            <w:proofErr w:type="spellEnd"/>
            <w:r w:rsidRPr="00BF7EF0">
              <w:rPr>
                <w:rFonts w:ascii="Times New Roman" w:eastAsia="Times New Roman" w:hAnsi="Times New Roman" w:cs="Times New Roman"/>
                <w:sz w:val="28"/>
                <w:szCs w:val="28"/>
                <w:lang w:eastAsia="ru-RU"/>
              </w:rPr>
              <w:t xml:space="preserve"> та інших пойменованих об'єктів;</w:t>
            </w:r>
          </w:p>
          <w:p w14:paraId="49692091"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-реєстрація та облік містобудівної документації;</w:t>
            </w:r>
          </w:p>
          <w:p w14:paraId="6113460C"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-ведення бази даних паспортів прив'язки тимчасових споруд;</w:t>
            </w:r>
          </w:p>
          <w:p w14:paraId="3B731F5D"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lastRenderedPageBreak/>
              <w:t>-моніторинг безбар'єрності;</w:t>
            </w:r>
          </w:p>
          <w:p w14:paraId="4A8706EE"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-ведення бази даних інформаційних ресурсів цифрових топографічних планів;</w:t>
            </w:r>
          </w:p>
          <w:p w14:paraId="3921B1A0"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w:t>
            </w:r>
            <w:proofErr w:type="spellStart"/>
            <w:r w:rsidRPr="00BF7EF0">
              <w:rPr>
                <w:rFonts w:ascii="Times New Roman" w:eastAsia="Times New Roman" w:hAnsi="Times New Roman" w:cs="Times New Roman"/>
                <w:sz w:val="28"/>
                <w:szCs w:val="28"/>
                <w:lang w:eastAsia="ru-RU"/>
              </w:rPr>
              <w:t>геопортал</w:t>
            </w:r>
            <w:proofErr w:type="spellEnd"/>
            <w:r w:rsidRPr="00BF7EF0">
              <w:rPr>
                <w:rFonts w:ascii="Times New Roman" w:eastAsia="Times New Roman" w:hAnsi="Times New Roman" w:cs="Times New Roman"/>
                <w:sz w:val="28"/>
                <w:szCs w:val="28"/>
                <w:lang w:eastAsia="ru-RU"/>
              </w:rPr>
              <w:t xml:space="preserve"> містобудівного кадастру;</w:t>
            </w:r>
          </w:p>
          <w:p w14:paraId="5CA826CF"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-адміністрування ГІС МБК (ГІС-сервер МБК);</w:t>
            </w:r>
          </w:p>
          <w:p w14:paraId="39E5AB51"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-ведення бази об'єктів зовнішньої реклами;</w:t>
            </w:r>
          </w:p>
          <w:p w14:paraId="3AEA0D48"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-ведення бази даних комунального майна;</w:t>
            </w:r>
          </w:p>
          <w:p w14:paraId="400C483E"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-підсистема програмного комплексу  земельного кадастру;</w:t>
            </w:r>
          </w:p>
          <w:p w14:paraId="323C3822" w14:textId="77777777" w:rsidR="00F77F0C" w:rsidRPr="00BF7EF0" w:rsidRDefault="00F77F0C" w:rsidP="002D6FB2">
            <w:pPr>
              <w:spacing w:after="0" w:line="240" w:lineRule="auto"/>
              <w:jc w:val="both"/>
              <w:rPr>
                <w:rFonts w:ascii="Times New Roman" w:eastAsia="Times New Roman" w:hAnsi="Times New Roman" w:cs="Times New Roman"/>
                <w:i/>
                <w:sz w:val="28"/>
                <w:szCs w:val="28"/>
                <w:lang w:eastAsia="ru-RU"/>
              </w:rPr>
            </w:pPr>
            <w:r w:rsidRPr="00BF7EF0">
              <w:rPr>
                <w:rFonts w:ascii="Times New Roman" w:eastAsia="Times New Roman" w:hAnsi="Times New Roman" w:cs="Times New Roman"/>
                <w:sz w:val="28"/>
                <w:szCs w:val="28"/>
                <w:lang w:eastAsia="ru-RU"/>
              </w:rPr>
              <w:t>-службовий кабінет постачальника геопросторових даних територіальної громади (базова версія).</w:t>
            </w:r>
          </w:p>
        </w:tc>
        <w:tc>
          <w:tcPr>
            <w:tcW w:w="990" w:type="dxa"/>
            <w:tcBorders>
              <w:top w:val="single" w:sz="4" w:space="0" w:color="auto"/>
              <w:left w:val="single" w:sz="4" w:space="0" w:color="auto"/>
              <w:right w:val="single" w:sz="4" w:space="0" w:color="auto"/>
            </w:tcBorders>
            <w:hideMark/>
          </w:tcPr>
          <w:p w14:paraId="4B424060"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300.00</w:t>
            </w:r>
          </w:p>
          <w:p w14:paraId="47AC7C6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3F2DCAAC"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AC4EBFE"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F9E625D"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A3063A1"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D6AC2CB"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3BFE581"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3D42DCC"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DEDE432"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75,00</w:t>
            </w:r>
          </w:p>
          <w:p w14:paraId="1A581A06"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0EB1313"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54790E7"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58EAEF4"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DDAB9F4"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B1CB476"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743DF39"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1D744B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6A7393A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75.00</w:t>
            </w:r>
          </w:p>
          <w:p w14:paraId="6EF4DEB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310D2E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75,00</w:t>
            </w:r>
          </w:p>
          <w:p w14:paraId="7778634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0866A5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FA9B49E"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C82C94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50712F6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134E84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5C08FF1"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75ECC5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AD223D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AB68B3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75.00</w:t>
            </w:r>
          </w:p>
        </w:tc>
        <w:tc>
          <w:tcPr>
            <w:tcW w:w="993" w:type="dxa"/>
            <w:tcBorders>
              <w:top w:val="single" w:sz="4" w:space="0" w:color="auto"/>
              <w:left w:val="single" w:sz="4" w:space="0" w:color="auto"/>
              <w:right w:val="single" w:sz="4" w:space="0" w:color="auto"/>
            </w:tcBorders>
            <w:hideMark/>
          </w:tcPr>
          <w:p w14:paraId="18084E3F"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360,00</w:t>
            </w:r>
          </w:p>
          <w:p w14:paraId="11AE8B60"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7025961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CFC2E1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180657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5C0987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8A5BCBC"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946584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4AB58FC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259CC6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90,00</w:t>
            </w:r>
          </w:p>
          <w:p w14:paraId="3A02DEE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lastRenderedPageBreak/>
              <w:t xml:space="preserve"> 90,00</w:t>
            </w:r>
          </w:p>
          <w:p w14:paraId="1B2E6E8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F5321BC"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3420A55"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7931AF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17E8FDC"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F61B6C0"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14:paraId="22ACB6B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56E9A76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14:paraId="5CC8D57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1FB314E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14:paraId="3435720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164526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0BA2DC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17B2EDF"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DC1DE7C"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18138D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156DBCB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DED659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75F12AC"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55C088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90.00</w:t>
            </w:r>
          </w:p>
        </w:tc>
        <w:tc>
          <w:tcPr>
            <w:tcW w:w="992" w:type="dxa"/>
            <w:tcBorders>
              <w:top w:val="single" w:sz="4" w:space="0" w:color="auto"/>
              <w:left w:val="single" w:sz="4" w:space="0" w:color="auto"/>
              <w:right w:val="single" w:sz="4" w:space="0" w:color="auto"/>
            </w:tcBorders>
            <w:hideMark/>
          </w:tcPr>
          <w:p w14:paraId="16C01E27"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432,00</w:t>
            </w:r>
          </w:p>
          <w:p w14:paraId="6351825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9029BC6"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41ED60C"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E06390B"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108,00</w:t>
            </w:r>
          </w:p>
          <w:p w14:paraId="3FC714B1"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3719EE5"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80,00</w:t>
            </w:r>
          </w:p>
          <w:p w14:paraId="48E993C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3D80CC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26FA21C"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FAAE84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lastRenderedPageBreak/>
              <w:t xml:space="preserve"> 28,00</w:t>
            </w:r>
          </w:p>
          <w:p w14:paraId="7A9D0EE1"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7650C4F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3A077D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E21692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2CC3AB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FF62D4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23363EC"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088CFC8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28,00</w:t>
            </w:r>
          </w:p>
          <w:p w14:paraId="23C0657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27016D5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14:paraId="7CCBD15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22B0A6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40,00</w:t>
            </w:r>
          </w:p>
          <w:p w14:paraId="383AE32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14:paraId="4629A29E"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6505181"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2538DFE"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2A7B11B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E63FF3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D42910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DC1E420"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108.00</w:t>
            </w:r>
          </w:p>
        </w:tc>
        <w:tc>
          <w:tcPr>
            <w:tcW w:w="992" w:type="dxa"/>
            <w:tcBorders>
              <w:top w:val="single" w:sz="4" w:space="0" w:color="auto"/>
              <w:left w:val="single" w:sz="4" w:space="0" w:color="auto"/>
              <w:right w:val="single" w:sz="4" w:space="0" w:color="auto"/>
            </w:tcBorders>
            <w:hideMark/>
          </w:tcPr>
          <w:p w14:paraId="025976C5"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500.00</w:t>
            </w:r>
          </w:p>
          <w:p w14:paraId="3D2E208F"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DA3E23F"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32B62A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27388D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100,00</w:t>
            </w:r>
          </w:p>
          <w:p w14:paraId="15565FF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DACD48F"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80,00</w:t>
            </w:r>
          </w:p>
          <w:p w14:paraId="5A634A8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E2E7841"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7C82855"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14:paraId="64C0331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lastRenderedPageBreak/>
              <w:t xml:space="preserve"> 20,00</w:t>
            </w:r>
          </w:p>
          <w:p w14:paraId="3C75275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7573059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8AACC5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B6E3F4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14:paraId="3F7E9BE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772FB23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14:paraId="7BD53595"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D757F2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F9BD5E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7869FDD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14:paraId="153C3C2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2DBB72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14:paraId="020DFBA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40,00</w:t>
            </w:r>
          </w:p>
          <w:p w14:paraId="6D7B2C9F"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296BC780"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6D14E1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6ADCB5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45E42D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7F36E61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782675E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70,00</w:t>
            </w:r>
          </w:p>
        </w:tc>
        <w:tc>
          <w:tcPr>
            <w:tcW w:w="992" w:type="dxa"/>
            <w:gridSpan w:val="2"/>
            <w:tcBorders>
              <w:top w:val="single" w:sz="4" w:space="0" w:color="auto"/>
              <w:left w:val="single" w:sz="4" w:space="0" w:color="auto"/>
              <w:right w:val="single" w:sz="4" w:space="0" w:color="auto"/>
            </w:tcBorders>
          </w:tcPr>
          <w:p w14:paraId="7685B52B"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500.00</w:t>
            </w:r>
          </w:p>
          <w:p w14:paraId="028430E1"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453DDC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06F5A4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AE66D5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100,00</w:t>
            </w:r>
          </w:p>
          <w:p w14:paraId="44FD9ADE"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02AFE9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80,00</w:t>
            </w:r>
          </w:p>
          <w:p w14:paraId="1C755BFE"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5D56EC2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AAE559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14:paraId="3D15FE8F"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lastRenderedPageBreak/>
              <w:t xml:space="preserve"> 20,00</w:t>
            </w:r>
          </w:p>
          <w:p w14:paraId="0FD38E1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1FECF8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76CAA0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EC4115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14:paraId="52DAB41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2B3B9CA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14:paraId="28F5019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A4AD8A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466F7A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7D37B235"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20,00</w:t>
            </w:r>
          </w:p>
          <w:p w14:paraId="5CBC94B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9A1F4E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50,00</w:t>
            </w:r>
          </w:p>
          <w:p w14:paraId="653CA272"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40,00</w:t>
            </w:r>
          </w:p>
          <w:p w14:paraId="6230E486"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8BBE537"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B551E1D"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B70FBAC"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3873FE14"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4E72433"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26497B0"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70,00</w:t>
            </w:r>
          </w:p>
        </w:tc>
        <w:tc>
          <w:tcPr>
            <w:tcW w:w="1376" w:type="dxa"/>
            <w:gridSpan w:val="2"/>
            <w:tcBorders>
              <w:top w:val="single" w:sz="4" w:space="0" w:color="auto"/>
              <w:left w:val="single" w:sz="4" w:space="0" w:color="auto"/>
              <w:right w:val="single" w:sz="4" w:space="0" w:color="auto"/>
            </w:tcBorders>
          </w:tcPr>
          <w:p w14:paraId="281C08A4"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2092,00</w:t>
            </w:r>
          </w:p>
          <w:p w14:paraId="56843CEA"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2A21C5D6"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6CAF5AA3"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1E350C6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308,00</w:t>
            </w:r>
          </w:p>
          <w:p w14:paraId="7428FE7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3B7068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240,00</w:t>
            </w:r>
          </w:p>
          <w:p w14:paraId="7F82471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3EDA28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E81145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265,00</w:t>
            </w:r>
          </w:p>
          <w:p w14:paraId="08F6651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lastRenderedPageBreak/>
              <w:t xml:space="preserve">  158,00</w:t>
            </w:r>
          </w:p>
          <w:p w14:paraId="6F91C7A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6A51B6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718E7B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17DC17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100,00</w:t>
            </w:r>
          </w:p>
          <w:p w14:paraId="7073498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1D94180"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90,00</w:t>
            </w:r>
          </w:p>
          <w:p w14:paraId="56B2837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96A86BC"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123,00</w:t>
            </w:r>
          </w:p>
          <w:p w14:paraId="26BFA29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0CDD2A7"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155,00</w:t>
            </w:r>
          </w:p>
          <w:p w14:paraId="131708F1"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75BEC8D5"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140,00</w:t>
            </w:r>
          </w:p>
          <w:p w14:paraId="332B97EE"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100,00      </w:t>
            </w:r>
          </w:p>
          <w:p w14:paraId="2A704560"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0224B6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EB31B2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825D9F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4F2701E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6804DA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330315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143,00</w:t>
            </w:r>
          </w:p>
        </w:tc>
      </w:tr>
      <w:tr w:rsidR="00F77F0C" w:rsidRPr="00BF7EF0" w14:paraId="37BFCCF3" w14:textId="77777777" w:rsidTr="00681F5D">
        <w:trPr>
          <w:gridAfter w:val="1"/>
          <w:wAfter w:w="11" w:type="dxa"/>
        </w:trPr>
        <w:tc>
          <w:tcPr>
            <w:tcW w:w="3648" w:type="dxa"/>
            <w:tcBorders>
              <w:top w:val="single" w:sz="4" w:space="0" w:color="auto"/>
              <w:left w:val="single" w:sz="4" w:space="0" w:color="auto"/>
              <w:bottom w:val="single" w:sz="4" w:space="0" w:color="auto"/>
              <w:right w:val="single" w:sz="4" w:space="0" w:color="auto"/>
            </w:tcBorders>
            <w:hideMark/>
          </w:tcPr>
          <w:p w14:paraId="765615CC" w14:textId="77777777" w:rsidR="00F77F0C" w:rsidRPr="00BF7EF0" w:rsidRDefault="00F77F0C" w:rsidP="002D6FB2">
            <w:pPr>
              <w:spacing w:after="0" w:line="240" w:lineRule="auto"/>
              <w:jc w:val="both"/>
              <w:rPr>
                <w:rFonts w:ascii="Times New Roman" w:eastAsia="Times New Roman" w:hAnsi="Times New Roman" w:cs="Times New Roman"/>
                <w:b/>
                <w:i/>
                <w:lang w:eastAsia="ru-RU"/>
              </w:rPr>
            </w:pPr>
          </w:p>
        </w:tc>
        <w:tc>
          <w:tcPr>
            <w:tcW w:w="990" w:type="dxa"/>
            <w:tcBorders>
              <w:top w:val="single" w:sz="4" w:space="0" w:color="auto"/>
              <w:left w:val="single" w:sz="4" w:space="0" w:color="auto"/>
              <w:bottom w:val="single" w:sz="4" w:space="0" w:color="auto"/>
              <w:right w:val="single" w:sz="4" w:space="0" w:color="auto"/>
            </w:tcBorders>
            <w:hideMark/>
          </w:tcPr>
          <w:p w14:paraId="5F8F38C8" w14:textId="77777777" w:rsidR="00F77F0C" w:rsidRPr="00BF7EF0" w:rsidRDefault="00F77F0C" w:rsidP="00681F5D">
            <w:pPr>
              <w:spacing w:after="0" w:line="240" w:lineRule="auto"/>
              <w:jc w:val="center"/>
              <w:rPr>
                <w:rFonts w:ascii="Times New Roman" w:eastAsia="Times New Roman" w:hAnsi="Times New Roman" w:cs="Times New Roman"/>
                <w:i/>
                <w:lang w:eastAsia="ru-RU"/>
              </w:rPr>
            </w:pPr>
          </w:p>
        </w:tc>
        <w:tc>
          <w:tcPr>
            <w:tcW w:w="993" w:type="dxa"/>
            <w:tcBorders>
              <w:top w:val="single" w:sz="4" w:space="0" w:color="auto"/>
              <w:left w:val="single" w:sz="4" w:space="0" w:color="auto"/>
              <w:bottom w:val="single" w:sz="4" w:space="0" w:color="auto"/>
              <w:right w:val="single" w:sz="4" w:space="0" w:color="auto"/>
            </w:tcBorders>
            <w:hideMark/>
          </w:tcPr>
          <w:p w14:paraId="14822C4C" w14:textId="77777777" w:rsidR="00F77F0C" w:rsidRPr="00BF7EF0" w:rsidRDefault="00F77F0C" w:rsidP="00681F5D">
            <w:pPr>
              <w:spacing w:after="0" w:line="240" w:lineRule="auto"/>
              <w:jc w:val="center"/>
              <w:rPr>
                <w:rFonts w:ascii="Times New Roman" w:eastAsia="Times New Roman" w:hAnsi="Times New Roman" w:cs="Times New Roman"/>
                <w:i/>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0EA18B4" w14:textId="77777777" w:rsidR="00F77F0C" w:rsidRPr="00BF7EF0" w:rsidRDefault="00F77F0C" w:rsidP="00681F5D">
            <w:pPr>
              <w:spacing w:after="0" w:line="240" w:lineRule="auto"/>
              <w:jc w:val="center"/>
              <w:rPr>
                <w:rFonts w:ascii="Times New Roman" w:eastAsia="Times New Roman" w:hAnsi="Times New Roman" w:cs="Times New Roman"/>
                <w:i/>
                <w:lang w:eastAsia="ru-RU"/>
              </w:rPr>
            </w:pPr>
          </w:p>
        </w:tc>
        <w:tc>
          <w:tcPr>
            <w:tcW w:w="3360" w:type="dxa"/>
            <w:gridSpan w:val="5"/>
            <w:tcBorders>
              <w:top w:val="single" w:sz="4" w:space="0" w:color="auto"/>
              <w:left w:val="single" w:sz="4" w:space="0" w:color="auto"/>
              <w:bottom w:val="single" w:sz="4" w:space="0" w:color="auto"/>
              <w:right w:val="single" w:sz="4" w:space="0" w:color="auto"/>
            </w:tcBorders>
            <w:hideMark/>
          </w:tcPr>
          <w:p w14:paraId="0FC29AF8" w14:textId="77777777" w:rsidR="00F77F0C" w:rsidRPr="00BF7EF0" w:rsidRDefault="00F77F0C" w:rsidP="00681F5D">
            <w:pPr>
              <w:spacing w:after="0" w:line="240" w:lineRule="auto"/>
              <w:jc w:val="center"/>
              <w:rPr>
                <w:rFonts w:ascii="Times New Roman" w:eastAsia="Times New Roman" w:hAnsi="Times New Roman" w:cs="Times New Roman"/>
                <w:b/>
                <w:i/>
                <w:lang w:eastAsia="ru-RU"/>
              </w:rPr>
            </w:pPr>
          </w:p>
        </w:tc>
      </w:tr>
      <w:tr w:rsidR="00F77F0C" w:rsidRPr="00BF7EF0" w14:paraId="627FDB70" w14:textId="77777777" w:rsidTr="00681F5D">
        <w:trPr>
          <w:gridAfter w:val="1"/>
          <w:wAfter w:w="11" w:type="dxa"/>
        </w:trPr>
        <w:tc>
          <w:tcPr>
            <w:tcW w:w="3648" w:type="dxa"/>
            <w:tcBorders>
              <w:top w:val="single" w:sz="4" w:space="0" w:color="auto"/>
              <w:left w:val="single" w:sz="4" w:space="0" w:color="auto"/>
              <w:bottom w:val="single" w:sz="4" w:space="0" w:color="auto"/>
              <w:right w:val="single" w:sz="4" w:space="0" w:color="auto"/>
            </w:tcBorders>
            <w:hideMark/>
          </w:tcPr>
          <w:p w14:paraId="54264A3D" w14:textId="77777777" w:rsidR="00F77F0C" w:rsidRPr="00BF7EF0" w:rsidRDefault="00F77F0C" w:rsidP="002D6FB2">
            <w:pPr>
              <w:spacing w:after="0" w:line="240" w:lineRule="auto"/>
              <w:jc w:val="both"/>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2. Послуги з обробки даних:</w:t>
            </w:r>
          </w:p>
          <w:p w14:paraId="5BFAD655"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-обробка матеріалів Управління до формату каталогу бази даних </w:t>
            </w:r>
            <w:proofErr w:type="spellStart"/>
            <w:r w:rsidRPr="00BF7EF0">
              <w:rPr>
                <w:rFonts w:ascii="Times New Roman" w:eastAsia="Times New Roman" w:hAnsi="Times New Roman" w:cs="Times New Roman"/>
                <w:sz w:val="28"/>
                <w:szCs w:val="28"/>
                <w:lang w:eastAsia="ru-RU"/>
              </w:rPr>
              <w:t>ГІС:растрових</w:t>
            </w:r>
            <w:proofErr w:type="spellEnd"/>
            <w:r w:rsidRPr="00BF7EF0">
              <w:rPr>
                <w:rFonts w:ascii="Times New Roman" w:eastAsia="Times New Roman" w:hAnsi="Times New Roman" w:cs="Times New Roman"/>
                <w:sz w:val="28"/>
                <w:szCs w:val="28"/>
                <w:lang w:eastAsia="ru-RU"/>
              </w:rPr>
              <w:t xml:space="preserve"> форматів GEOTIFF, векторних форматів </w:t>
            </w:r>
            <w:r w:rsidRPr="00BF7EF0">
              <w:rPr>
                <w:rFonts w:ascii="Times New Roman" w:eastAsia="Times New Roman" w:hAnsi="Times New Roman" w:cs="Times New Roman"/>
                <w:sz w:val="28"/>
                <w:szCs w:val="28"/>
                <w:lang w:val="en-US" w:eastAsia="ru-RU"/>
              </w:rPr>
              <w:t>DMF</w:t>
            </w: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val="en-US" w:eastAsia="ru-RU"/>
              </w:rPr>
              <w:t>SHP</w:t>
            </w: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val="en-US" w:eastAsia="ru-RU"/>
              </w:rPr>
              <w:t>DWG</w:t>
            </w:r>
            <w:r w:rsidRPr="00BF7EF0">
              <w:rPr>
                <w:rFonts w:ascii="Times New Roman" w:eastAsia="Times New Roman" w:hAnsi="Times New Roman" w:cs="Times New Roman"/>
                <w:sz w:val="28"/>
                <w:szCs w:val="28"/>
                <w:lang w:eastAsia="ru-RU"/>
              </w:rPr>
              <w:t>, форматів XML, D</w:t>
            </w:r>
            <w:r w:rsidRPr="00BF7EF0">
              <w:rPr>
                <w:rFonts w:ascii="Times New Roman" w:eastAsia="Times New Roman" w:hAnsi="Times New Roman" w:cs="Times New Roman"/>
                <w:sz w:val="28"/>
                <w:szCs w:val="28"/>
                <w:lang w:val="en-US" w:eastAsia="ru-RU"/>
              </w:rPr>
              <w:t>OC</w:t>
            </w: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sz w:val="28"/>
                <w:szCs w:val="28"/>
                <w:lang w:val="en-US" w:eastAsia="ru-RU"/>
              </w:rPr>
              <w:t>XLS</w:t>
            </w:r>
            <w:r w:rsidRPr="00BF7EF0">
              <w:rPr>
                <w:rFonts w:ascii="Times New Roman" w:eastAsia="Times New Roman" w:hAnsi="Times New Roman" w:cs="Times New Roman"/>
                <w:sz w:val="28"/>
                <w:szCs w:val="28"/>
                <w:lang w:eastAsia="ru-RU"/>
              </w:rPr>
              <w:t>;</w:t>
            </w:r>
          </w:p>
          <w:p w14:paraId="40FD625B"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-обробка та завантаження Генерального плану міста Бровари;</w:t>
            </w:r>
          </w:p>
          <w:p w14:paraId="53B310FA"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-обробка та завантаження схеми Плану зонування території міста Бровари;</w:t>
            </w:r>
          </w:p>
          <w:p w14:paraId="179F3172"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-обробка та завантаження топографічних планів  </w:t>
            </w:r>
          </w:p>
          <w:p w14:paraId="5138A819"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населених пунктів М1:2000;</w:t>
            </w:r>
          </w:p>
          <w:p w14:paraId="05959E14"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обробка та завантаження топографічного плану         с. Княжичі М 1:2000;</w:t>
            </w:r>
          </w:p>
          <w:p w14:paraId="57DE1452"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обробка та завантаження топографічного плану </w:t>
            </w:r>
          </w:p>
          <w:p w14:paraId="7DBE6A52"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lastRenderedPageBreak/>
              <w:t>с. Требухів та Переможець  М 1:2000;</w:t>
            </w:r>
          </w:p>
          <w:p w14:paraId="0D01D882" w14:textId="77777777" w:rsidR="00F77F0C" w:rsidRPr="00BF7EF0" w:rsidRDefault="00F77F0C" w:rsidP="002D6FB2">
            <w:pPr>
              <w:spacing w:after="0" w:line="240" w:lineRule="auto"/>
              <w:jc w:val="both"/>
              <w:rPr>
                <w:rFonts w:ascii="Times New Roman" w:eastAsia="Times New Roman" w:hAnsi="Times New Roman" w:cs="Times New Roman"/>
                <w:i/>
                <w:sz w:val="28"/>
                <w:szCs w:val="28"/>
                <w:lang w:eastAsia="ru-RU"/>
              </w:rPr>
            </w:pPr>
            <w:r w:rsidRPr="00BF7EF0">
              <w:rPr>
                <w:rFonts w:ascii="Times New Roman" w:eastAsia="Times New Roman" w:hAnsi="Times New Roman" w:cs="Times New Roman"/>
                <w:sz w:val="28"/>
                <w:szCs w:val="28"/>
                <w:lang w:eastAsia="ru-RU"/>
              </w:rPr>
              <w:t>-формування бази даних адресного реєстру на територію територіальної громади</w:t>
            </w:r>
          </w:p>
        </w:tc>
        <w:tc>
          <w:tcPr>
            <w:tcW w:w="990" w:type="dxa"/>
            <w:tcBorders>
              <w:top w:val="single" w:sz="4" w:space="0" w:color="auto"/>
              <w:left w:val="single" w:sz="4" w:space="0" w:color="auto"/>
              <w:bottom w:val="single" w:sz="4" w:space="0" w:color="auto"/>
              <w:right w:val="single" w:sz="4" w:space="0" w:color="auto"/>
            </w:tcBorders>
            <w:hideMark/>
          </w:tcPr>
          <w:p w14:paraId="1ADBAB80"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30,00</w:t>
            </w:r>
          </w:p>
          <w:p w14:paraId="784F10C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C43CD35"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0242A2C"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6728B24"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3509D8D"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6B8E9E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EF2789E"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70A319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6D1D7925"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EBD73FC"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6517419E"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83D37A5"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6F8C8856"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D572B72"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42ABD50"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6AD5425"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281DE1F"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B32F419"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CCB3CB2"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BE472C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30.00</w:t>
            </w:r>
          </w:p>
        </w:tc>
        <w:tc>
          <w:tcPr>
            <w:tcW w:w="993" w:type="dxa"/>
            <w:tcBorders>
              <w:top w:val="single" w:sz="4" w:space="0" w:color="auto"/>
              <w:left w:val="single" w:sz="4" w:space="0" w:color="auto"/>
              <w:bottom w:val="single" w:sz="4" w:space="0" w:color="auto"/>
              <w:right w:val="single" w:sz="4" w:space="0" w:color="auto"/>
            </w:tcBorders>
            <w:hideMark/>
          </w:tcPr>
          <w:p w14:paraId="2614D8F3"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36,00</w:t>
            </w:r>
          </w:p>
          <w:p w14:paraId="08D397C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38727B4B"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AF0C976"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26D65D9"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9E8EF3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82E6327"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69EBC44"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2A9422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25C0759"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F929CC1"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6944D2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26125D1"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33F4896F"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7493E3E"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FE59EF9"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710971E"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2821984"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4199898"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4FFEF8A"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9953F66"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DAE03B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7D1979E"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0EB23FD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7482B31"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36,00</w:t>
            </w:r>
          </w:p>
        </w:tc>
        <w:tc>
          <w:tcPr>
            <w:tcW w:w="992" w:type="dxa"/>
            <w:tcBorders>
              <w:top w:val="single" w:sz="4" w:space="0" w:color="auto"/>
              <w:left w:val="single" w:sz="4" w:space="0" w:color="auto"/>
              <w:bottom w:val="single" w:sz="4" w:space="0" w:color="auto"/>
              <w:right w:val="single" w:sz="4" w:space="0" w:color="auto"/>
            </w:tcBorders>
            <w:hideMark/>
          </w:tcPr>
          <w:p w14:paraId="56ADDBF4"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43,20</w:t>
            </w:r>
          </w:p>
          <w:p w14:paraId="66DC01B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13AE722"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6BC1BD6B"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28CA950"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694803D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AC8BF55"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260D10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673FFFBD"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1D42DBB7"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8F3BE1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9D0648E"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3AAE5A27"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DC5575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6B4A842"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7BA7A4EB"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696ECD5F"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AC9950B"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267B78B"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FF8FC3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6DF127C5"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578F943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3A3618A9"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485CEFF3"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306E0DF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91AFB5A"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6B2962C4"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2DBEE673"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p>
          <w:p w14:paraId="0F9B9D53"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43.20</w:t>
            </w:r>
          </w:p>
        </w:tc>
        <w:tc>
          <w:tcPr>
            <w:tcW w:w="992" w:type="dxa"/>
            <w:tcBorders>
              <w:top w:val="single" w:sz="4" w:space="0" w:color="auto"/>
              <w:left w:val="single" w:sz="4" w:space="0" w:color="auto"/>
              <w:bottom w:val="single" w:sz="4" w:space="0" w:color="auto"/>
              <w:right w:val="single" w:sz="4" w:space="0" w:color="auto"/>
            </w:tcBorders>
            <w:hideMark/>
          </w:tcPr>
          <w:p w14:paraId="5FEF40EF"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50,00</w:t>
            </w:r>
          </w:p>
          <w:p w14:paraId="789AEB1C"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6A3A8CA7"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6332C9B1"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2E708223"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2D3D55B4"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250D9DD4"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166C93C7"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5E6DF0E3"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3ABF2C20"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530CA489"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2710FE9A"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520423D3"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03DF333E"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24BD7FFB"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14E38B57"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78654332"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5FCFD703"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50,00</w:t>
            </w:r>
          </w:p>
        </w:tc>
        <w:tc>
          <w:tcPr>
            <w:tcW w:w="1002" w:type="dxa"/>
            <w:gridSpan w:val="3"/>
            <w:tcBorders>
              <w:top w:val="single" w:sz="4" w:space="0" w:color="auto"/>
              <w:left w:val="single" w:sz="4" w:space="0" w:color="auto"/>
              <w:bottom w:val="single" w:sz="4" w:space="0" w:color="auto"/>
              <w:right w:val="single" w:sz="4" w:space="0" w:color="auto"/>
            </w:tcBorders>
          </w:tcPr>
          <w:p w14:paraId="4378860D"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b/>
                <w:sz w:val="28"/>
                <w:szCs w:val="28"/>
                <w:lang w:eastAsia="ru-RU"/>
              </w:rPr>
              <w:t>50,00</w:t>
            </w:r>
          </w:p>
          <w:p w14:paraId="01BB7326"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0F3D24CA"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37B924C4"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54C43357"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05F27D08"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42B34903"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7304DF43"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1CF6121E"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2721B748"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53810957"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185033B0"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57DB9BB0"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1EF083FC"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0C04143F"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1389631F"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18AC5283"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25E6328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50,00</w:t>
            </w:r>
          </w:p>
        </w:tc>
        <w:tc>
          <w:tcPr>
            <w:tcW w:w="1366" w:type="dxa"/>
            <w:tcBorders>
              <w:top w:val="single" w:sz="4" w:space="0" w:color="auto"/>
              <w:left w:val="single" w:sz="4" w:space="0" w:color="auto"/>
              <w:bottom w:val="single" w:sz="4" w:space="0" w:color="auto"/>
              <w:right w:val="single" w:sz="4" w:space="0" w:color="auto"/>
            </w:tcBorders>
          </w:tcPr>
          <w:p w14:paraId="0B2DFF3A"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b/>
                <w:sz w:val="28"/>
                <w:szCs w:val="28"/>
                <w:lang w:eastAsia="ru-RU"/>
              </w:rPr>
              <w:t>209,20</w:t>
            </w:r>
          </w:p>
          <w:p w14:paraId="7EA509CA"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1C7593A7"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65AE3E83"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68A1276A"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09720911"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76D298CE"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083D098E"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28A443A9"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40C47147"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4B3A8430"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1EEE05A6"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2C5B6D79"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4A838F53"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341E5139"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0A1ECB08"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5A5FA4C8"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2241734F"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b/>
                <w:sz w:val="28"/>
                <w:szCs w:val="28"/>
                <w:lang w:eastAsia="ru-RU"/>
              </w:rPr>
              <w:t xml:space="preserve">  </w:t>
            </w:r>
            <w:r w:rsidRPr="00BF7EF0">
              <w:rPr>
                <w:rFonts w:ascii="Times New Roman" w:eastAsia="Times New Roman" w:hAnsi="Times New Roman" w:cs="Times New Roman"/>
                <w:sz w:val="28"/>
                <w:szCs w:val="28"/>
                <w:lang w:eastAsia="ru-RU"/>
              </w:rPr>
              <w:t>100,00</w:t>
            </w:r>
          </w:p>
          <w:p w14:paraId="43F171B2"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20A384E5"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C2E06C1"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30,00</w:t>
            </w:r>
          </w:p>
          <w:p w14:paraId="4CC5F17B"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60CDCD94"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5254950F"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1E748A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36,00</w:t>
            </w:r>
          </w:p>
          <w:p w14:paraId="70DBE1B9"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3E6F5DFC"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5175560D"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p>
          <w:p w14:paraId="1D7311D5"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43,20</w:t>
            </w:r>
          </w:p>
        </w:tc>
      </w:tr>
      <w:tr w:rsidR="00F77F0C" w:rsidRPr="00BF7EF0" w14:paraId="1E804353" w14:textId="77777777" w:rsidTr="00681F5D">
        <w:trPr>
          <w:gridAfter w:val="1"/>
          <w:wAfter w:w="11" w:type="dxa"/>
        </w:trPr>
        <w:tc>
          <w:tcPr>
            <w:tcW w:w="3648" w:type="dxa"/>
            <w:tcBorders>
              <w:top w:val="single" w:sz="4" w:space="0" w:color="auto"/>
              <w:left w:val="single" w:sz="4" w:space="0" w:color="auto"/>
              <w:bottom w:val="single" w:sz="4" w:space="0" w:color="auto"/>
              <w:right w:val="single" w:sz="4" w:space="0" w:color="auto"/>
            </w:tcBorders>
          </w:tcPr>
          <w:p w14:paraId="5E124754" w14:textId="77777777" w:rsidR="00F77F0C" w:rsidRPr="00BF7EF0" w:rsidRDefault="00F77F0C" w:rsidP="002D6FB2">
            <w:pPr>
              <w:spacing w:after="0" w:line="240" w:lineRule="auto"/>
              <w:jc w:val="both"/>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lastRenderedPageBreak/>
              <w:t>3. Додаткові послуги:</w:t>
            </w:r>
          </w:p>
          <w:p w14:paraId="7E475414"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-установка (розгортання) програмного забезпечення на сервері містобудівного кадастру;</w:t>
            </w:r>
          </w:p>
          <w:p w14:paraId="1171790E"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-навчання роботі з програмним забезпеченням;</w:t>
            </w:r>
          </w:p>
          <w:p w14:paraId="493DD63E"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-консультативно-технічна підтримка (річна).</w:t>
            </w:r>
          </w:p>
        </w:tc>
        <w:tc>
          <w:tcPr>
            <w:tcW w:w="990" w:type="dxa"/>
            <w:tcBorders>
              <w:top w:val="single" w:sz="4" w:space="0" w:color="auto"/>
              <w:left w:val="single" w:sz="4" w:space="0" w:color="auto"/>
              <w:bottom w:val="single" w:sz="4" w:space="0" w:color="auto"/>
              <w:right w:val="single" w:sz="4" w:space="0" w:color="auto"/>
            </w:tcBorders>
          </w:tcPr>
          <w:p w14:paraId="6450DF4A"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00,00</w:t>
            </w:r>
          </w:p>
        </w:tc>
        <w:tc>
          <w:tcPr>
            <w:tcW w:w="993" w:type="dxa"/>
            <w:tcBorders>
              <w:top w:val="single" w:sz="4" w:space="0" w:color="auto"/>
              <w:left w:val="single" w:sz="4" w:space="0" w:color="auto"/>
              <w:bottom w:val="single" w:sz="4" w:space="0" w:color="auto"/>
              <w:right w:val="single" w:sz="4" w:space="0" w:color="auto"/>
            </w:tcBorders>
          </w:tcPr>
          <w:p w14:paraId="0D9300C3"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00,00</w:t>
            </w:r>
          </w:p>
        </w:tc>
        <w:tc>
          <w:tcPr>
            <w:tcW w:w="992" w:type="dxa"/>
            <w:tcBorders>
              <w:top w:val="single" w:sz="4" w:space="0" w:color="auto"/>
              <w:left w:val="single" w:sz="4" w:space="0" w:color="auto"/>
              <w:bottom w:val="single" w:sz="4" w:space="0" w:color="auto"/>
              <w:right w:val="single" w:sz="4" w:space="0" w:color="auto"/>
            </w:tcBorders>
          </w:tcPr>
          <w:p w14:paraId="5B90FB60"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00,00</w:t>
            </w:r>
          </w:p>
        </w:tc>
        <w:tc>
          <w:tcPr>
            <w:tcW w:w="992" w:type="dxa"/>
            <w:tcBorders>
              <w:top w:val="single" w:sz="4" w:space="0" w:color="auto"/>
              <w:left w:val="single" w:sz="4" w:space="0" w:color="auto"/>
              <w:bottom w:val="single" w:sz="4" w:space="0" w:color="auto"/>
              <w:right w:val="single" w:sz="4" w:space="0" w:color="auto"/>
            </w:tcBorders>
          </w:tcPr>
          <w:p w14:paraId="6408771A"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20,00</w:t>
            </w:r>
          </w:p>
          <w:p w14:paraId="33CE097F"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024F19F1"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2FA2ECFF"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186AC031"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525BE234"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2A01CCE5"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221E252A"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79848A0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20,00</w:t>
            </w:r>
          </w:p>
        </w:tc>
        <w:tc>
          <w:tcPr>
            <w:tcW w:w="1002" w:type="dxa"/>
            <w:gridSpan w:val="3"/>
            <w:tcBorders>
              <w:top w:val="single" w:sz="4" w:space="0" w:color="auto"/>
              <w:left w:val="single" w:sz="4" w:space="0" w:color="auto"/>
              <w:bottom w:val="single" w:sz="4" w:space="0" w:color="auto"/>
              <w:right w:val="single" w:sz="4" w:space="0" w:color="auto"/>
            </w:tcBorders>
          </w:tcPr>
          <w:p w14:paraId="6CB04393"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20,00</w:t>
            </w:r>
          </w:p>
          <w:p w14:paraId="411D432E"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1AA72164"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18B8BF77"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0295EC4F"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4C974F64"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63CD8E1D"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5FD1D6C2"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p>
          <w:p w14:paraId="1028C3B8" w14:textId="77777777" w:rsidR="00F77F0C" w:rsidRPr="00BF7EF0" w:rsidRDefault="00F77F0C" w:rsidP="00681F5D">
            <w:pPr>
              <w:spacing w:after="0" w:line="240" w:lineRule="auto"/>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20,00</w:t>
            </w:r>
          </w:p>
        </w:tc>
        <w:tc>
          <w:tcPr>
            <w:tcW w:w="1366" w:type="dxa"/>
            <w:tcBorders>
              <w:top w:val="single" w:sz="4" w:space="0" w:color="auto"/>
              <w:left w:val="single" w:sz="4" w:space="0" w:color="auto"/>
              <w:bottom w:val="single" w:sz="4" w:space="0" w:color="auto"/>
              <w:right w:val="single" w:sz="4" w:space="0" w:color="auto"/>
            </w:tcBorders>
          </w:tcPr>
          <w:p w14:paraId="06E92B43"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sz w:val="28"/>
                <w:szCs w:val="28"/>
                <w:lang w:eastAsia="ru-RU"/>
              </w:rPr>
              <w:t xml:space="preserve">  </w:t>
            </w:r>
            <w:r w:rsidRPr="00BF7EF0">
              <w:rPr>
                <w:rFonts w:ascii="Times New Roman" w:eastAsia="Times New Roman" w:hAnsi="Times New Roman" w:cs="Times New Roman"/>
                <w:b/>
                <w:sz w:val="28"/>
                <w:szCs w:val="28"/>
                <w:lang w:eastAsia="ru-RU"/>
              </w:rPr>
              <w:t>40,00</w:t>
            </w:r>
          </w:p>
          <w:p w14:paraId="3A2D4C68"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76D90BEB"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7FAB23EA"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638DB76D"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4EC2AE55"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1DA6D5A3"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245E9121"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p>
          <w:p w14:paraId="5AF25A55" w14:textId="77777777" w:rsidR="00F77F0C" w:rsidRPr="00BF7EF0" w:rsidRDefault="00F77F0C" w:rsidP="00681F5D">
            <w:pPr>
              <w:spacing w:after="0" w:line="240" w:lineRule="auto"/>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40,00</w:t>
            </w:r>
          </w:p>
        </w:tc>
      </w:tr>
      <w:tr w:rsidR="00F77F0C" w:rsidRPr="00BF7EF0" w14:paraId="509E34B2" w14:textId="77777777" w:rsidTr="00681F5D">
        <w:trPr>
          <w:gridAfter w:val="1"/>
          <w:wAfter w:w="11" w:type="dxa"/>
        </w:trPr>
        <w:tc>
          <w:tcPr>
            <w:tcW w:w="3648" w:type="dxa"/>
            <w:tcBorders>
              <w:top w:val="single" w:sz="4" w:space="0" w:color="auto"/>
              <w:left w:val="single" w:sz="4" w:space="0" w:color="auto"/>
              <w:bottom w:val="single" w:sz="4" w:space="0" w:color="auto"/>
              <w:right w:val="single" w:sz="4" w:space="0" w:color="auto"/>
            </w:tcBorders>
            <w:hideMark/>
          </w:tcPr>
          <w:p w14:paraId="39A395D4" w14:textId="77777777" w:rsidR="00F77F0C" w:rsidRPr="00BF7EF0" w:rsidRDefault="00F77F0C" w:rsidP="002D6FB2">
            <w:pPr>
              <w:spacing w:after="0" w:line="240" w:lineRule="auto"/>
              <w:jc w:val="both"/>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 xml:space="preserve">Всього </w:t>
            </w:r>
          </w:p>
          <w:p w14:paraId="53B7B537" w14:textId="77777777" w:rsidR="00F77F0C" w:rsidRPr="00BF7EF0" w:rsidRDefault="00F77F0C" w:rsidP="002D6FB2">
            <w:pPr>
              <w:spacing w:after="0" w:line="240" w:lineRule="auto"/>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b/>
                <w:sz w:val="28"/>
                <w:szCs w:val="28"/>
                <w:lang w:eastAsia="ru-RU"/>
              </w:rPr>
              <w:t>на 202</w:t>
            </w:r>
            <w:r>
              <w:rPr>
                <w:rFonts w:ascii="Times New Roman" w:eastAsia="Times New Roman" w:hAnsi="Times New Roman" w:cs="Times New Roman"/>
                <w:b/>
                <w:sz w:val="28"/>
                <w:szCs w:val="28"/>
                <w:lang w:eastAsia="ru-RU"/>
              </w:rPr>
              <w:t>4</w:t>
            </w:r>
            <w:r w:rsidRPr="00BF7EF0">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8</w:t>
            </w:r>
            <w:r w:rsidRPr="00BF7EF0">
              <w:rPr>
                <w:rFonts w:ascii="Times New Roman" w:eastAsia="Times New Roman" w:hAnsi="Times New Roman" w:cs="Times New Roman"/>
                <w:b/>
                <w:sz w:val="28"/>
                <w:szCs w:val="28"/>
                <w:lang w:eastAsia="ru-RU"/>
              </w:rPr>
              <w:t xml:space="preserve"> роки</w:t>
            </w:r>
          </w:p>
        </w:tc>
        <w:tc>
          <w:tcPr>
            <w:tcW w:w="990" w:type="dxa"/>
            <w:tcBorders>
              <w:top w:val="single" w:sz="4" w:space="0" w:color="auto"/>
              <w:left w:val="single" w:sz="4" w:space="0" w:color="auto"/>
              <w:bottom w:val="single" w:sz="4" w:space="0" w:color="auto"/>
              <w:right w:val="single" w:sz="4" w:space="0" w:color="auto"/>
            </w:tcBorders>
            <w:hideMark/>
          </w:tcPr>
          <w:p w14:paraId="49AFD898"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330,00</w:t>
            </w:r>
          </w:p>
        </w:tc>
        <w:tc>
          <w:tcPr>
            <w:tcW w:w="993" w:type="dxa"/>
            <w:tcBorders>
              <w:top w:val="single" w:sz="4" w:space="0" w:color="auto"/>
              <w:left w:val="single" w:sz="4" w:space="0" w:color="auto"/>
              <w:bottom w:val="single" w:sz="4" w:space="0" w:color="auto"/>
              <w:right w:val="single" w:sz="4" w:space="0" w:color="auto"/>
            </w:tcBorders>
            <w:hideMark/>
          </w:tcPr>
          <w:p w14:paraId="7A152258"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396,00</w:t>
            </w:r>
          </w:p>
        </w:tc>
        <w:tc>
          <w:tcPr>
            <w:tcW w:w="992" w:type="dxa"/>
            <w:tcBorders>
              <w:top w:val="single" w:sz="4" w:space="0" w:color="auto"/>
              <w:left w:val="single" w:sz="4" w:space="0" w:color="auto"/>
              <w:bottom w:val="single" w:sz="4" w:space="0" w:color="auto"/>
              <w:right w:val="single" w:sz="4" w:space="0" w:color="auto"/>
            </w:tcBorders>
            <w:hideMark/>
          </w:tcPr>
          <w:p w14:paraId="17D39616"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475,20</w:t>
            </w:r>
          </w:p>
        </w:tc>
        <w:tc>
          <w:tcPr>
            <w:tcW w:w="998" w:type="dxa"/>
            <w:gridSpan w:val="2"/>
            <w:tcBorders>
              <w:top w:val="single" w:sz="4" w:space="0" w:color="auto"/>
              <w:left w:val="single" w:sz="4" w:space="0" w:color="auto"/>
              <w:bottom w:val="single" w:sz="4" w:space="0" w:color="auto"/>
              <w:right w:val="single" w:sz="4" w:space="0" w:color="auto"/>
            </w:tcBorders>
            <w:hideMark/>
          </w:tcPr>
          <w:p w14:paraId="2B31973F"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570,00</w:t>
            </w:r>
          </w:p>
        </w:tc>
        <w:tc>
          <w:tcPr>
            <w:tcW w:w="992" w:type="dxa"/>
            <w:gridSpan w:val="2"/>
            <w:tcBorders>
              <w:top w:val="single" w:sz="4" w:space="0" w:color="auto"/>
              <w:left w:val="single" w:sz="4" w:space="0" w:color="auto"/>
              <w:bottom w:val="single" w:sz="4" w:space="0" w:color="auto"/>
              <w:right w:val="single" w:sz="4" w:space="0" w:color="auto"/>
            </w:tcBorders>
          </w:tcPr>
          <w:p w14:paraId="288409C7" w14:textId="77777777" w:rsidR="00F77F0C" w:rsidRPr="00BF7EF0" w:rsidRDefault="00F77F0C" w:rsidP="00681F5D">
            <w:pPr>
              <w:spacing w:after="0" w:line="240" w:lineRule="auto"/>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570,00</w:t>
            </w:r>
          </w:p>
        </w:tc>
        <w:tc>
          <w:tcPr>
            <w:tcW w:w="1370" w:type="dxa"/>
            <w:tcBorders>
              <w:top w:val="single" w:sz="4" w:space="0" w:color="auto"/>
              <w:left w:val="single" w:sz="4" w:space="0" w:color="auto"/>
              <w:bottom w:val="single" w:sz="4" w:space="0" w:color="auto"/>
              <w:right w:val="single" w:sz="4" w:space="0" w:color="auto"/>
            </w:tcBorders>
          </w:tcPr>
          <w:p w14:paraId="6C77F27A" w14:textId="77777777" w:rsidR="00F77F0C" w:rsidRPr="00BF7EF0" w:rsidRDefault="00F77F0C" w:rsidP="00681F5D">
            <w:pPr>
              <w:spacing w:after="0" w:line="240" w:lineRule="auto"/>
              <w:jc w:val="center"/>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eastAsia="ru-RU"/>
              </w:rPr>
              <w:t>2341,20</w:t>
            </w:r>
          </w:p>
        </w:tc>
      </w:tr>
    </w:tbl>
    <w:p w14:paraId="60586C99" w14:textId="77777777" w:rsidR="00F77F0C" w:rsidRPr="00BF7EF0" w:rsidRDefault="00F77F0C" w:rsidP="00F77F0C">
      <w:pPr>
        <w:tabs>
          <w:tab w:val="left" w:pos="3390"/>
        </w:tabs>
        <w:spacing w:after="120" w:line="240" w:lineRule="auto"/>
        <w:outlineLvl w:val="0"/>
        <w:rPr>
          <w:rFonts w:ascii="Times New Roman" w:eastAsia="Times New Roman" w:hAnsi="Times New Roman" w:cs="Times New Roman"/>
          <w:b/>
          <w:sz w:val="28"/>
          <w:szCs w:val="28"/>
          <w:lang w:eastAsia="ru-RU"/>
        </w:rPr>
      </w:pPr>
    </w:p>
    <w:p w14:paraId="3B4B24EA" w14:textId="77777777" w:rsidR="00F77F0C" w:rsidRPr="00BF7EF0" w:rsidRDefault="00F77F0C" w:rsidP="00F77F0C">
      <w:pPr>
        <w:tabs>
          <w:tab w:val="left" w:pos="3390"/>
        </w:tabs>
        <w:spacing w:after="120" w:line="240" w:lineRule="auto"/>
        <w:jc w:val="center"/>
        <w:outlineLvl w:val="0"/>
        <w:rPr>
          <w:rFonts w:ascii="Times New Roman" w:eastAsia="Times New Roman" w:hAnsi="Times New Roman" w:cs="Times New Roman"/>
          <w:b/>
          <w:sz w:val="28"/>
          <w:szCs w:val="28"/>
          <w:lang w:eastAsia="ru-RU"/>
        </w:rPr>
      </w:pPr>
      <w:r w:rsidRPr="00BF7EF0">
        <w:rPr>
          <w:rFonts w:ascii="Times New Roman" w:eastAsia="Times New Roman" w:hAnsi="Times New Roman" w:cs="Times New Roman"/>
          <w:b/>
          <w:sz w:val="28"/>
          <w:szCs w:val="28"/>
          <w:lang w:val="en-US" w:eastAsia="ru-RU"/>
        </w:rPr>
        <w:t>VII</w:t>
      </w:r>
      <w:r w:rsidRPr="00BF7EF0">
        <w:rPr>
          <w:rFonts w:ascii="Times New Roman" w:eastAsia="Times New Roman" w:hAnsi="Times New Roman" w:cs="Times New Roman"/>
          <w:b/>
          <w:sz w:val="28"/>
          <w:szCs w:val="28"/>
          <w:lang w:eastAsia="ru-RU"/>
        </w:rPr>
        <w:t>. Очікувані результати</w:t>
      </w:r>
    </w:p>
    <w:p w14:paraId="4CD3FE19" w14:textId="77777777" w:rsidR="00F77F0C" w:rsidRPr="00BF7EF0" w:rsidRDefault="00F77F0C" w:rsidP="00F77F0C">
      <w:pPr>
        <w:tabs>
          <w:tab w:val="left" w:pos="3390"/>
        </w:tabs>
        <w:spacing w:after="0" w:line="240" w:lineRule="auto"/>
        <w:ind w:left="-142" w:firstLine="142"/>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Програмою визначені заходи, які сприятимуть створенню та функціонуванню містобудівного кадастру в територіальній громаді на базі сучасних геоінформаційних технологій, які нададуть можливість звести різноманітні дані і моделі в єдину несуперечливу модель, що надалі буде ефективно застосована в різних технологіях аналізу і управління. </w:t>
      </w:r>
    </w:p>
    <w:p w14:paraId="7BC7DDCB" w14:textId="77777777" w:rsidR="00F77F0C" w:rsidRPr="00BF7EF0" w:rsidRDefault="00F77F0C" w:rsidP="00F77F0C">
      <w:pPr>
        <w:spacing w:after="0" w:line="240" w:lineRule="auto"/>
        <w:ind w:left="-180"/>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Реалізація Програми дасть можливість забезпечити органи   виконавчої влади, проектні установи, зацікавлені організації та особи актуальною  і об’єктивною інформацією про дійсний стан і статус об’єктів    землекористування та нерухомості, зміни їх характеристик, функціонального     використання, результатів економічної оцінки, метричні дані тощо.</w:t>
      </w:r>
    </w:p>
    <w:p w14:paraId="3D94B759" w14:textId="77777777" w:rsidR="00F77F0C" w:rsidRPr="00BF7EF0" w:rsidRDefault="00F77F0C" w:rsidP="00F77F0C">
      <w:pPr>
        <w:spacing w:after="0" w:line="240" w:lineRule="auto"/>
        <w:ind w:left="-180"/>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ab/>
        <w:t xml:space="preserve">     Термін виконання Програми – 2024-2028 роки. </w:t>
      </w:r>
    </w:p>
    <w:p w14:paraId="0D4A9BE4" w14:textId="77777777" w:rsidR="00F77F0C" w:rsidRPr="00BF7EF0" w:rsidRDefault="00F77F0C" w:rsidP="00F77F0C">
      <w:pPr>
        <w:spacing w:after="0" w:line="240" w:lineRule="auto"/>
        <w:ind w:left="-180"/>
        <w:jc w:val="both"/>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Відповідальний виконавець – Управління містобудування та архітектури виконавчого комітету Броварської міської ради Броварського району Київської області.</w:t>
      </w:r>
    </w:p>
    <w:p w14:paraId="024B230B" w14:textId="77777777" w:rsidR="00F77F0C" w:rsidRPr="00BF7EF0" w:rsidRDefault="00F77F0C" w:rsidP="00F77F0C">
      <w:pPr>
        <w:spacing w:after="0" w:line="100" w:lineRule="atLeast"/>
        <w:ind w:firstLine="708"/>
        <w:jc w:val="both"/>
        <w:rPr>
          <w:rFonts w:ascii="Times New Roman" w:eastAsia="Times New Roman" w:hAnsi="Times New Roman" w:cs="Times New Roman"/>
          <w:sz w:val="28"/>
          <w:szCs w:val="28"/>
          <w:lang w:eastAsia="ru-RU"/>
        </w:rPr>
      </w:pPr>
    </w:p>
    <w:p w14:paraId="178C0CBA" w14:textId="77777777" w:rsidR="00F77F0C" w:rsidRPr="00BF7EF0" w:rsidRDefault="00F77F0C" w:rsidP="00F77F0C">
      <w:pPr>
        <w:spacing w:after="0" w:line="100" w:lineRule="atLeast"/>
        <w:ind w:firstLine="540"/>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 xml:space="preserve">                                                </w:t>
      </w:r>
    </w:p>
    <w:p w14:paraId="72D10A18" w14:textId="77777777" w:rsidR="00F77F0C" w:rsidRPr="00BF7EF0" w:rsidRDefault="00F77F0C" w:rsidP="00F77F0C">
      <w:pPr>
        <w:spacing w:after="0" w:line="100" w:lineRule="atLeast"/>
        <w:jc w:val="center"/>
        <w:rPr>
          <w:rFonts w:ascii="Times New Roman" w:eastAsia="Times New Roman" w:hAnsi="Times New Roman" w:cs="Times New Roman"/>
          <w:sz w:val="28"/>
          <w:szCs w:val="28"/>
          <w:lang w:eastAsia="ru-RU"/>
        </w:rPr>
      </w:pPr>
      <w:r w:rsidRPr="00BF7EF0">
        <w:rPr>
          <w:rFonts w:ascii="Times New Roman" w:eastAsia="Times New Roman" w:hAnsi="Times New Roman" w:cs="Times New Roman"/>
          <w:sz w:val="28"/>
          <w:szCs w:val="28"/>
          <w:lang w:eastAsia="ru-RU"/>
        </w:rPr>
        <w:t>Міський голова                                                       Ігор САПОЖКО</w:t>
      </w:r>
    </w:p>
    <w:permEnd w:id="1"/>
    <w:p w14:paraId="5FF0D8BD" w14:textId="3EEE3AAA" w:rsidR="004F7CAD" w:rsidRPr="00EE06C3" w:rsidRDefault="004F7CAD" w:rsidP="004F7CAD">
      <w:pPr>
        <w:spacing w:after="0"/>
        <w:ind w:left="142"/>
        <w:jc w:val="both"/>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A96B" w14:textId="77777777" w:rsidR="00943F26" w:rsidRDefault="00943F26">
      <w:pPr>
        <w:spacing w:after="0" w:line="240" w:lineRule="auto"/>
      </w:pPr>
      <w:r>
        <w:separator/>
      </w:r>
    </w:p>
  </w:endnote>
  <w:endnote w:type="continuationSeparator" w:id="0">
    <w:p w14:paraId="514A72E2" w14:textId="77777777" w:rsidR="00943F26" w:rsidRDefault="0094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84B7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940F" w14:textId="77777777" w:rsidR="00943F26" w:rsidRDefault="00943F26">
      <w:pPr>
        <w:spacing w:after="0" w:line="240" w:lineRule="auto"/>
      </w:pPr>
      <w:r>
        <w:separator/>
      </w:r>
    </w:p>
  </w:footnote>
  <w:footnote w:type="continuationSeparator" w:id="0">
    <w:p w14:paraId="07404019" w14:textId="77777777" w:rsidR="00943F26" w:rsidRDefault="00943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084B7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84B7E"/>
    <w:rsid w:val="000E0637"/>
    <w:rsid w:val="000E7ADA"/>
    <w:rsid w:val="000F3141"/>
    <w:rsid w:val="0019083E"/>
    <w:rsid w:val="001D73DB"/>
    <w:rsid w:val="002D6FB2"/>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582E"/>
    <w:rsid w:val="0081066D"/>
    <w:rsid w:val="00853C00"/>
    <w:rsid w:val="00893E2E"/>
    <w:rsid w:val="008B6EF2"/>
    <w:rsid w:val="009378D7"/>
    <w:rsid w:val="00943F26"/>
    <w:rsid w:val="009E1F3A"/>
    <w:rsid w:val="00A67CE5"/>
    <w:rsid w:val="00A84A56"/>
    <w:rsid w:val="00B20C04"/>
    <w:rsid w:val="00B3670E"/>
    <w:rsid w:val="00BF532A"/>
    <w:rsid w:val="00C72BF6"/>
    <w:rsid w:val="00CB633A"/>
    <w:rsid w:val="00EE06C3"/>
    <w:rsid w:val="00F1156F"/>
    <w:rsid w:val="00F13CCA"/>
    <w:rsid w:val="00F33B16"/>
    <w:rsid w:val="00F77F0C"/>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52368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D1168"/>
    <w:rsid w:val="00523680"/>
    <w:rsid w:val="00767368"/>
    <w:rsid w:val="00934C4A"/>
    <w:rsid w:val="00A51DB1"/>
    <w:rsid w:val="00A54900"/>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15025</Words>
  <Characters>8565</Characters>
  <Application>Microsoft Office Word</Application>
  <DocSecurity>8</DocSecurity>
  <Lines>71</Lines>
  <Paragraphs>47</Paragraphs>
  <ScaleCrop>false</ScaleCrop>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4</cp:revision>
  <dcterms:created xsi:type="dcterms:W3CDTF">2023-12-21T13:14:00Z</dcterms:created>
  <dcterms:modified xsi:type="dcterms:W3CDTF">2023-12-21T14:30:00Z</dcterms:modified>
</cp:coreProperties>
</file>