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 xml:space="preserve">Пояснювальна записка </w:t>
      </w: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>
      <w:pPr>
        <w:widowControl w:val="1"/>
        <w:spacing w:lineRule="atLeast" w:line="20" w:beforeAutospacing="0" w:afterAutospacing="0"/>
        <w:ind w:left="0" w:right="0"/>
        <w:bidi w:val="0"/>
        <w:jc w:val="center"/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до проекту рішення </w:t>
      </w:r>
      <w:r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 внесення змін до Програми</w:t>
      </w:r>
    </w:p>
    <w:p>
      <w:pPr>
        <w:widowControl w:val="1"/>
        <w:spacing w:lineRule="atLeast" w:line="20" w:beforeAutospacing="0" w:afterAutospacing="0"/>
        <w:ind w:left="0" w:right="0"/>
        <w:bidi w:val="0"/>
        <w:jc w:val="center"/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«Безпечна громада на 2020-2023 роки»</w:t>
      </w:r>
    </w:p>
    <w:p>
      <w:pPr>
        <w:widowControl w:val="1"/>
        <w:spacing w:lineRule="atLeast" w:line="20" w:beforeAutospacing="0" w:afterAutospacing="0"/>
        <w:ind w:left="0" w:right="0"/>
        <w:bidi w:val="0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>
      <w:pPr>
        <w:widowControl w:val="1"/>
        <w:suppressAutoHyphens w:val="1"/>
        <w:ind w:firstLine="0" w:left="-276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>
      <w:pPr>
        <w:keepNext w:val="1"/>
        <w:widowControl w:val="1"/>
        <w:suppressAutoHyphens w:val="1"/>
        <w:ind w:firstLine="0" w:left="-276" w:right="0"/>
        <w:bidi w:val="0"/>
        <w:jc w:val="both"/>
        <w:outlineLvl w:val="1"/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          1. Обґрунтування необхідності прийняття рішення</w:t>
      </w:r>
    </w:p>
    <w:p>
      <w:pPr>
        <w:widowControl w:val="1"/>
        <w:tabs>
          <w:tab w:val="left" w:pos="851" w:leader="none"/>
        </w:tabs>
        <w:spacing w:lineRule="auto" w:line="240" w:after="28" w:beforeAutospacing="0" w:afterAutospacing="0"/>
        <w:ind w:firstLine="0" w:left="-278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   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У зв’язку з необхідністю продовження терміну дії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на 2024 рік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Програми «Безпечна громада на 2020-2023 роки» (зі змінами) (далі – Програма) та для фінансування робіт з встановлення камер відеоспостереження необхідно внести відповідні зміни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.  </w:t>
      </w:r>
    </w:p>
    <w:p>
      <w:pPr>
        <w:widowControl w:val="1"/>
        <w:tabs>
          <w:tab w:val="left" w:pos="851" w:leader="none"/>
        </w:tabs>
        <w:spacing w:lineRule="auto" w:line="240" w:after="28" w:beforeAutospacing="0" w:afterAutospacing="0"/>
        <w:ind w:firstLine="0" w:left="-278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   У паспорті Програми пункт 8 «Обсяг фінансових ресурсів, необхідних для реалізації Програми» зазнач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ити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суму – 12156,00 тис. грн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, а саме</w:t>
      </w: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:</w:t>
      </w:r>
    </w:p>
    <w:p>
      <w:pPr>
        <w:widowControl w:val="1"/>
        <w:tabs>
          <w:tab w:val="left" w:pos="851" w:leader="none"/>
        </w:tabs>
        <w:spacing w:lineRule="auto" w:line="240" w:after="28" w:beforeAutospacing="0" w:afterAutospacing="0"/>
        <w:ind w:firstLine="0" w:left="-278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</w:p>
    <w:p>
      <w:pPr>
        <w:widowControl w:val="1"/>
        <w:tabs>
          <w:tab w:val="left" w:pos="851" w:leader="none"/>
        </w:tabs>
        <w:ind w:firstLine="0" w:left="-276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2020 – 1493,00 тис. грн.</w:t>
      </w:r>
    </w:p>
    <w:p>
      <w:pPr>
        <w:widowControl w:val="1"/>
        <w:tabs>
          <w:tab w:val="left" w:pos="851" w:leader="none"/>
        </w:tabs>
        <w:ind w:firstLine="0" w:left="-276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2021 – 0</w:t>
      </w:r>
    </w:p>
    <w:p>
      <w:pPr>
        <w:widowControl w:val="1"/>
        <w:tabs>
          <w:tab w:val="left" w:pos="851" w:leader="none"/>
        </w:tabs>
        <w:ind w:firstLine="0" w:left="-276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2022 – 0 </w:t>
      </w:r>
    </w:p>
    <w:p>
      <w:pPr>
        <w:widowControl w:val="1"/>
        <w:tabs>
          <w:tab w:val="left" w:pos="851" w:leader="none"/>
        </w:tabs>
        <w:ind w:firstLine="0" w:left="-276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2023-   5663,0 тис. грн.</w:t>
      </w:r>
    </w:p>
    <w:p>
      <w:pPr>
        <w:widowControl w:val="1"/>
        <w:tabs>
          <w:tab w:val="left" w:pos="851" w:leader="none"/>
        </w:tabs>
        <w:ind w:firstLine="0" w:left="-276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2024 – 5000,0 тис. грн.</w:t>
      </w:r>
    </w:p>
    <w:p>
      <w:pPr>
        <w:widowControl w:val="1"/>
        <w:tabs>
          <w:tab w:val="left" w:pos="1134" w:leader="none"/>
          <w:tab w:val="left" w:pos="1276" w:leader="none"/>
        </w:tabs>
        <w:suppressAutoHyphens w:val="1"/>
        <w:ind w:firstLine="0" w:left="-276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2.Мета і шляхи її досягнення</w:t>
      </w:r>
    </w:p>
    <w:p>
      <w:pPr>
        <w:widowControl w:val="1"/>
        <w:tabs>
          <w:tab w:val="left" w:pos="1134" w:leader="none"/>
          <w:tab w:val="left" w:pos="1276" w:leader="none"/>
        </w:tabs>
        <w:suppressAutoHyphens w:val="1"/>
        <w:ind w:firstLine="0" w:left="-276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Здійснення заходів, спрямованих на посилення безпеки громадян та захисту важливих об’єктів Броварської міської територіальної громади. Передбачити встановлення камер відеонагляду на території сіл Княжичі та Требухів Броварської міської територіальної громади.</w:t>
      </w:r>
    </w:p>
    <w:p>
      <w:pPr>
        <w:widowControl w:val="1"/>
        <w:tabs>
          <w:tab w:val="left" w:pos="1134" w:leader="none"/>
          <w:tab w:val="left" w:pos="1276" w:leader="none"/>
        </w:tabs>
        <w:suppressAutoHyphens w:val="1"/>
        <w:ind w:firstLine="0" w:left="-276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3. Правові аспекти </w:t>
      </w:r>
    </w:p>
    <w:p>
      <w:pPr>
        <w:widowControl w:val="1"/>
        <w:tabs>
          <w:tab w:val="left" w:pos="851" w:leader="none"/>
        </w:tabs>
        <w:ind w:firstLine="0" w:left="-276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/>
        </w:rPr>
        <w:t>Пункт 22 частини 1 статті 26 Закону України «Про місцеве самоврядування в Україні»</w:t>
      </w:r>
    </w:p>
    <w:p>
      <w:pPr>
        <w:widowControl w:val="1"/>
        <w:suppressAutoHyphens w:val="1"/>
        <w:ind w:firstLine="0" w:left="-276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4. Фінансово-економічне обґрунтування</w:t>
      </w:r>
    </w:p>
    <w:p>
      <w:pPr>
        <w:widowControl w:val="1"/>
        <w:suppressAutoHyphens w:val="1"/>
        <w:ind w:firstLine="0" w:left="-276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 xml:space="preserve">     Зазначеним проектом рішення передбачено встановити на 2024 рік фінансування заходів Програми «Безпечна громада на 2020-2024 роки», а саме: в додатку до Програми «Безпечна громада на 2020- 2024 роки» встановити загальний обсяг фінансування заходів, необхідних для реалізації Програми на 2024 рік – 5000,00 тис. грн.</w:t>
      </w:r>
    </w:p>
    <w:p>
      <w:pPr>
        <w:widowControl w:val="1"/>
        <w:suppressAutoHyphens w:val="1"/>
        <w:ind w:firstLine="0" w:left="-276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/>
        </w:rPr>
      </w:pPr>
    </w:p>
    <w:p>
      <w:pPr>
        <w:widowControl w:val="1"/>
        <w:suppressAutoHyphens w:val="1"/>
        <w:ind w:firstLine="0" w:left="-276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/>
        </w:rPr>
        <w:t xml:space="preserve"> 5. Прогноз результатів</w:t>
      </w:r>
    </w:p>
    <w:p>
      <w:pPr>
        <w:widowControl w:val="1"/>
        <w:suppressAutoHyphens w:val="1"/>
        <w:ind w:firstLine="0" w:left="-276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Своєчасне фінансування Програми в повному обсязі. Здійснення заходів, спрямованих на посилення безпеки громадян та захисту важливих об’єктів Броварської міської територіальної громади.</w:t>
      </w:r>
    </w:p>
    <w:p>
      <w:pPr>
        <w:widowControl w:val="1"/>
        <w:suppressAutoHyphens w:val="1"/>
        <w:ind w:firstLine="0" w:left="-276" w:right="0"/>
        <w:bidi w:val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>
      <w:pPr>
        <w:widowControl w:val="1"/>
        <w:ind w:firstLine="0" w:left="-276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/>
        </w:rPr>
        <w:t xml:space="preserve">6. Суб’єкт подання проекту рішення </w:t>
      </w:r>
    </w:p>
    <w:p>
      <w:pPr>
        <w:widowControl w:val="1"/>
        <w:ind w:firstLine="0" w:left="-276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>
      <w:pPr>
        <w:widowControl w:val="1"/>
        <w:ind w:firstLine="0" w:left="-276" w:right="0"/>
        <w:bidi w:val="0"/>
        <w:jc w:val="both"/>
        <w:rPr>
          <w:rFonts w:ascii="Times New Roman" w:hAnsi="Times New Roman"/>
          <w:b w:val="0"/>
          <w:i w:val="1"/>
          <w:bCs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1"/>
          <w:bCs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Доповідач проекту рішення:</w:t>
      </w:r>
    </w:p>
    <w:p>
      <w:pPr>
        <w:widowControl w:val="1"/>
        <w:ind w:firstLine="0" w:left="-276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-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>
      <w:pPr>
        <w:widowControl w:val="1"/>
        <w:ind w:firstLine="0" w:left="-276" w:right="0"/>
        <w:bidi w:val="0"/>
        <w:jc w:val="both"/>
        <w:rPr>
          <w:rFonts w:ascii="Times New Roman" w:hAnsi="Times New Roman"/>
          <w:b w:val="0"/>
          <w:i w:val="1"/>
          <w:bCs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1"/>
          <w:bCs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Відповідальна особа за підготовку проекту рішення:</w:t>
      </w:r>
    </w:p>
    <w:p>
      <w:pPr>
        <w:widowControl w:val="1"/>
        <w:ind w:firstLine="0" w:left="-276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- Ліпська Яна Олександрівна – начальник  відділу експлуатації комунальних об’єктів, інфраструктури та транспорту 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>
      <w:pPr>
        <w:widowControl w:val="1"/>
        <w:ind w:firstLine="567" w:left="0" w:right="0"/>
        <w:bidi w:val="0"/>
        <w:jc w:val="both"/>
        <w:rPr>
          <w:rFonts w:ascii="Times New Roman" w:hAnsi="Times New Roman"/>
          <w:b w:val="0"/>
          <w:i w:val="1"/>
          <w:bCs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</w:p>
    <w:p>
      <w:pPr>
        <w:widowControl w:val="1"/>
        <w:spacing w:lineRule="auto" w:line="240" w:after="28" w:beforeAutospacing="0" w:afterAutospacing="0"/>
        <w:ind w:firstLine="0" w:left="-134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Начальник управління </w:t>
      </w:r>
    </w:p>
    <w:p>
      <w:pPr>
        <w:widowControl w:val="1"/>
        <w:tabs>
          <w:tab w:val="left" w:pos="7797" w:leader="none"/>
        </w:tabs>
        <w:spacing w:lineRule="auto" w:line="240" w:after="28" w:beforeAutospacing="0" w:afterAutospacing="0"/>
        <w:ind w:firstLine="0" w:left="-134" w:right="0"/>
        <w:bidi w:val="0"/>
        <w:jc w:val="left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будівництва, житлово-комунального </w:t>
      </w:r>
    </w:p>
    <w:p>
      <w:pPr>
        <w:widowControl w:val="1"/>
        <w:tabs>
          <w:tab w:val="left" w:pos="7797" w:leader="none"/>
        </w:tabs>
        <w:spacing w:lineRule="auto" w:line="240" w:after="28" w:beforeAutospacing="0" w:afterAutospacing="0"/>
        <w:ind w:firstLine="0" w:left="-134" w:right="0"/>
        <w:bidi w:val="0"/>
        <w:jc w:val="left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господарства, інфраструктури та транспорту </w:t>
      </w:r>
    </w:p>
    <w:p>
      <w:pPr>
        <w:widowControl w:val="1"/>
        <w:tabs>
          <w:tab w:val="left" w:pos="7797" w:leader="none"/>
        </w:tabs>
        <w:spacing w:lineRule="auto" w:line="240" w:after="28" w:beforeAutospacing="0" w:afterAutospacing="0"/>
        <w:ind w:firstLine="0" w:left="-134" w:right="0"/>
        <w:bidi w:val="0"/>
        <w:jc w:val="left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Броварської міської ради Броварського </w:t>
      </w:r>
    </w:p>
    <w:p>
      <w:pPr>
        <w:widowControl w:val="1"/>
        <w:tabs>
          <w:tab w:val="left" w:pos="7797" w:leader="none"/>
        </w:tabs>
        <w:spacing w:lineRule="auto" w:line="240" w:after="28" w:beforeAutospacing="0" w:afterAutospacing="0"/>
        <w:ind w:firstLine="0" w:left="-134" w:right="0"/>
        <w:bidi w:val="0"/>
        <w:jc w:val="left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району Київської області                                                     Світлана РЕШЕТОВА</w:t>
      </w:r>
    </w:p>
    <w:sectPr>
      <w:type w:val="nextPage"/>
      <w:pgSz w:w="11906" w:h="16838" w:code="0"/>
      <w:pgMar w:left="1701" w:right="850" w:top="568" w:bottom="426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suff w:val="nothing"/>
      <w:lvlText w:val="%1."/>
      <w:lvlJc w:val="left"/>
      <w:pPr>
        <w:ind w:hanging="432" w:left="432"/>
        <w:tabs>
          <w:tab w:val="num" w:pos="432" w:leader="none"/>
        </w:tabs>
      </w:pPr>
      <w:rPr/>
    </w:lvl>
    <w:lvl w:ilvl="1">
      <w:start w:val="1"/>
      <w:numFmt w:val="none"/>
      <w:suff w:val="nothing"/>
      <w:lvlText w:val="%1."/>
      <w:lvlJc w:val="left"/>
      <w:pPr>
        <w:ind w:hanging="576" w:left="576"/>
        <w:tabs>
          <w:tab w:val="num" w:pos="576" w:leader="none"/>
        </w:tabs>
      </w:pPr>
      <w:rPr/>
    </w:lvl>
    <w:lvl w:ilvl="2">
      <w:start w:val="1"/>
      <w:numFmt w:val="none"/>
      <w:suff w:val="nothing"/>
      <w:lvlText w:val="%1."/>
      <w:lvlJc w:val="left"/>
      <w:pPr>
        <w:ind w:hanging="720" w:left="720"/>
        <w:tabs>
          <w:tab w:val="num" w:pos="720" w:leader="none"/>
        </w:tabs>
      </w:pPr>
      <w:rPr/>
    </w:lvl>
    <w:lvl w:ilvl="3">
      <w:start w:val="1"/>
      <w:numFmt w:val="none"/>
      <w:suff w:val="nothing"/>
      <w:lvlText w:val="%1."/>
      <w:lvlJc w:val="left"/>
      <w:pPr>
        <w:ind w:hanging="864" w:left="864"/>
        <w:tabs>
          <w:tab w:val="num" w:pos="864" w:leader="none"/>
        </w:tabs>
      </w:pPr>
      <w:rPr/>
    </w:lvl>
    <w:lvl w:ilvl="4">
      <w:start w:val="1"/>
      <w:numFmt w:val="none"/>
      <w:suff w:val="nothing"/>
      <w:lvlText w:val="%1."/>
      <w:lvlJc w:val="left"/>
      <w:pPr>
        <w:ind w:hanging="1008" w:left="1008"/>
        <w:tabs>
          <w:tab w:val="num" w:pos="1008" w:leader="none"/>
        </w:tabs>
      </w:pPr>
      <w:rPr/>
    </w:lvl>
    <w:lvl w:ilvl="5">
      <w:start w:val="1"/>
      <w:numFmt w:val="none"/>
      <w:suff w:val="nothing"/>
      <w:lvlText w:val="%1."/>
      <w:lvlJc w:val="left"/>
      <w:pPr>
        <w:ind w:hanging="1152" w:left="1152"/>
        <w:tabs>
          <w:tab w:val="num" w:pos="1152" w:leader="none"/>
        </w:tabs>
      </w:pPr>
      <w:rPr/>
    </w:lvl>
    <w:lvl w:ilvl="6">
      <w:start w:val="1"/>
      <w:numFmt w:val="none"/>
      <w:suff w:val="nothing"/>
      <w:lvlText w:val="%1."/>
      <w:lvlJc w:val="left"/>
      <w:pPr>
        <w:ind w:hanging="1296" w:left="1296"/>
        <w:tabs>
          <w:tab w:val="num" w:pos="1296" w:leader="none"/>
        </w:tabs>
      </w:pPr>
      <w:rPr/>
    </w:lvl>
    <w:lvl w:ilvl="7">
      <w:start w:val="1"/>
      <w:numFmt w:val="none"/>
      <w:suff w:val="nothing"/>
      <w:lvlText w:val="%1."/>
      <w:lvlJc w:val="left"/>
      <w:pPr>
        <w:ind w:hanging="1440" w:left="1440"/>
        <w:tabs>
          <w:tab w:val="num" w:pos="1440" w:leader="none"/>
        </w:tabs>
      </w:pPr>
      <w:rPr/>
    </w:lvl>
    <w:lvl w:ilvl="8">
      <w:start w:val="1"/>
      <w:numFmt w:val="none"/>
      <w:suff w:val="nothing"/>
      <w:lvlText w:val="%1."/>
      <w:lvlJc w:val="left"/>
      <w:pPr>
        <w:ind w:hanging="1584" w:left="1584"/>
        <w:tabs>
          <w:tab w:val="num" w:pos="1584" w:leader="none"/>
        </w:tabs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val="uk-UA" w:eastAsia="uk-UA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  <w:bCs w:val="1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Пользователь Windows</dc:creator>
  <dcterms:created xsi:type="dcterms:W3CDTF">2021-03-03T14:03:00Z</dcterms:created>
  <cp:lastModifiedBy>ASKOD</cp:lastModifiedBy>
  <dcterms:modified xsi:type="dcterms:W3CDTF">2023-12-01T10:12:20Z</dcterms:modified>
  <cp:revision>22</cp:revision>
</cp:coreProperties>
</file>