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ПВ-46</w:t>
      </w:r>
    </w:p>
    <w:p>
      <w:pPr>
        <w:tabs>
          <w:tab w:val="left" w:pos="5610"/>
          <w:tab w:val="left" w:pos="6358"/>
        </w:tabs>
        <w:spacing w:beforeAutospacing="0" w:after="0" w:afterAutospacing="0"/>
        <w:ind w:left="5103"/>
        <w:jc w:val="center"/>
        <w:rPr>
          <w:rFonts w:ascii="Times New Roman" w:hAnsi="Times New Roman"/>
          <w:b/>
          <w:bCs/>
          <w:sz w:val="24"/>
          <w:szCs w:val="24"/>
        </w:rPr>
      </w:pPr>
    </w:p>
    <w:p>
      <w:pPr>
        <w:tabs>
          <w:tab w:val="left" w:pos="5610"/>
          <w:tab w:val="left" w:pos="6358"/>
        </w:tabs>
        <w:spacing w:beforeAutospacing="0" w:after="0" w:afterAutospacing="0"/>
        <w:ind w:left="5103"/>
        <w:jc w:val="center"/>
        <w:rPr>
          <w:rFonts w:ascii="Times New Roman" w:hAnsi="Times New Roman"/>
          <w:sz w:val="28"/>
        </w:rPr>
      </w:pPr>
      <w:permStart w:id="0" w:edGrp="everyone"/>
      <w:r>
        <w:rPr>
          <w:rFonts w:ascii="Times New Roman" w:hAnsi="Times New Roman"/>
          <w:sz w:val="28"/>
        </w:rPr>
        <w:t>Додаток</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rPr>
        <w:t>ЗАТВЕРДЖЕНО</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 xml:space="preserve">Рішення виконавчого комітету Броварської міської ради </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line="240" w:lineRule="auto"/>
        <w:jc w:val="center"/>
        <w:rPr>
          <w:rFonts w:ascii="Times New Roman" w:hAnsi="Times New Roman"/>
          <w:b/>
          <w:sz w:val="26"/>
          <w:szCs w:val="26"/>
        </w:rPr>
      </w:pPr>
      <w:r>
        <w:rPr>
          <w:rFonts w:ascii="Times New Roman" w:hAnsi="Times New Roman"/>
          <w:b/>
          <w:sz w:val="26"/>
          <w:szCs w:val="26"/>
        </w:rPr>
        <w:t>Положення</w:t>
      </w:r>
    </w:p>
    <w:p>
      <w:pPr>
        <w:spacing w:beforeAutospacing="0" w:after="0" w:afterAutospacing="0" w:line="240" w:lineRule="auto"/>
        <w:jc w:val="center"/>
        <w:rPr>
          <w:rFonts w:ascii="Times New Roman" w:hAnsi="Times New Roman"/>
          <w:b/>
          <w:sz w:val="26"/>
          <w:szCs w:val="26"/>
        </w:rPr>
      </w:pPr>
      <w:r>
        <w:rPr>
          <w:rFonts w:ascii="Times New Roman" w:hAnsi="Times New Roman"/>
          <w:b/>
          <w:sz w:val="26"/>
          <w:szCs w:val="26"/>
        </w:rPr>
        <w:t>про надання  допомоги на поховання деяких категорій осіб виконавцю волевиявлення померлого або особі, яка зобов’язалася поховати померлого</w:t>
      </w:r>
    </w:p>
    <w:p>
      <w:pPr>
        <w:spacing w:beforeAutospacing="0" w:after="0" w:afterAutospacing="0"/>
        <w:jc w:val="both"/>
        <w:rPr>
          <w:rFonts w:ascii="Times New Roman" w:hAnsi="Times New Roman"/>
          <w:b/>
          <w:sz w:val="28"/>
          <w:szCs w:val="28"/>
        </w:rPr>
      </w:pPr>
    </w:p>
    <w:p>
      <w:pPr>
        <w:pStyle w:val="ListParagraph"/>
        <w:numPr>
          <w:ilvl w:val="0"/>
          <w:numId w:val="1"/>
        </w:numPr>
        <w:spacing w:beforeAutospacing="0" w:after="0" w:afterAutospacing="0" w:line="240" w:lineRule="auto"/>
        <w:jc w:val="center"/>
        <w:rPr>
          <w:rFonts w:ascii="Times New Roman" w:hAnsi="Times New Roman"/>
          <w:sz w:val="26"/>
          <w:szCs w:val="26"/>
        </w:rPr>
      </w:pPr>
      <w:r>
        <w:rPr>
          <w:rFonts w:ascii="Times New Roman" w:hAnsi="Times New Roman"/>
          <w:sz w:val="26"/>
          <w:szCs w:val="26"/>
        </w:rPr>
        <w:t>Загальні положення</w:t>
      </w:r>
    </w:p>
    <w:p>
      <w:pPr>
        <w:spacing w:beforeAutospacing="0" w:after="0" w:afterAutospacing="0" w:line="240" w:lineRule="auto"/>
        <w:rPr>
          <w:rFonts w:ascii="Times New Roman" w:hAnsi="Times New Roman"/>
          <w:sz w:val="26"/>
          <w:szCs w:val="26"/>
        </w:rPr>
      </w:pPr>
    </w:p>
    <w:p>
      <w:pPr>
        <w:spacing w:beforeAutospacing="0" w:after="0" w:afterAutospacing="0" w:line="240" w:lineRule="auto"/>
        <w:ind w:firstLine="567"/>
        <w:jc w:val="both"/>
        <w:rPr>
          <w:rFonts w:ascii="Times New Roman" w:hAnsi="Times New Roman"/>
          <w:sz w:val="26"/>
          <w:szCs w:val="26"/>
        </w:rPr>
      </w:pPr>
      <w:r>
        <w:rPr>
          <w:rFonts w:ascii="Times New Roman" w:hAnsi="Times New Roman"/>
          <w:sz w:val="26"/>
          <w:szCs w:val="26"/>
        </w:rPr>
        <w:t>1.1. Положення визначає умови та порядок надання допомоги на поховання деяких категорій осіб виконавцю волевиявлення померлого або особі, яка зобов’язалася поховати померлого.</w:t>
      </w:r>
    </w:p>
    <w:p>
      <w:pPr>
        <w:spacing w:beforeAutospacing="0" w:after="0" w:afterAutospacing="0" w:line="240" w:lineRule="auto"/>
        <w:ind w:firstLine="567"/>
        <w:jc w:val="both"/>
        <w:rPr>
          <w:rFonts w:ascii="Times New Roman" w:hAnsi="Times New Roman"/>
          <w:sz w:val="26"/>
          <w:szCs w:val="26"/>
        </w:rPr>
      </w:pPr>
    </w:p>
    <w:p>
      <w:pPr>
        <w:spacing w:beforeAutospacing="0" w:after="0" w:afterAutospacing="0" w:line="240" w:lineRule="auto"/>
        <w:ind w:firstLine="567"/>
        <w:jc w:val="both"/>
        <w:rPr>
          <w:rFonts w:ascii="Times New Roman" w:hAnsi="Times New Roman"/>
          <w:sz w:val="26"/>
          <w:szCs w:val="26"/>
        </w:rPr>
      </w:pPr>
      <w:r>
        <w:rPr>
          <w:rFonts w:ascii="Times New Roman" w:hAnsi="Times New Roman"/>
          <w:sz w:val="26"/>
          <w:szCs w:val="26"/>
        </w:rPr>
        <w:t>1.2.  Це Положення розроблено на виконання Закону України «Про поховання та похоронну справу», постанови Кабінету Міністрів України від 31.01.2007 р. № 99 «Про затвердження Порядку надання допомоги  на поховання деяких категорій осіб виконавцю волевиявлення померлого або особі, яка зобов'язалася поховати померлого»,</w:t>
      </w:r>
      <w:r>
        <w:rPr>
          <w:rFonts w:ascii="Times New Roman" w:hAnsi="Times New Roman"/>
          <w:sz w:val="28"/>
          <w:szCs w:val="28"/>
        </w:rPr>
        <w:t xml:space="preserve"> </w:t>
      </w:r>
      <w:r>
        <w:rPr>
          <w:rFonts w:ascii="Times New Roman" w:hAnsi="Times New Roman"/>
          <w:sz w:val="26"/>
          <w:szCs w:val="26"/>
        </w:rPr>
        <w:t xml:space="preserve">статті </w:t>
      </w:r>
      <w:r>
        <w:rPr>
          <w:rFonts w:ascii="Times New Roman" w:hAnsi="Times New Roman"/>
          <w:sz w:val="26"/>
          <w:szCs w:val="26"/>
          <w:lang w:val="ru-RU"/>
        </w:rPr>
        <w:t>91</w:t>
      </w:r>
      <w:r>
        <w:rPr>
          <w:rFonts w:ascii="Times New Roman" w:hAnsi="Times New Roman"/>
          <w:sz w:val="26"/>
          <w:szCs w:val="26"/>
        </w:rPr>
        <w:t xml:space="preserve"> Бюджетного кодексу України,  рішення Броварської міської ради від 21.12.2023 р. № 1439-61-08 «Про затвердження програми «З турботою про кожного» на 2024-2026 роки».</w:t>
      </w:r>
    </w:p>
    <w:p>
      <w:pPr>
        <w:spacing w:beforeAutospacing="0" w:after="0" w:afterAutospacing="0" w:line="240" w:lineRule="auto"/>
        <w:ind w:firstLine="567"/>
        <w:jc w:val="both"/>
        <w:rPr>
          <w:rFonts w:ascii="Times New Roman" w:hAnsi="Times New Roman"/>
          <w:sz w:val="26"/>
          <w:szCs w:val="26"/>
        </w:rPr>
      </w:pPr>
    </w:p>
    <w:p>
      <w:pPr>
        <w:spacing w:beforeAutospacing="0" w:after="0" w:afterAutospacing="0" w:line="240" w:lineRule="auto"/>
        <w:ind w:firstLine="567"/>
        <w:jc w:val="both"/>
        <w:rPr>
          <w:rFonts w:ascii="Times New Roman" w:hAnsi="Times New Roman"/>
          <w:sz w:val="26"/>
          <w:szCs w:val="26"/>
        </w:rPr>
      </w:pPr>
      <w:r>
        <w:rPr>
          <w:rFonts w:ascii="Times New Roman" w:hAnsi="Times New Roman"/>
          <w:sz w:val="26"/>
          <w:szCs w:val="26"/>
        </w:rPr>
        <w:t>1.3. Допомога  на  поховання  померлої  особи надається   за останнім місцем проживання померлого у розмірі 50 відсотків мінімальної заробітної плати,  встановленої на 01 січня поточного року.</w:t>
      </w:r>
    </w:p>
    <w:p>
      <w:pPr>
        <w:spacing w:beforeAutospacing="0" w:after="0" w:afterAutospacing="0" w:line="240" w:lineRule="auto"/>
        <w:ind w:firstLine="567"/>
        <w:jc w:val="both"/>
        <w:rPr>
          <w:rFonts w:ascii="Times New Roman" w:hAnsi="Times New Roman"/>
          <w:sz w:val="26"/>
          <w:szCs w:val="26"/>
        </w:rPr>
      </w:pPr>
    </w:p>
    <w:p>
      <w:pPr>
        <w:spacing w:beforeAutospacing="0" w:after="0" w:afterAutospacing="0" w:line="240" w:lineRule="auto"/>
        <w:ind w:firstLine="567"/>
        <w:jc w:val="both"/>
        <w:rPr>
          <w:rFonts w:ascii="Times New Roman" w:hAnsi="Times New Roman"/>
          <w:sz w:val="26"/>
          <w:szCs w:val="26"/>
        </w:rPr>
      </w:pPr>
      <w:r>
        <w:rPr>
          <w:rFonts w:ascii="Times New Roman" w:hAnsi="Times New Roman"/>
          <w:sz w:val="26"/>
          <w:szCs w:val="26"/>
        </w:rPr>
        <w:t>1.4. Допомога  на  поховання  померлої  особи  надається в межах затвердженого кошторису витрат на фінансування програми «З турботою про кожного» на 2024-2026 роки» на відповідний рік.</w:t>
      </w:r>
    </w:p>
    <w:p>
      <w:pPr>
        <w:spacing w:beforeAutospacing="0" w:after="0" w:afterAutospacing="0" w:line="240" w:lineRule="auto"/>
        <w:ind w:firstLine="567"/>
        <w:jc w:val="both"/>
        <w:rPr>
          <w:rFonts w:ascii="Times New Roman" w:hAnsi="Times New Roman"/>
          <w:sz w:val="26"/>
          <w:szCs w:val="26"/>
        </w:rPr>
      </w:pPr>
    </w:p>
    <w:p>
      <w:pPr>
        <w:spacing w:beforeAutospacing="0" w:after="0" w:afterAutospacing="0" w:line="240" w:lineRule="auto"/>
        <w:rPr>
          <w:rFonts w:ascii="Times New Roman" w:hAnsi="Times New Roman"/>
          <w:sz w:val="26"/>
          <w:szCs w:val="26"/>
        </w:rPr>
      </w:pPr>
      <w:r>
        <w:rPr>
          <w:rFonts w:ascii="Times New Roman" w:hAnsi="Times New Roman"/>
          <w:sz w:val="26"/>
          <w:szCs w:val="26"/>
        </w:rPr>
        <w:t xml:space="preserve">      </w:t>
      </w:r>
    </w:p>
    <w:p>
      <w:pPr>
        <w:pStyle w:val="ListParagraph"/>
        <w:numPr>
          <w:ilvl w:val="0"/>
          <w:numId w:val="1"/>
        </w:numPr>
        <w:spacing w:beforeAutospacing="0" w:after="0" w:afterAutospacing="0" w:line="240" w:lineRule="auto"/>
        <w:jc w:val="center"/>
        <w:rPr>
          <w:rFonts w:ascii="Times New Roman" w:hAnsi="Times New Roman"/>
          <w:sz w:val="26"/>
          <w:szCs w:val="26"/>
        </w:rPr>
      </w:pPr>
      <w:r>
        <w:rPr>
          <w:rFonts w:ascii="Times New Roman" w:hAnsi="Times New Roman"/>
          <w:sz w:val="26"/>
          <w:szCs w:val="26"/>
        </w:rPr>
        <w:t>Порядок надання допомоги на поховання</w:t>
      </w:r>
    </w:p>
    <w:p>
      <w:pPr>
        <w:spacing w:beforeAutospacing="0" w:after="0" w:afterAutospacing="0" w:line="240" w:lineRule="auto"/>
        <w:rPr>
          <w:rFonts w:ascii="Times New Roman" w:hAnsi="Times New Roman"/>
          <w:sz w:val="26"/>
          <w:szCs w:val="26"/>
        </w:rPr>
      </w:pPr>
    </w:p>
    <w:p>
      <w:pPr>
        <w:spacing w:beforeAutospacing="0" w:after="0" w:afterAutospacing="0" w:line="240" w:lineRule="auto"/>
        <w:ind w:firstLine="567"/>
        <w:jc w:val="both"/>
        <w:rPr>
          <w:rFonts w:ascii="Times New Roman" w:hAnsi="Times New Roman"/>
          <w:sz w:val="26"/>
          <w:szCs w:val="26"/>
        </w:rPr>
      </w:pPr>
      <w:r>
        <w:rPr>
          <w:rFonts w:ascii="Times New Roman" w:hAnsi="Times New Roman"/>
          <w:sz w:val="26"/>
          <w:szCs w:val="26"/>
        </w:rPr>
        <w:t>2.1. Допомога на поховання померлого (померлої) надається особам, які звернулися протягом 6 місяців після смерті особи:</w:t>
      </w:r>
    </w:p>
    <w:p>
      <w:pPr>
        <w:spacing w:beforeAutospacing="0" w:after="0" w:afterAutospacing="0" w:line="240" w:lineRule="auto"/>
        <w:ind w:firstLine="567"/>
        <w:jc w:val="both"/>
        <w:rPr>
          <w:rFonts w:ascii="Times New Roman" w:hAnsi="Times New Roman"/>
          <w:sz w:val="26"/>
          <w:szCs w:val="26"/>
        </w:rPr>
      </w:pPr>
    </w:p>
    <w:p>
      <w:pPr>
        <w:spacing w:beforeAutospacing="0" w:after="0" w:afterAutospacing="0" w:line="240" w:lineRule="auto"/>
        <w:ind w:firstLine="708"/>
        <w:jc w:val="both"/>
        <w:rPr>
          <w:rFonts w:ascii="Times New Roman" w:hAnsi="Times New Roman"/>
          <w:sz w:val="26"/>
          <w:szCs w:val="26"/>
        </w:rPr>
      </w:pPr>
      <w:r>
        <w:rPr>
          <w:rFonts w:ascii="Times New Roman" w:hAnsi="Times New Roman"/>
          <w:sz w:val="26"/>
          <w:szCs w:val="26"/>
        </w:rPr>
        <w:t>1) аспіранта, докторанта, клінічного ординатора, студента вищого навчального закладу 1-4 рівня акредитації, що навчається за денною формою; учня професійно-технічного навчального закладу, якщо померлий не утримувався особою, застрахованою в системі загальнообов’язкового державного соціального страхування; особи, яка перебувала на утриманні зазначених осіб;</w:t>
      </w:r>
    </w:p>
    <w:p>
      <w:pPr>
        <w:spacing w:beforeAutospacing="0" w:after="0" w:afterAutospacing="0" w:line="240" w:lineRule="auto"/>
        <w:ind w:firstLine="708"/>
        <w:jc w:val="both"/>
        <w:rPr>
          <w:rFonts w:ascii="Times New Roman" w:hAnsi="Times New Roman"/>
          <w:sz w:val="26"/>
          <w:szCs w:val="26"/>
        </w:rPr>
      </w:pPr>
    </w:p>
    <w:p>
      <w:pPr>
        <w:spacing w:beforeAutospacing="0" w:after="0" w:afterAutospacing="0" w:line="240" w:lineRule="auto"/>
        <w:ind w:firstLine="708"/>
        <w:jc w:val="both"/>
        <w:rPr>
          <w:rFonts w:ascii="Times New Roman" w:hAnsi="Times New Roman"/>
          <w:sz w:val="26"/>
          <w:szCs w:val="26"/>
        </w:rPr>
      </w:pPr>
      <w:r>
        <w:rPr>
          <w:rFonts w:ascii="Times New Roman" w:hAnsi="Times New Roman"/>
          <w:sz w:val="26"/>
          <w:szCs w:val="26"/>
        </w:rPr>
        <w:t>2) дитини, на яку один з батьків (опікун, піклувальник, усиновитель), що не застрахований в системі загальнообов’язкового державного соціального страхування, отримував допомогу відповідно до Закону України “Про державну допомогу сім’ям з дітьми”;</w:t>
      </w:r>
    </w:p>
    <w:p>
      <w:pPr>
        <w:spacing w:beforeAutospacing="0" w:after="0" w:afterAutospacing="0" w:line="240" w:lineRule="auto"/>
        <w:ind w:firstLine="708"/>
        <w:jc w:val="both"/>
        <w:rPr>
          <w:rFonts w:ascii="Times New Roman" w:hAnsi="Times New Roman"/>
          <w:sz w:val="26"/>
          <w:szCs w:val="26"/>
        </w:rPr>
      </w:pPr>
    </w:p>
    <w:p>
      <w:pPr>
        <w:spacing w:beforeAutospacing="0" w:after="0" w:afterAutospacing="0" w:line="240" w:lineRule="auto"/>
        <w:ind w:firstLine="708"/>
        <w:jc w:val="both"/>
        <w:rPr>
          <w:rFonts w:ascii="Times New Roman" w:hAnsi="Times New Roman"/>
          <w:sz w:val="26"/>
          <w:szCs w:val="26"/>
        </w:rPr>
      </w:pPr>
      <w:r>
        <w:rPr>
          <w:rFonts w:ascii="Times New Roman" w:hAnsi="Times New Roman"/>
          <w:sz w:val="26"/>
          <w:szCs w:val="26"/>
        </w:rPr>
        <w:t>3) особи, не застрахованої в системі загальнообов’язкового державного соціального страхування, яка отримувала на дитину допомогу відповідно до Закону України “Про державну допомогу сім’ям з дітьми” або Закону України “Про державну соціальну допомогу особам з інвалідністю з дитинства та дітям з інвалідністю”;</w:t>
      </w:r>
    </w:p>
    <w:p>
      <w:pPr>
        <w:spacing w:beforeAutospacing="0" w:after="0" w:afterAutospacing="0" w:line="240" w:lineRule="auto"/>
        <w:ind w:firstLine="708"/>
        <w:jc w:val="both"/>
        <w:rPr>
          <w:rFonts w:ascii="Times New Roman" w:hAnsi="Times New Roman"/>
          <w:sz w:val="26"/>
          <w:szCs w:val="26"/>
        </w:rPr>
      </w:pPr>
    </w:p>
    <w:p>
      <w:pPr>
        <w:spacing w:beforeAutospacing="0" w:after="0" w:afterAutospacing="0" w:line="240" w:lineRule="auto"/>
        <w:ind w:firstLine="708"/>
        <w:jc w:val="both"/>
        <w:rPr>
          <w:rFonts w:ascii="Times New Roman" w:hAnsi="Times New Roman"/>
          <w:sz w:val="26"/>
          <w:szCs w:val="26"/>
        </w:rPr>
      </w:pPr>
      <w:r>
        <w:rPr>
          <w:rFonts w:ascii="Times New Roman" w:hAnsi="Times New Roman"/>
          <w:sz w:val="26"/>
          <w:szCs w:val="26"/>
        </w:rPr>
        <w:t>4) особи, яка не досягла пенсійного віку та на момент смерті не працювала, не перебувала на службі, не зареєстрована в центрі зайнятості як безробітна;</w:t>
      </w:r>
    </w:p>
    <w:p>
      <w:pPr>
        <w:spacing w:beforeAutospacing="0" w:after="0" w:afterAutospacing="0" w:line="240" w:lineRule="auto"/>
        <w:ind w:firstLine="708"/>
        <w:jc w:val="both"/>
        <w:rPr>
          <w:rFonts w:ascii="Times New Roman" w:hAnsi="Times New Roman"/>
          <w:sz w:val="26"/>
          <w:szCs w:val="26"/>
        </w:rPr>
      </w:pPr>
    </w:p>
    <w:p>
      <w:pPr>
        <w:spacing w:beforeAutospacing="0" w:after="0" w:afterAutospacing="0" w:line="240" w:lineRule="auto"/>
        <w:ind w:firstLine="708"/>
        <w:jc w:val="both"/>
        <w:rPr>
          <w:rFonts w:ascii="Times New Roman" w:hAnsi="Times New Roman"/>
          <w:sz w:val="26"/>
          <w:szCs w:val="26"/>
        </w:rPr>
      </w:pPr>
      <w:r>
        <w:rPr>
          <w:rFonts w:ascii="Times New Roman" w:hAnsi="Times New Roman"/>
          <w:sz w:val="26"/>
          <w:szCs w:val="26"/>
        </w:rPr>
        <w:t>5) особи, яка не має права на отримання пенсії або державної соціальної допомоги відповідно до Закону України “Про державну соціальну допомогу особам, які не мають права на пенсію, та особам з інвалідністю”;</w:t>
      </w:r>
    </w:p>
    <w:p>
      <w:pPr>
        <w:spacing w:beforeAutospacing="0" w:after="0" w:afterAutospacing="0" w:line="240" w:lineRule="auto"/>
        <w:ind w:firstLine="708"/>
        <w:jc w:val="both"/>
        <w:rPr>
          <w:rFonts w:ascii="Times New Roman" w:hAnsi="Times New Roman"/>
          <w:sz w:val="26"/>
          <w:szCs w:val="26"/>
        </w:rPr>
      </w:pPr>
    </w:p>
    <w:p>
      <w:pPr>
        <w:spacing w:beforeAutospacing="0" w:after="0" w:afterAutospacing="0" w:line="240" w:lineRule="auto"/>
        <w:ind w:firstLine="708"/>
        <w:jc w:val="both"/>
        <w:rPr>
          <w:rFonts w:ascii="Times New Roman" w:hAnsi="Times New Roman"/>
          <w:sz w:val="26"/>
          <w:szCs w:val="26"/>
        </w:rPr>
      </w:pPr>
      <w:r>
        <w:rPr>
          <w:rFonts w:ascii="Times New Roman" w:hAnsi="Times New Roman"/>
          <w:sz w:val="26"/>
          <w:szCs w:val="26"/>
        </w:rPr>
        <w:t>6) особи, яка мала право на призначення пенсії або державної соціальної допомоги відповідно до Закону України “Про державну соціальну допомогу особам, які не мають права на пенсію, та особам з інвалідністю”, але за життя таким правом не скористалася.</w:t>
      </w:r>
    </w:p>
    <w:p>
      <w:pPr>
        <w:spacing w:beforeAutospacing="0" w:after="0" w:afterAutospacing="0" w:line="240" w:lineRule="auto"/>
        <w:ind w:firstLine="708"/>
        <w:jc w:val="both"/>
        <w:rPr>
          <w:rFonts w:ascii="Times New Roman" w:hAnsi="Times New Roman"/>
          <w:sz w:val="26"/>
          <w:szCs w:val="26"/>
        </w:rPr>
      </w:pPr>
    </w:p>
    <w:p>
      <w:pPr>
        <w:spacing w:beforeAutospacing="0" w:after="0" w:afterAutospacing="0" w:line="240" w:lineRule="auto"/>
        <w:ind w:firstLine="708"/>
        <w:jc w:val="both"/>
        <w:rPr>
          <w:rFonts w:ascii="Times New Roman" w:hAnsi="Times New Roman"/>
          <w:sz w:val="26"/>
          <w:szCs w:val="26"/>
        </w:rPr>
      </w:pPr>
      <w:r>
        <w:rPr>
          <w:rFonts w:ascii="Times New Roman" w:hAnsi="Times New Roman"/>
          <w:sz w:val="26"/>
          <w:szCs w:val="26"/>
        </w:rPr>
        <w:t>На момент смерті померла особа повинна бути  зареєстрована на території Броварської міської територіальної громади Київської області.</w:t>
      </w:r>
    </w:p>
    <w:p>
      <w:pPr>
        <w:spacing w:beforeAutospacing="0" w:after="0" w:afterAutospacing="0" w:line="240" w:lineRule="auto"/>
        <w:ind w:firstLine="708"/>
        <w:jc w:val="both"/>
        <w:rPr>
          <w:rFonts w:ascii="Times New Roman" w:hAnsi="Times New Roman"/>
          <w:sz w:val="26"/>
          <w:szCs w:val="26"/>
          <w:lang w:val="ru-RU"/>
        </w:rPr>
      </w:pPr>
    </w:p>
    <w:p>
      <w:pPr>
        <w:spacing w:beforeAutospacing="0" w:after="0" w:afterAutospacing="0" w:line="240" w:lineRule="auto"/>
        <w:ind w:firstLine="567"/>
        <w:jc w:val="both"/>
        <w:rPr>
          <w:rFonts w:ascii="Times New Roman" w:hAnsi="Times New Roman"/>
          <w:sz w:val="26"/>
          <w:szCs w:val="26"/>
        </w:rPr>
      </w:pPr>
      <w:r>
        <w:rPr>
          <w:rFonts w:ascii="Times New Roman" w:hAnsi="Times New Roman"/>
          <w:sz w:val="26"/>
          <w:szCs w:val="26"/>
        </w:rPr>
        <w:t>2.2. Для призначення допомоги на поховання деяких категорій осіб виконавцю волевиявлення померлого або особі, яка зобов’язалася поховати померлого, необхідно надати такі документи:</w:t>
      </w:r>
    </w:p>
    <w:p>
      <w:pPr>
        <w:spacing w:beforeAutospacing="0" w:after="0" w:afterAutospacing="0" w:line="240" w:lineRule="auto"/>
        <w:ind w:firstLine="567"/>
        <w:jc w:val="both"/>
        <w:rPr>
          <w:rFonts w:ascii="Times New Roman" w:hAnsi="Times New Roman"/>
          <w:sz w:val="26"/>
          <w:szCs w:val="26"/>
        </w:rPr>
      </w:pPr>
    </w:p>
    <w:p>
      <w:pPr>
        <w:pStyle w:val="ListParagraph"/>
        <w:numPr>
          <w:ilvl w:val="0"/>
          <w:numId w:val="2"/>
        </w:numPr>
        <w:spacing w:beforeAutospacing="0" w:after="0" w:afterAutospacing="0" w:line="240" w:lineRule="auto"/>
        <w:jc w:val="both"/>
        <w:rPr>
          <w:rFonts w:ascii="Times New Roman" w:hAnsi="Times New Roman"/>
          <w:sz w:val="26"/>
          <w:szCs w:val="26"/>
        </w:rPr>
      </w:pPr>
      <w:r>
        <w:rPr>
          <w:rFonts w:ascii="Times New Roman" w:hAnsi="Times New Roman"/>
          <w:sz w:val="26"/>
          <w:szCs w:val="26"/>
        </w:rPr>
        <w:t>заяву на ім’я міського голови;</w:t>
      </w:r>
    </w:p>
    <w:p>
      <w:pPr>
        <w:pStyle w:val="ListParagraph"/>
        <w:spacing w:beforeAutospacing="0" w:after="0" w:afterAutospacing="0" w:line="240" w:lineRule="auto"/>
        <w:ind w:left="927"/>
        <w:jc w:val="both"/>
        <w:rPr>
          <w:rFonts w:ascii="Times New Roman" w:hAnsi="Times New Roman"/>
          <w:sz w:val="26"/>
          <w:szCs w:val="26"/>
        </w:rPr>
      </w:pPr>
    </w:p>
    <w:p>
      <w:pPr>
        <w:spacing w:beforeAutospacing="0" w:after="0" w:afterAutospacing="0" w:line="240" w:lineRule="auto"/>
        <w:ind w:firstLine="567"/>
        <w:jc w:val="both"/>
        <w:rPr>
          <w:rFonts w:ascii="Times New Roman" w:hAnsi="Times New Roman"/>
          <w:sz w:val="26"/>
          <w:szCs w:val="26"/>
        </w:rPr>
      </w:pPr>
      <w:r>
        <w:rPr>
          <w:rFonts w:ascii="Times New Roman" w:hAnsi="Times New Roman"/>
          <w:sz w:val="26"/>
          <w:szCs w:val="26"/>
        </w:rPr>
        <w:t>2) паспорт чи інший документ, що посвідчує особу виконавця волевиявлення померлого або особи, яка зобов’язалася поховати померлого (копія);</w:t>
      </w:r>
    </w:p>
    <w:p>
      <w:pPr>
        <w:spacing w:beforeAutospacing="0" w:after="0" w:afterAutospacing="0" w:line="240" w:lineRule="auto"/>
        <w:ind w:firstLine="567"/>
        <w:jc w:val="both"/>
        <w:rPr>
          <w:rFonts w:ascii="Times New Roman" w:hAnsi="Times New Roman"/>
          <w:sz w:val="26"/>
          <w:szCs w:val="26"/>
        </w:rPr>
      </w:pPr>
    </w:p>
    <w:p>
      <w:pPr>
        <w:spacing w:beforeAutospacing="0" w:after="0" w:afterAutospacing="0" w:line="240" w:lineRule="auto"/>
        <w:ind w:firstLine="567"/>
        <w:jc w:val="both"/>
        <w:rPr>
          <w:rFonts w:ascii="Times New Roman" w:hAnsi="Times New Roman"/>
          <w:sz w:val="26"/>
          <w:szCs w:val="26"/>
        </w:rPr>
      </w:pPr>
      <w:r>
        <w:rPr>
          <w:rFonts w:ascii="Times New Roman" w:hAnsi="Times New Roman"/>
          <w:sz w:val="26"/>
          <w:szCs w:val="26"/>
        </w:rPr>
        <w:t>3) ідентифікаційний код (копія);</w:t>
      </w:r>
    </w:p>
    <w:p>
      <w:pPr>
        <w:spacing w:beforeAutospacing="0" w:after="0" w:afterAutospacing="0" w:line="240" w:lineRule="auto"/>
        <w:ind w:firstLine="567"/>
        <w:jc w:val="both"/>
        <w:rPr>
          <w:rFonts w:ascii="Times New Roman" w:hAnsi="Times New Roman"/>
          <w:sz w:val="26"/>
          <w:szCs w:val="26"/>
        </w:rPr>
      </w:pPr>
    </w:p>
    <w:p>
      <w:pPr>
        <w:spacing w:beforeAutospacing="0" w:after="0" w:afterAutospacing="0" w:line="240" w:lineRule="auto"/>
        <w:ind w:firstLine="567"/>
        <w:jc w:val="both"/>
        <w:rPr>
          <w:rFonts w:ascii="Times New Roman" w:hAnsi="Times New Roman"/>
          <w:sz w:val="26"/>
          <w:szCs w:val="26"/>
        </w:rPr>
      </w:pPr>
      <w:r>
        <w:rPr>
          <w:rFonts w:ascii="Times New Roman" w:hAnsi="Times New Roman"/>
          <w:sz w:val="26"/>
          <w:szCs w:val="26"/>
        </w:rPr>
        <w:t>4) витяг з Державного реєстру актів цивільного стану громадян про смерть для отримання допомоги на поховання;</w:t>
      </w:r>
    </w:p>
    <w:p>
      <w:pPr>
        <w:spacing w:beforeAutospacing="0" w:after="0" w:afterAutospacing="0" w:line="240" w:lineRule="auto"/>
        <w:ind w:firstLine="567"/>
        <w:jc w:val="both"/>
        <w:rPr>
          <w:rFonts w:ascii="Times New Roman" w:hAnsi="Times New Roman"/>
          <w:sz w:val="26"/>
          <w:szCs w:val="26"/>
        </w:rPr>
      </w:pPr>
    </w:p>
    <w:p>
      <w:pPr>
        <w:spacing w:beforeAutospacing="0" w:after="0" w:afterAutospacing="0" w:line="240" w:lineRule="auto"/>
        <w:ind w:firstLine="567"/>
        <w:jc w:val="both"/>
        <w:rPr>
          <w:rFonts w:ascii="Times New Roman" w:hAnsi="Times New Roman"/>
          <w:sz w:val="26"/>
          <w:szCs w:val="26"/>
        </w:rPr>
      </w:pPr>
      <w:r>
        <w:rPr>
          <w:rFonts w:ascii="Times New Roman" w:hAnsi="Times New Roman"/>
          <w:sz w:val="26"/>
          <w:szCs w:val="26"/>
        </w:rPr>
        <w:t>5) свідоцтво про смерть (копія);</w:t>
      </w:r>
    </w:p>
    <w:p>
      <w:pPr>
        <w:spacing w:beforeAutospacing="0" w:after="0" w:afterAutospacing="0" w:line="240" w:lineRule="auto"/>
        <w:ind w:firstLine="567"/>
        <w:jc w:val="both"/>
        <w:rPr>
          <w:rFonts w:ascii="Times New Roman" w:hAnsi="Times New Roman"/>
          <w:sz w:val="26"/>
          <w:szCs w:val="26"/>
        </w:rPr>
      </w:pPr>
    </w:p>
    <w:p>
      <w:pPr>
        <w:spacing w:beforeAutospacing="0" w:after="0" w:afterAutospacing="0" w:line="240" w:lineRule="auto"/>
        <w:ind w:firstLine="567"/>
        <w:jc w:val="both"/>
        <w:rPr>
          <w:rFonts w:ascii="Times New Roman" w:hAnsi="Times New Roman"/>
          <w:sz w:val="26"/>
          <w:szCs w:val="26"/>
        </w:rPr>
      </w:pPr>
      <w:r>
        <w:rPr>
          <w:rFonts w:ascii="Times New Roman" w:hAnsi="Times New Roman"/>
          <w:sz w:val="26"/>
          <w:szCs w:val="26"/>
        </w:rPr>
        <w:t>6) особистий соціальний рахунок одержувача допомоги на поховання, відкритий у відділенні банку;</w:t>
      </w:r>
    </w:p>
    <w:p>
      <w:pPr>
        <w:spacing w:beforeAutospacing="0" w:after="0" w:afterAutospacing="0" w:line="240" w:lineRule="auto"/>
        <w:ind w:firstLine="567"/>
        <w:jc w:val="both"/>
        <w:rPr>
          <w:rFonts w:ascii="Times New Roman" w:hAnsi="Times New Roman"/>
          <w:sz w:val="26"/>
          <w:szCs w:val="26"/>
        </w:rPr>
      </w:pPr>
    </w:p>
    <w:p>
      <w:pPr>
        <w:spacing w:beforeAutospacing="0" w:after="0" w:afterAutospacing="0" w:line="240" w:lineRule="auto"/>
        <w:ind w:firstLine="567"/>
        <w:jc w:val="both"/>
        <w:rPr>
          <w:rFonts w:ascii="Times New Roman" w:hAnsi="Times New Roman"/>
          <w:sz w:val="26"/>
          <w:szCs w:val="26"/>
        </w:rPr>
      </w:pPr>
      <w:r>
        <w:rPr>
          <w:rFonts w:ascii="Times New Roman" w:hAnsi="Times New Roman"/>
          <w:sz w:val="26"/>
          <w:szCs w:val="26"/>
        </w:rPr>
        <w:t>7) копію трудової книжки померлої особи, перша та остання сторінки ( у разі наявності).</w:t>
      </w:r>
    </w:p>
    <w:p>
      <w:pPr>
        <w:spacing w:beforeAutospacing="0" w:after="0" w:afterAutospacing="0" w:line="240" w:lineRule="auto"/>
        <w:ind w:firstLine="567"/>
        <w:jc w:val="both"/>
        <w:rPr>
          <w:rFonts w:ascii="Times New Roman" w:hAnsi="Times New Roman"/>
          <w:sz w:val="26"/>
          <w:szCs w:val="26"/>
        </w:rPr>
      </w:pPr>
    </w:p>
    <w:p>
      <w:pPr>
        <w:spacing w:beforeAutospacing="0" w:after="0" w:afterAutospacing="0" w:line="240" w:lineRule="auto"/>
        <w:ind w:firstLine="567"/>
        <w:jc w:val="both"/>
        <w:rPr>
          <w:rFonts w:ascii="Times New Roman" w:hAnsi="Times New Roman"/>
          <w:sz w:val="26"/>
          <w:szCs w:val="26"/>
          <w:shd w:val="clear" w:color="auto" w:fill="FFFFFF"/>
        </w:rPr>
      </w:pPr>
      <w:r>
        <w:rPr>
          <w:rFonts w:ascii="Times New Roman" w:hAnsi="Times New Roman"/>
          <w:sz w:val="26"/>
          <w:szCs w:val="26"/>
        </w:rPr>
        <w:t xml:space="preserve">Відомості щодо реєстрації місця проживання та перебування у центрі зайнятості  померлої особи отримуються управлінням соціального захисту населення Броварської міської ради Броварського району Київської області </w:t>
      </w:r>
      <w:r>
        <w:rPr>
          <w:rFonts w:ascii="Times New Roman" w:hAnsi="Times New Roman"/>
          <w:sz w:val="26"/>
          <w:szCs w:val="26"/>
          <w:shd w:val="clear" w:color="auto" w:fill="FFFFFF"/>
        </w:rPr>
        <w:t>шляхом надсилання запитів до:</w:t>
      </w:r>
    </w:p>
    <w:p>
      <w:pPr>
        <w:spacing w:beforeAutospacing="0" w:after="0" w:afterAutospacing="0" w:line="240" w:lineRule="auto"/>
        <w:ind w:firstLine="567"/>
        <w:jc w:val="both"/>
        <w:rPr>
          <w:rFonts w:ascii="Times New Roman" w:hAnsi="Times New Roman"/>
          <w:sz w:val="26"/>
          <w:szCs w:val="26"/>
          <w:shd w:val="clear" w:color="auto" w:fill="FFFFFF"/>
        </w:rPr>
      </w:pPr>
    </w:p>
    <w:p>
      <w:pPr>
        <w:spacing w:beforeAutospacing="0" w:after="0" w:afterAutospacing="0" w:line="240" w:lineRule="auto"/>
        <w:ind w:firstLine="567"/>
        <w:jc w:val="both"/>
        <w:rPr>
          <w:rFonts w:ascii="Times New Roman" w:hAnsi="Times New Roman"/>
          <w:sz w:val="26"/>
          <w:szCs w:val="26"/>
          <w:shd w:val="clear" w:color="auto" w:fill="FFFFFF"/>
        </w:rPr>
      </w:pPr>
      <w:r>
        <w:rPr>
          <w:rFonts w:ascii="Times New Roman" w:hAnsi="Times New Roman"/>
          <w:sz w:val="26"/>
          <w:szCs w:val="26"/>
          <w:shd w:val="clear" w:color="auto" w:fill="FFFFFF"/>
        </w:rPr>
        <w:t xml:space="preserve"> -відділу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w:t>
      </w:r>
    </w:p>
    <w:p>
      <w:pPr>
        <w:spacing w:beforeAutospacing="0" w:after="0" w:afterAutospacing="0" w:line="240" w:lineRule="auto"/>
        <w:ind w:firstLine="567"/>
        <w:jc w:val="both"/>
        <w:rPr>
          <w:rFonts w:ascii="Times New Roman" w:hAnsi="Times New Roman"/>
          <w:sz w:val="26"/>
          <w:szCs w:val="26"/>
          <w:shd w:val="clear" w:color="auto" w:fill="FFFFFF"/>
        </w:rPr>
      </w:pPr>
    </w:p>
    <w:p>
      <w:pPr>
        <w:spacing w:beforeAutospacing="0" w:after="0" w:afterAutospacing="0" w:line="240" w:lineRule="auto"/>
        <w:ind w:firstLine="567"/>
        <w:jc w:val="both"/>
        <w:rPr>
          <w:rFonts w:ascii="Times New Roman" w:hAnsi="Times New Roman"/>
          <w:sz w:val="26"/>
          <w:szCs w:val="26"/>
        </w:rPr>
      </w:pPr>
      <w:r>
        <w:rPr>
          <w:rFonts w:ascii="Times New Roman" w:hAnsi="Times New Roman"/>
          <w:sz w:val="26"/>
          <w:szCs w:val="26"/>
          <w:shd w:val="clear" w:color="auto" w:fill="FFFFFF"/>
        </w:rPr>
        <w:t xml:space="preserve">- Броварської філії Київського обласного центру зайнятості. </w:t>
      </w:r>
    </w:p>
    <w:p>
      <w:pPr>
        <w:spacing w:beforeAutospacing="0" w:after="0" w:afterAutospacing="0" w:line="240" w:lineRule="auto"/>
        <w:ind w:firstLine="567"/>
        <w:jc w:val="both"/>
        <w:rPr>
          <w:rFonts w:ascii="Times New Roman" w:hAnsi="Times New Roman"/>
          <w:sz w:val="26"/>
          <w:szCs w:val="26"/>
        </w:rPr>
      </w:pPr>
    </w:p>
    <w:p>
      <w:pPr>
        <w:spacing w:beforeAutospacing="0" w:after="0" w:afterAutospacing="0" w:line="240" w:lineRule="auto"/>
        <w:ind w:firstLine="567"/>
        <w:jc w:val="both"/>
        <w:rPr>
          <w:rFonts w:ascii="Times New Roman" w:hAnsi="Times New Roman"/>
          <w:sz w:val="26"/>
          <w:szCs w:val="26"/>
        </w:rPr>
      </w:pPr>
      <w:r>
        <w:rPr>
          <w:rFonts w:ascii="Times New Roman" w:hAnsi="Times New Roman"/>
          <w:sz w:val="26"/>
          <w:szCs w:val="26"/>
        </w:rPr>
        <w:t>Для призначення допомоги на поховання деяких категорій осіб виконавцю волевиявлення померлого або особі, яка зобов’язалася поховати померлого, аспіранта, докторанта, клінічного ординатора, студента вищого навчального закладу 1-4 рівня акредитації, що навчалися за денною формою; учня професійно-технічного навчального закладу необхідно надати довідку з вищого або професійно-технічного навчального закладу про навчання померлого (померлої) за денною формою навчання в даному закладі або довідку про те, що померла особа була аспірантом, докторантом, клінічним ординатором.</w:t>
      </w:r>
    </w:p>
    <w:p>
      <w:pPr>
        <w:spacing w:beforeAutospacing="0" w:after="0" w:afterAutospacing="0" w:line="240" w:lineRule="auto"/>
        <w:ind w:firstLine="567"/>
        <w:jc w:val="both"/>
        <w:rPr>
          <w:rFonts w:ascii="Times New Roman" w:hAnsi="Times New Roman"/>
          <w:sz w:val="26"/>
          <w:szCs w:val="26"/>
        </w:rPr>
      </w:pPr>
    </w:p>
    <w:p>
      <w:pPr>
        <w:spacing w:beforeAutospacing="0" w:after="0" w:afterAutospacing="0" w:line="240" w:lineRule="auto"/>
        <w:ind w:firstLine="567"/>
        <w:jc w:val="both"/>
        <w:rPr>
          <w:rFonts w:ascii="Times New Roman" w:hAnsi="Times New Roman"/>
          <w:sz w:val="26"/>
          <w:szCs w:val="26"/>
        </w:rPr>
      </w:pPr>
      <w:r>
        <w:rPr>
          <w:rFonts w:ascii="Times New Roman" w:hAnsi="Times New Roman"/>
          <w:sz w:val="26"/>
          <w:szCs w:val="26"/>
        </w:rPr>
        <w:t>Для призначення допомоги на поховання деяких категорій осіб виконавцю волевиявлення померлого або особі, яка зобов’язалася поховати померлу дитину, на яку один з батьків, (опікун, піклувальник, усиновитель), що не застрахований в системі загальнообов’язкового державного соціального страхування, отримував допомогу, необхідно надати  довідку про отримання на дитину допомоги відповідно до Закону України “Про державну допомогу сім’ям з дітьми” або Закону України “Про державну соціальну допомогу особам з інвалідністю з дитинства та дітям з інвалідністю”.</w:t>
      </w:r>
    </w:p>
    <w:p>
      <w:pPr>
        <w:spacing w:beforeAutospacing="0" w:after="0" w:afterAutospacing="0" w:line="240" w:lineRule="auto"/>
        <w:ind w:firstLine="567"/>
        <w:jc w:val="both"/>
        <w:rPr>
          <w:rFonts w:ascii="Times New Roman" w:hAnsi="Times New Roman"/>
          <w:sz w:val="26"/>
          <w:szCs w:val="26"/>
        </w:rPr>
      </w:pPr>
    </w:p>
    <w:p>
      <w:pPr>
        <w:spacing w:beforeAutospacing="0" w:after="0" w:afterAutospacing="0" w:line="240" w:lineRule="auto"/>
        <w:ind w:firstLine="567"/>
        <w:jc w:val="both"/>
        <w:rPr>
          <w:rFonts w:ascii="Times New Roman" w:hAnsi="Times New Roman"/>
          <w:sz w:val="26"/>
          <w:szCs w:val="26"/>
        </w:rPr>
      </w:pPr>
      <w:r>
        <w:rPr>
          <w:rFonts w:ascii="Times New Roman" w:hAnsi="Times New Roman"/>
          <w:sz w:val="26"/>
          <w:szCs w:val="26"/>
        </w:rPr>
        <w:t>Для призначення допомоги на поховання деяких категорій осіб виконавцю волевиявлення померлого або особі, яка зобов’язалася поховати померлого, який  не мав права на отримання пенсії або державної соціальної допомоги,    необхідно надати довідку, що особа не мала права на отримання пенсії, або державної соціальної допомоги, або пенсія не призначалася, відповідно до Закону України “Про державну соціальну допомогу особам, які не мають право на пенсію, та особам з інвалідністю”.</w:t>
      </w:r>
    </w:p>
    <w:p>
      <w:pPr>
        <w:spacing w:beforeAutospacing="0" w:after="0" w:afterAutospacing="0" w:line="240" w:lineRule="auto"/>
        <w:ind w:firstLine="567"/>
        <w:jc w:val="both"/>
        <w:rPr>
          <w:rFonts w:ascii="Times New Roman" w:hAnsi="Times New Roman"/>
          <w:sz w:val="26"/>
          <w:szCs w:val="26"/>
        </w:rPr>
      </w:pPr>
    </w:p>
    <w:p>
      <w:pPr>
        <w:spacing w:beforeAutospacing="0" w:after="0" w:afterAutospacing="0" w:line="240" w:lineRule="auto"/>
        <w:ind w:firstLine="567"/>
        <w:jc w:val="both"/>
        <w:rPr>
          <w:rFonts w:ascii="Times New Roman" w:hAnsi="Times New Roman"/>
          <w:sz w:val="26"/>
          <w:szCs w:val="26"/>
        </w:rPr>
      </w:pPr>
      <w:r>
        <w:rPr>
          <w:rFonts w:ascii="Times New Roman" w:hAnsi="Times New Roman"/>
          <w:sz w:val="26"/>
          <w:szCs w:val="26"/>
        </w:rPr>
        <w:t>2.3. Документи подаються до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w:t>
      </w:r>
    </w:p>
    <w:p>
      <w:pPr>
        <w:spacing w:beforeAutospacing="0" w:after="0" w:afterAutospacing="0" w:line="240" w:lineRule="auto"/>
        <w:ind w:firstLine="567"/>
        <w:jc w:val="both"/>
        <w:rPr>
          <w:rFonts w:ascii="Times New Roman" w:hAnsi="Times New Roman"/>
          <w:sz w:val="26"/>
          <w:szCs w:val="26"/>
        </w:rPr>
      </w:pPr>
    </w:p>
    <w:p>
      <w:pPr>
        <w:spacing w:beforeAutospacing="0" w:after="0" w:afterAutospacing="0" w:line="240" w:lineRule="auto"/>
        <w:ind w:firstLine="567"/>
        <w:jc w:val="both"/>
        <w:rPr>
          <w:rFonts w:ascii="Times New Roman" w:hAnsi="Times New Roman"/>
          <w:sz w:val="26"/>
          <w:szCs w:val="26"/>
        </w:rPr>
      </w:pPr>
    </w:p>
    <w:p>
      <w:pPr>
        <w:spacing w:beforeAutospacing="0" w:after="0" w:afterAutospacing="0" w:line="240" w:lineRule="auto"/>
        <w:ind w:firstLine="567"/>
        <w:jc w:val="both"/>
        <w:rPr>
          <w:rFonts w:ascii="Times New Roman" w:hAnsi="Times New Roman"/>
          <w:sz w:val="26"/>
          <w:szCs w:val="26"/>
        </w:rPr>
      </w:pPr>
    </w:p>
    <w:p>
      <w:pPr>
        <w:spacing w:beforeAutospacing="0" w:after="0" w:afterAutospacing="0" w:line="240" w:lineRule="auto"/>
        <w:ind w:firstLine="567"/>
        <w:jc w:val="both"/>
        <w:rPr>
          <w:rFonts w:ascii="Times New Roman" w:hAnsi="Times New Roman"/>
          <w:sz w:val="26"/>
          <w:szCs w:val="26"/>
        </w:rPr>
      </w:pPr>
    </w:p>
    <w:p>
      <w:pPr>
        <w:spacing w:beforeAutospacing="0" w:after="0" w:afterAutospacing="0" w:line="240" w:lineRule="auto"/>
        <w:rPr>
          <w:rFonts w:ascii="Times New Roman" w:hAnsi="Times New Roman"/>
          <w:sz w:val="18"/>
          <w:szCs w:val="18"/>
        </w:rPr>
      </w:pPr>
    </w:p>
    <w:p>
      <w:pPr>
        <w:pStyle w:val="ListParagraph"/>
        <w:numPr>
          <w:ilvl w:val="0"/>
          <w:numId w:val="1"/>
        </w:numPr>
        <w:spacing w:beforeAutospacing="0" w:after="0" w:afterAutospacing="0" w:line="240" w:lineRule="auto"/>
        <w:jc w:val="center"/>
        <w:rPr>
          <w:rFonts w:ascii="Times New Roman" w:hAnsi="Times New Roman"/>
          <w:sz w:val="26"/>
          <w:szCs w:val="26"/>
        </w:rPr>
      </w:pPr>
      <w:r>
        <w:rPr>
          <w:rFonts w:ascii="Times New Roman" w:hAnsi="Times New Roman"/>
          <w:sz w:val="26"/>
          <w:szCs w:val="26"/>
        </w:rPr>
        <w:t>Заключні положення</w:t>
      </w:r>
    </w:p>
    <w:p>
      <w:pPr>
        <w:spacing w:beforeAutospacing="0" w:after="0" w:afterAutospacing="0" w:line="240" w:lineRule="auto"/>
        <w:rPr>
          <w:rFonts w:ascii="Times New Roman" w:hAnsi="Times New Roman"/>
          <w:sz w:val="18"/>
          <w:szCs w:val="18"/>
        </w:rPr>
      </w:pPr>
    </w:p>
    <w:p>
      <w:pPr>
        <w:spacing w:beforeAutospacing="0" w:after="0" w:afterAutospacing="0" w:line="240" w:lineRule="auto"/>
        <w:ind w:firstLine="567"/>
        <w:jc w:val="both"/>
        <w:rPr>
          <w:rFonts w:ascii="Times New Roman" w:hAnsi="Times New Roman"/>
          <w:sz w:val="26"/>
          <w:szCs w:val="26"/>
        </w:rPr>
      </w:pPr>
      <w:r>
        <w:rPr>
          <w:rFonts w:ascii="Times New Roman" w:hAnsi="Times New Roman"/>
          <w:sz w:val="26"/>
          <w:szCs w:val="26"/>
          <w:lang w:val="ru-RU"/>
        </w:rPr>
        <w:t>3</w:t>
      </w:r>
      <w:r>
        <w:rPr>
          <w:rFonts w:ascii="Times New Roman" w:hAnsi="Times New Roman"/>
          <w:sz w:val="26"/>
          <w:szCs w:val="26"/>
        </w:rPr>
        <w:t>.</w:t>
      </w:r>
      <w:r>
        <w:rPr>
          <w:rFonts w:ascii="Times New Roman" w:hAnsi="Times New Roman"/>
          <w:sz w:val="26"/>
          <w:szCs w:val="26"/>
          <w:lang w:val="ru-RU"/>
        </w:rPr>
        <w:t>1</w:t>
      </w:r>
      <w:r>
        <w:rPr>
          <w:rFonts w:ascii="Times New Roman" w:hAnsi="Times New Roman"/>
          <w:sz w:val="26"/>
          <w:szCs w:val="26"/>
        </w:rPr>
        <w:t>. Головним розпорядником коштів  на виплату допомоги на поховання є управління соціального захисту населення Броварської міської ради Броварського району  Київської області.</w:t>
      </w: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tabs>
          <w:tab w:val="left" w:pos="7088"/>
        </w:tabs>
        <w:spacing w:beforeAutospacing="0" w:after="0" w:afterAutospacing="0"/>
        <w:ind w:left="142"/>
        <w:jc w:val="both"/>
        <w:rPr>
          <w:rFonts w:ascii="Times New Roman" w:hAnsi="Times New Roman"/>
          <w:iCs/>
          <w:sz w:val="28"/>
          <w:szCs w:val="28"/>
        </w:rPr>
      </w:pPr>
      <w:r>
        <w:rPr>
          <w:rFonts w:ascii="Times New Roman" w:hAnsi="Times New Roman"/>
          <w:iCs w:val="0"/>
          <w:smallCaps w:val="0"/>
          <w:snapToGrid/>
          <w:spacing w:val="0"/>
          <w:w w:val="100"/>
          <w:position w:val="0"/>
          <w:sz w:val="28"/>
          <w:szCs w:val="22"/>
          <w:cs w:val="0"/>
        </w:rPr>
        <w:t>Міський голова</w:t>
      </w:r>
      <w:r>
        <w:rPr>
          <w:rFonts w:ascii="Times New Roman" w:hAnsi="Times New Roman"/>
          <w:iCs/>
          <w:sz w:val="28"/>
          <w:szCs w:val="28"/>
        </w:rPr>
        <w:t xml:space="preserve">                    </w:t>
      </w:r>
      <w:r>
        <w:rPr>
          <w:rFonts w:ascii="Times New Roman" w:hAnsi="Times New Roman"/>
          <w:iCs w:val="0"/>
          <w:smallCaps w:val="0"/>
          <w:snapToGrid/>
          <w:spacing w:val="0"/>
          <w:w w:val="100"/>
          <w:position w:val="0"/>
          <w:sz w:val="28"/>
          <w:szCs w:val="22"/>
          <w:cs w:val="0"/>
        </w:rPr>
        <w:t xml:space="preserve">                                                </w:t>
      </w:r>
      <w:r>
        <w:rPr>
          <w:rFonts w:ascii="Times New Roman" w:hAnsi="Times New Roman"/>
          <w:iCs/>
          <w:sz w:val="28"/>
          <w:szCs w:val="28"/>
        </w:rPr>
        <w:t xml:space="preserve">          </w:t>
      </w:r>
      <w:r>
        <w:rPr>
          <w:rFonts w:ascii="Times New Roman" w:hAnsi="Times New Roman"/>
          <w:iCs w:val="0"/>
          <w:smallCaps w:val="0"/>
          <w:snapToGrid/>
          <w:spacing w:val="0"/>
          <w:w w:val="100"/>
          <w:position w:val="0"/>
          <w:sz w:val="28"/>
          <w:szCs w:val="22"/>
          <w:cs w:val="0"/>
        </w:rPr>
        <w:t>Ігор САПОЖКО</w:t>
      </w:r>
      <w:r>
        <w:rPr>
          <w:rFonts w:ascii="Times New Roman" w:hAnsi="Times New Roman"/>
          <w:iCs/>
          <w:sz w:val="28"/>
          <w:szCs w:val="28"/>
        </w:rPr>
        <w:t xml:space="preserve">                                 </w:t>
      </w:r>
      <w:permEnd w:id="0"/>
    </w:p>
    <w:sectPr>
      <w:headerReference w:type="default" r:id="rId5"/>
      <w:footerReference w:type="default" r:id="rId6"/>
      <w:type w:val="nextPage"/>
      <w:pgSz w:w="11906" w:h="16838" w:code="0"/>
      <w:pgMar w:top="1135" w:right="707" w:bottom="993" w:left="1701" w:header="708" w:footer="708" w:gutter="0"/>
      <w:cols w:space="720" w:equalWidth="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1"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E6E1CA1"/>
    <w:multiLevelType w:val="hybridMultilevel"/>
    <w:tmpl w:val="0000000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nsid w:val="716D2CF8"/>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ListParagraph">
    <w:name w:val="List Paragraph"/>
    <w:basedOn w:val="Normal"/>
    <w:qFormat/>
    <w:pPr>
      <w:ind w:left="720"/>
      <w:contextualSpacing/>
    </w:pPr>
  </w:style>
  <w:style w:type="paragraph" w:styleId="FootnoteText">
    <w:name w:val="footnote text"/>
    <w:link w:val="a1"/>
    <w:semiHidden/>
    <w:pPr>
      <w:spacing w:beforeAutospacing="0" w:after="0" w:afterAutospacing="0" w:line="240" w:lineRule="auto"/>
    </w:pPr>
    <w:rPr>
      <w:sz w:val="20"/>
      <w:szCs w:val="20"/>
    </w:rPr>
  </w:style>
  <w:style w:type="paragraph" w:styleId="EndnoteText">
    <w:name w:val="endnote text"/>
    <w:link w:val="a2"/>
    <w:semiHidden/>
    <w:pPr>
      <w:spacing w:beforeAutospacing="0" w:after="0" w:afterAutospacing="0" w:line="240" w:lineRule="auto"/>
    </w:pPr>
    <w:rPr>
      <w:sz w:val="20"/>
      <w:szCs w:val="20"/>
    </w:rPr>
  </w:style>
  <w:style w:type="paragraph" w:styleId="BalloonText">
    <w:name w:val="Balloon Text"/>
    <w:basedOn w:val="Normal"/>
    <w:link w:val="a3"/>
    <w:semiHidden/>
    <w:pPr>
      <w:spacing w:beforeAutospacing="0" w:after="0" w:afterAutospacing="0" w:line="240" w:lineRule="auto"/>
    </w:pPr>
    <w:rPr>
      <w:rFonts w:ascii="Segoe UI" w:hAnsi="Segoe UI"/>
      <w:sz w:val="18"/>
      <w:szCs w:val="18"/>
    </w:rPr>
  </w:style>
  <w:style w:type="character" w:styleId="Hyperlink">
    <w:name w:val="Hyperlink"/>
    <w:rPr>
      <w:color w:val="0000FF"/>
      <w:u w:val="single"/>
    </w:rPr>
  </w:style>
  <w:style w:type="character" w:styleId="LineNumber">
    <w:name w:val="line number"/>
    <w:basedOn w:val="DefaultParagraphFont"/>
    <w:semiHidden/>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styleId="FootnoteReference">
    <w:name w:val="footnote reference"/>
    <w:semiHidden/>
    <w:rPr>
      <w:vertAlign w:val="superscript"/>
    </w:rPr>
  </w:style>
  <w:style w:type="character" w:customStyle="1" w:styleId="a1">
    <w:name w:val="Текст сноски Знак"/>
    <w:link w:val="FootnoteText"/>
    <w:semiHidden/>
    <w:rPr>
      <w:sz w:val="20"/>
      <w:szCs w:val="20"/>
    </w:rPr>
  </w:style>
  <w:style w:type="character" w:styleId="EndnoteReference">
    <w:name w:val="endnote reference"/>
    <w:semiHidden/>
    <w:rPr>
      <w:vertAlign w:val="superscript"/>
    </w:rPr>
  </w:style>
  <w:style w:type="character" w:customStyle="1" w:styleId="a2">
    <w:name w:val="Текст концевой сноски Знак"/>
    <w:link w:val="EndnoteText"/>
    <w:semiHidden/>
    <w:rPr>
      <w:sz w:val="20"/>
      <w:szCs w:val="20"/>
    </w:rPr>
  </w:style>
  <w:style w:type="character" w:customStyle="1" w:styleId="a3">
    <w:name w:val="Текст выноски Знак"/>
    <w:basedOn w:val="DefaultParagraphFont"/>
    <w:link w:val="BalloonText"/>
    <w:semiHidden/>
    <w:rPr>
      <w:rFonts w:ascii="Segoe UI" w:hAnsi="Segoe UI"/>
      <w:sz w:val="18"/>
      <w:szCs w:val="18"/>
    </w:rPr>
  </w:style>
  <w:style w:type="character" w:customStyle="1" w:styleId="FootnoteTextChar">
    <w:name w:val="Footnote Text Char"/>
    <w:semiHidden/>
    <w:rPr>
      <w:sz w:val="20"/>
      <w:szCs w:val="20"/>
    </w:rPr>
  </w:style>
  <w:style w:type="character" w:customStyle="1" w:styleId="EndnoteTextChar">
    <w:name w:val="Endnote Text Char"/>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ce5c6-f100-4e8a-b1dc-10d6a9347f12}">
  <ds:schemaRefs>
    <ds:schemaRef ds:uri="http://schemas.microsoft.com/vsto/sampl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8</DocSecurity>
  <Lines>0</Lines>
  <Paragraphs>0</Paragraphs>
  <ScaleCrop>false</ScaleCrop>
  <Company>SPecialiST RePack</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31</cp:revision>
  <cp:lastPrinted>2024-01-10T06:08:00Z</cp:lastPrinted>
  <dcterms:created xsi:type="dcterms:W3CDTF">2021-08-31T06:42:00Z</dcterms:created>
  <dcterms:modified xsi:type="dcterms:W3CDTF">2024-01-10T15:01:12Z</dcterms:modified>
</cp:coreProperties>
</file>