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ПВ-45</w:t>
      </w:r>
    </w:p>
    <w:p>
      <w:pPr>
        <w:tabs>
          <w:tab w:val="left" w:pos="5610"/>
          <w:tab w:val="left" w:pos="6358"/>
        </w:tabs>
        <w:spacing w:beforeAutospacing="0" w:after="0" w:afterAutospacing="0"/>
        <w:ind w:left="5103"/>
        <w:jc w:val="center"/>
        <w:rPr>
          <w:rFonts w:ascii="Times New Roman" w:hAnsi="Times New Roman"/>
          <w:b/>
          <w:bCs/>
          <w:sz w:val="24"/>
          <w:szCs w:val="24"/>
        </w:rPr>
      </w:pPr>
    </w:p>
    <w:tbl>
      <w:tblPr>
        <w:tblW w:w="10065" w:type="dxa"/>
        <w:tblInd w:w="-176" w:type="dxa"/>
        <w:shd w:val="clear" w:color="auto" w:fill="FFFFFF"/>
        <w:tblLayout w:type="fixed"/>
        <w:tblLook w:val="04A0"/>
      </w:tblPr>
      <w:tblGrid>
        <w:gridCol w:w="5612"/>
        <w:gridCol w:w="4453"/>
      </w:tblGrid>
      <w:tr>
        <w:tblPrEx>
          <w:tblW w:w="10065" w:type="dxa"/>
          <w:tblInd w:w="-176" w:type="dxa"/>
          <w:shd w:val="clear" w:color="auto" w:fill="FFFFFF"/>
          <w:tblLayout w:type="fixed"/>
          <w:tblLook w:val="04A0"/>
        </w:tblPrEx>
        <w:tc>
          <w:tcPr>
            <w:tcW w:w="5612" w:type="dxa"/>
            <w:tcBorders>
              <w:top w:val="nil"/>
              <w:left w:val="nil"/>
              <w:bottom w:val="nil"/>
              <w:right w:val="nil"/>
            </w:tcBorders>
          </w:tcPr>
          <w:p>
            <w:pPr>
              <w:pStyle w:val="Header"/>
              <w:tabs>
                <w:tab w:val="left" w:pos="0"/>
                <w:tab w:val="left" w:pos="5760"/>
              </w:tabs>
              <w:jc w:val="center"/>
              <w:rPr>
                <w:rFonts w:ascii="Times New Roman" w:hAnsi="Times New Roman"/>
                <w:iCs/>
                <w:sz w:val="26"/>
                <w:szCs w:val="28"/>
              </w:rPr>
            </w:pPr>
            <w:permStart w:id="0" w:edGrp="everyone"/>
          </w:p>
        </w:tc>
        <w:tc>
          <w:tcPr>
            <w:tcW w:w="4453" w:type="dxa"/>
            <w:tcBorders>
              <w:top w:val="nil"/>
              <w:left w:val="nil"/>
              <w:bottom w:val="nil"/>
              <w:right w:val="nil"/>
            </w:tcBorders>
          </w:tcPr>
          <w:p>
            <w:pPr>
              <w:pStyle w:val="Header"/>
              <w:tabs>
                <w:tab w:val="left" w:pos="0"/>
                <w:tab w:val="left" w:pos="5760"/>
              </w:tabs>
              <w:jc w:val="center"/>
              <w:rPr>
                <w:rFonts w:ascii="Times New Roman" w:hAnsi="Times New Roman"/>
                <w:sz w:val="28"/>
              </w:rPr>
            </w:pPr>
            <w:r>
              <w:rPr>
                <w:rFonts w:ascii="Times New Roman" w:hAnsi="Times New Roman"/>
                <w:sz w:val="28"/>
              </w:rPr>
              <w:t xml:space="preserve">Додаток </w:t>
            </w:r>
          </w:p>
          <w:p>
            <w:pPr>
              <w:pStyle w:val="Header"/>
              <w:tabs>
                <w:tab w:val="left" w:pos="0"/>
                <w:tab w:val="left" w:pos="5760"/>
              </w:tabs>
              <w:jc w:val="center"/>
              <w:rPr>
                <w:rFonts w:ascii="Times New Roman" w:hAnsi="Times New Roman"/>
                <w:sz w:val="28"/>
              </w:rPr>
            </w:pPr>
            <w:r>
              <w:rPr>
                <w:rFonts w:ascii="Times New Roman" w:hAnsi="Times New Roman"/>
                <w:sz w:val="28"/>
              </w:rPr>
              <w:t xml:space="preserve">Рішення виконавчого комітету                                                                        Броварської міської ради Броварського району </w:t>
            </w:r>
          </w:p>
          <w:p>
            <w:pPr>
              <w:pStyle w:val="Header"/>
              <w:tabs>
                <w:tab w:val="left" w:pos="0"/>
                <w:tab w:val="left" w:pos="5760"/>
              </w:tabs>
              <w:jc w:val="center"/>
              <w:rPr>
                <w:rFonts w:ascii="Times New Roman" w:hAnsi="Times New Roman"/>
                <w:sz w:val="28"/>
              </w:rPr>
            </w:pPr>
            <w:r>
              <w:rPr>
                <w:rFonts w:ascii="Times New Roman" w:hAnsi="Times New Roman"/>
                <w:sz w:val="28"/>
              </w:rPr>
              <w:t>Київської області</w:t>
            </w:r>
          </w:p>
          <w:p>
            <w:pPr>
              <w:pStyle w:val="Header"/>
              <w:tabs>
                <w:tab w:val="left" w:pos="0"/>
                <w:tab w:val="left" w:pos="5760"/>
              </w:tabs>
              <w:jc w:val="center"/>
              <w:rPr>
                <w:rFonts w:ascii="Times New Roman" w:hAnsi="Times New Roman"/>
                <w:sz w:val="28"/>
              </w:rPr>
            </w:pPr>
            <w:r>
              <w:rPr>
                <w:rFonts w:ascii="Times New Roman" w:hAnsi="Times New Roman"/>
                <w:sz w:val="28"/>
              </w:rPr>
              <w:t>від ___________ № _________</w:t>
            </w:r>
          </w:p>
          <w:p>
            <w:pPr>
              <w:pStyle w:val="Header"/>
              <w:tabs>
                <w:tab w:val="left" w:pos="0"/>
                <w:tab w:val="left" w:pos="5760"/>
              </w:tabs>
              <w:jc w:val="center"/>
              <w:rPr>
                <w:rFonts w:ascii="Times New Roman" w:hAnsi="Times New Roman"/>
                <w:iCs/>
                <w:sz w:val="16"/>
                <w:szCs w:val="28"/>
              </w:rPr>
            </w:pPr>
          </w:p>
          <w:p>
            <w:pPr>
              <w:pStyle w:val="Header"/>
              <w:tabs>
                <w:tab w:val="left" w:pos="0"/>
                <w:tab w:val="left" w:pos="5760"/>
              </w:tabs>
              <w:jc w:val="center"/>
              <w:rPr>
                <w:rFonts w:ascii="Times New Roman" w:hAnsi="Times New Roman"/>
                <w:iCs/>
                <w:sz w:val="16"/>
                <w:szCs w:val="28"/>
              </w:rPr>
            </w:pPr>
          </w:p>
          <w:p>
            <w:pPr>
              <w:pStyle w:val="Header"/>
              <w:tabs>
                <w:tab w:val="left" w:pos="0"/>
                <w:tab w:val="left" w:pos="5760"/>
              </w:tabs>
              <w:jc w:val="center"/>
              <w:rPr>
                <w:rFonts w:ascii="Times New Roman" w:hAnsi="Times New Roman"/>
                <w:iCs/>
                <w:sz w:val="16"/>
                <w:szCs w:val="28"/>
              </w:rPr>
            </w:pPr>
          </w:p>
          <w:p>
            <w:pPr>
              <w:pStyle w:val="Header"/>
              <w:tabs>
                <w:tab w:val="left" w:pos="0"/>
                <w:tab w:val="left" w:pos="5760"/>
              </w:tabs>
              <w:jc w:val="center"/>
              <w:rPr>
                <w:rFonts w:ascii="Times New Roman" w:hAnsi="Times New Roman"/>
                <w:iCs/>
                <w:sz w:val="16"/>
                <w:szCs w:val="28"/>
              </w:rPr>
            </w:pPr>
          </w:p>
          <w:p>
            <w:pPr>
              <w:pStyle w:val="Header"/>
              <w:tabs>
                <w:tab w:val="left" w:pos="0"/>
                <w:tab w:val="left" w:pos="5760"/>
              </w:tabs>
              <w:jc w:val="center"/>
              <w:rPr>
                <w:rFonts w:ascii="Times New Roman" w:hAnsi="Times New Roman"/>
                <w:iCs/>
                <w:sz w:val="16"/>
                <w:szCs w:val="28"/>
              </w:rPr>
            </w:pPr>
          </w:p>
        </w:tc>
      </w:tr>
    </w:tbl>
    <w:p>
      <w:pPr>
        <w:pStyle w:val="Header"/>
        <w:jc w:val="center"/>
        <w:rPr>
          <w:rFonts w:ascii="Times New Roman" w:hAnsi="Times New Roman"/>
          <w:b/>
          <w:sz w:val="28"/>
        </w:rPr>
      </w:pPr>
      <w:r>
        <w:rPr>
          <w:rFonts w:ascii="Times New Roman" w:hAnsi="Times New Roman"/>
          <w:b/>
          <w:sz w:val="28"/>
        </w:rPr>
        <w:t>Умови передачі в оренду об’єкта комунальної власності Броварської міської територіальної громади без аукціону</w:t>
      </w:r>
    </w:p>
    <w:p>
      <w:pPr>
        <w:pStyle w:val="Header"/>
        <w:jc w:val="center"/>
        <w:rPr>
          <w:rFonts w:ascii="Times New Roman" w:hAnsi="Times New Roman"/>
          <w:b/>
          <w:sz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tblPr>
      <w:tblGrid>
        <w:gridCol w:w="3510"/>
        <w:gridCol w:w="6096"/>
      </w:tblGrid>
      <w:tr>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tblPrEx>
        <w:trPr>
          <w:trHeight w:val="690"/>
        </w:trPr>
        <w:tc>
          <w:tcPr>
            <w:tcW w:w="3510"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sz w:val="24"/>
              </w:rPr>
            </w:pPr>
            <w:r>
              <w:rPr>
                <w:rFonts w:ascii="Times New Roman" w:hAnsi="Times New Roman"/>
                <w:sz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tcPr>
          <w:p>
            <w:pPr>
              <w:pStyle w:val="Header"/>
              <w:jc w:val="both"/>
              <w:rPr>
                <w:rFonts w:ascii="Times New Roman" w:hAnsi="Times New Roman"/>
                <w:sz w:val="24"/>
              </w:rPr>
            </w:pPr>
            <w:r>
              <w:rPr>
                <w:rFonts w:ascii="Times New Roman" w:hAnsi="Times New Roman"/>
                <w:sz w:val="24"/>
              </w:rPr>
              <w:t>Оренда  спортивного майданчика  площею 3600  кв.м., який розташований за адресою: Київська область, Броварський район, місто Бровари, вулиця Героїв Небесної Сотні, будинок 13</w:t>
            </w:r>
          </w:p>
        </w:tc>
      </w:tr>
      <w:tr>
        <w:tblPrEx>
          <w:tblW w:w="9606" w:type="dxa"/>
          <w:shd w:val="clear" w:color="auto" w:fill="FFFFFF"/>
          <w:tblLayout w:type="fixed"/>
          <w:tblLook w:val="00A0"/>
        </w:tblPrEx>
        <w:trPr>
          <w:trHeight w:val="690"/>
        </w:trPr>
        <w:tc>
          <w:tcPr>
            <w:tcW w:w="3510"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sz w:val="24"/>
              </w:rPr>
            </w:pPr>
            <w:r>
              <w:rPr>
                <w:rFonts w:ascii="Times New Roman" w:hAnsi="Times New Roman"/>
                <w:sz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tcPr>
          <w:p>
            <w:pPr>
              <w:tabs>
                <w:tab w:val="left" w:pos="1820"/>
                <w:tab w:val="left" w:pos="3402"/>
                <w:tab w:val="left" w:pos="4111"/>
                <w:tab w:val="left" w:pos="4253"/>
                <w:tab w:val="left" w:pos="4536"/>
              </w:tabs>
              <w:spacing w:beforeAutospacing="0" w:after="0" w:afterAutospacing="0" w:line="240" w:lineRule="auto"/>
              <w:jc w:val="both"/>
              <w:rPr>
                <w:rFonts w:ascii="Times New Roman" w:hAnsi="Times New Roman"/>
                <w:sz w:val="24"/>
              </w:rPr>
            </w:pPr>
            <w:r>
              <w:rPr>
                <w:rFonts w:ascii="Times New Roman" w:hAnsi="Times New Roman"/>
                <w:sz w:val="24"/>
              </w:rPr>
              <w:t>Рішення  виконавчого комітету Броварської міської ради Броварського району Київської області від 12.12.2023 № 1067 «Про включення до Переліку другого типу та передачу в оренду об’єкта комунальної власності Броварської міської територіальної громади без аукціону»</w:t>
            </w:r>
          </w:p>
        </w:tc>
      </w:tr>
      <w:tr>
        <w:tblPrEx>
          <w:tblW w:w="9606" w:type="dxa"/>
          <w:shd w:val="clear" w:color="auto" w:fill="FFFFFF"/>
          <w:tblLayout w:type="fixed"/>
          <w:tblLook w:val="00A0"/>
        </w:tblPrEx>
        <w:trPr>
          <w:trHeight w:val="690"/>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sz w:val="24"/>
              </w:rPr>
            </w:pPr>
            <w:r>
              <w:rPr>
                <w:rFonts w:ascii="Times New Roman" w:hAnsi="Times New Roman"/>
                <w:sz w:val="24"/>
              </w:rPr>
              <w:t>Повне найменування та адреса орендодавця</w:t>
            </w:r>
          </w:p>
          <w:p>
            <w:pPr>
              <w:spacing w:beforeAutospacing="0" w:after="0" w:afterAutospacing="0" w:line="240" w:lineRule="auto"/>
              <w:rPr>
                <w:rFonts w:ascii="Times New Roman" w:hAnsi="Times New Roman"/>
                <w:iCs/>
                <w:sz w:val="28"/>
                <w:szCs w:val="28"/>
              </w:rPr>
            </w:pPr>
          </w:p>
        </w:tc>
        <w:tc>
          <w:tcPr>
            <w:tcW w:w="6096" w:type="dxa"/>
            <w:tcBorders>
              <w:top w:val="single" w:sz="4" w:space="0" w:color="000000"/>
              <w:left w:val="single" w:sz="4" w:space="0" w:color="000000"/>
              <w:bottom w:val="single" w:sz="4" w:space="0" w:color="000000"/>
              <w:right w:val="single" w:sz="4" w:space="0" w:color="000000"/>
            </w:tcBorders>
          </w:tcPr>
          <w:p>
            <w:pPr>
              <w:tabs>
                <w:tab w:val="left" w:pos="1320"/>
              </w:tabs>
              <w:spacing w:beforeAutospacing="0" w:after="0" w:afterAutospacing="0" w:line="240" w:lineRule="auto"/>
              <w:jc w:val="both"/>
              <w:rPr>
                <w:rFonts w:ascii="Times New Roman" w:hAnsi="Times New Roman"/>
                <w:sz w:val="24"/>
              </w:rPr>
            </w:pPr>
            <w:r>
              <w:rPr>
                <w:rFonts w:ascii="Times New Roman" w:hAnsi="Times New Roman"/>
                <w:sz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pPr>
              <w:tabs>
                <w:tab w:val="left" w:pos="1320"/>
              </w:tabs>
              <w:spacing w:beforeAutospacing="0" w:after="0" w:afterAutospacing="0" w:line="240" w:lineRule="auto"/>
              <w:jc w:val="both"/>
              <w:rPr>
                <w:rFonts w:ascii="Times New Roman" w:hAnsi="Times New Roman"/>
                <w:sz w:val="24"/>
              </w:rPr>
            </w:pPr>
            <w:r>
              <w:rPr>
                <w:rFonts w:ascii="Times New Roman" w:hAnsi="Times New Roman"/>
                <w:sz w:val="24"/>
              </w:rPr>
              <w:t>e-mail: ukv_bmr@ukr.net</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sz w:val="24"/>
              </w:rPr>
            </w:pPr>
            <w:r>
              <w:rPr>
                <w:rFonts w:ascii="Times New Roman" w:hAnsi="Times New Roman"/>
                <w:sz w:val="24"/>
              </w:rPr>
              <w:t>Повне найменування та адреса балансоутримувача</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sz w:val="24"/>
              </w:rPr>
            </w:pPr>
            <w:r>
              <w:rPr>
                <w:rFonts w:ascii="Times New Roman" w:hAnsi="Times New Roman"/>
                <w:sz w:val="24"/>
              </w:rPr>
              <w:t xml:space="preserve">Броварський ліцей № 9 Броварської міської ради Броварського району Київської області, що знаходиться за адресою: вулиця Героїв Небесної Сотні, 13, місто Бровари, Броварського району, Київської області, 07400, телефон: (04594) 6-16-35, </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e-mail: school_nine@i.ua</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Графік роботи Броварського ліцею №9 Броварської міської ради Броварського району Київської області </w:t>
            </w:r>
          </w:p>
        </w:tc>
        <w:tc>
          <w:tcPr>
            <w:tcW w:w="6096" w:type="dxa"/>
            <w:tcBorders>
              <w:top w:val="single" w:sz="4" w:space="0" w:color="000000"/>
              <w:left w:val="single" w:sz="4" w:space="0" w:color="000000"/>
              <w:bottom w:val="single" w:sz="4" w:space="0" w:color="000000"/>
              <w:right w:val="single" w:sz="4" w:space="0" w:color="000000"/>
            </w:tcBorders>
          </w:tcPr>
          <w:p>
            <w:pPr>
              <w:tabs>
                <w:tab w:val="left" w:pos="13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Середня кількість годин роботи закладу в день – 11 годин;</w:t>
            </w:r>
          </w:p>
          <w:p>
            <w:pPr>
              <w:tabs>
                <w:tab w:val="left" w:pos="13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Середня кількість робочих днів на місяць – 25 день</w:t>
            </w:r>
          </w:p>
        </w:tc>
      </w:tr>
      <w:tr>
        <w:tblPrEx>
          <w:tblW w:w="9606" w:type="dxa"/>
          <w:shd w:val="clear" w:color="auto" w:fill="FFFFFF"/>
          <w:tblLayout w:type="fixed"/>
          <w:tblLook w:val="00A0"/>
        </w:tblPrEx>
        <w:trPr>
          <w:trHeight w:val="777"/>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Спортивний  майданчик  площею 3600 кв.м., за адресою: Київська область, Броварський район, місто Бровари, вулиця Героїв Небесної Сотні, будинок 13.</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Часи використання об’єкта</w:t>
            </w:r>
            <w:r>
              <w:rPr>
                <w:rFonts w:ascii="Times New Roman" w:hAnsi="Times New Roman"/>
                <w:color w:val="FF0000"/>
                <w:sz w:val="24"/>
              </w:rPr>
              <w:t>:</w:t>
            </w:r>
            <w:r>
              <w:rPr>
                <w:rFonts w:ascii="Times New Roman" w:hAnsi="Times New Roman"/>
                <w:color w:val="000000"/>
                <w:sz w:val="24"/>
              </w:rPr>
              <w:t xml:space="preserve"> понеділок, середа, п’ятниця з 19:00 по 21:00  </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w:t>
            </w:r>
          </w:p>
        </w:tc>
      </w:tr>
      <w:tr>
        <w:tblPrEx>
          <w:tblW w:w="9606" w:type="dxa"/>
          <w:shd w:val="clear" w:color="auto" w:fill="FFFFFF"/>
          <w:tblLayout w:type="fixed"/>
          <w:tblLook w:val="00A0"/>
        </w:tblPrEx>
        <w:trPr>
          <w:trHeight w:val="292"/>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Вартість об’єкта оренди згідно з висновком про вартість майна станом на 31 липня 2023 року становить, без ПДВ 2 372 189,00 грн. </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Тип об’єкта</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нерухоме майно</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2 роки </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tcPr>
          <w:p>
            <w:pPr>
              <w:tabs>
                <w:tab w:val="left" w:pos="-1134"/>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ind w:hanging="11"/>
              <w:jc w:val="both"/>
              <w:rPr>
                <w:rFonts w:ascii="Times New Roman" w:hAnsi="Times New Roman"/>
                <w:color w:val="000000"/>
                <w:sz w:val="24"/>
              </w:rPr>
            </w:pPr>
            <w:r>
              <w:rPr>
                <w:rFonts w:ascii="Times New Roman" w:hAnsi="Times New Roman"/>
                <w:color w:val="000000"/>
                <w:sz w:val="24"/>
              </w:rPr>
              <w:t xml:space="preserve">Додається </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загальна площа 3600,00 кв.м., корисна площа 3600,00 кв.м.</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Технічний стан, інформація про потужність електромережі і 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Технічний стан об’єкта – задовільний</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Додається</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Об’єкт не є пам’яткою культурної спадщини</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pPr>
              <w:tabs>
                <w:tab w:val="left" w:pos="7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Не потребує</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rPr>
                <w:rFonts w:ascii="Times New Roman" w:hAnsi="Times New Roman"/>
                <w:color w:val="000000"/>
                <w:sz w:val="24"/>
              </w:rPr>
            </w:pPr>
            <w:r>
              <w:rPr>
                <w:rFonts w:ascii="Times New Roman" w:hAnsi="Times New Roman"/>
                <w:color w:val="000000"/>
                <w:sz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tcPr>
          <w:p>
            <w:pPr>
              <w:tabs>
                <w:tab w:val="left" w:pos="7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внутрішньобудинкових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Проєкт договору </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Додається  до оголошення про передачу нерухомого майна в оренду </w:t>
            </w:r>
          </w:p>
        </w:tc>
      </w:tr>
      <w:tr>
        <w:tblPrEx>
          <w:tblW w:w="9606" w:type="dxa"/>
          <w:shd w:val="clear" w:color="auto" w:fill="FFFFFF"/>
          <w:tblLayout w:type="fixed"/>
          <w:tblLook w:val="00A0"/>
        </w:tblPrEx>
        <w:tc>
          <w:tcPr>
            <w:tcW w:w="9606" w:type="dxa"/>
            <w:gridSpan w:val="2"/>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Умови та додаткові умови оренди</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2 роки</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тільки за цільовим призначенням</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tabs>
                <w:tab w:val="left" w:pos="1320"/>
              </w:tabs>
              <w:spacing w:beforeAutospacing="0" w:after="0" w:afterAutospacing="0" w:line="240" w:lineRule="auto"/>
              <w:rPr>
                <w:rFonts w:ascii="Times New Roman" w:hAnsi="Times New Roman"/>
                <w:color w:val="000000"/>
                <w:sz w:val="24"/>
              </w:rPr>
            </w:pPr>
            <w:r>
              <w:rPr>
                <w:rFonts w:ascii="Times New Roman" w:hAnsi="Times New Roman"/>
                <w:color w:val="000000"/>
                <w:sz w:val="24"/>
              </w:rPr>
              <w:t>Розмір орендної плати (базовий місяць листопад 2023 року)</w:t>
            </w:r>
          </w:p>
        </w:tc>
        <w:tc>
          <w:tcPr>
            <w:tcW w:w="6096" w:type="dxa"/>
            <w:tcBorders>
              <w:top w:val="single" w:sz="4" w:space="0" w:color="000000"/>
              <w:left w:val="single" w:sz="4" w:space="0" w:color="000000"/>
              <w:bottom w:val="single" w:sz="4" w:space="0" w:color="000000"/>
              <w:right w:val="single" w:sz="4" w:space="0" w:color="000000"/>
            </w:tcBorders>
          </w:tcPr>
          <w:p>
            <w:pPr>
              <w:tabs>
                <w:tab w:val="left" w:pos="13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7,22 грн./за одну годину, без урахування ПДВ </w:t>
            </w:r>
          </w:p>
          <w:p>
            <w:pPr>
              <w:tabs>
                <w:tab w:val="left" w:pos="1320"/>
              </w:tabs>
              <w:spacing w:beforeAutospacing="0" w:after="0" w:afterAutospacing="0" w:line="240" w:lineRule="auto"/>
              <w:jc w:val="both"/>
              <w:rPr>
                <w:rFonts w:ascii="Times New Roman" w:hAnsi="Times New Roman"/>
                <w:iCs/>
                <w:sz w:val="28"/>
                <w:szCs w:val="28"/>
              </w:rPr>
            </w:pP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Цільове</w:t>
            </w:r>
          </w:p>
          <w:p>
            <w:pPr>
              <w:tabs>
                <w:tab w:val="left" w:pos="1320"/>
              </w:tabs>
              <w:spacing w:beforeAutospacing="0" w:after="0" w:afterAutospacing="0" w:line="240" w:lineRule="auto"/>
              <w:rPr>
                <w:rFonts w:ascii="Times New Roman" w:hAnsi="Times New Roman"/>
                <w:color w:val="000000"/>
                <w:sz w:val="24"/>
              </w:rPr>
            </w:pPr>
            <w:r>
              <w:rPr>
                <w:rFonts w:ascii="Times New Roman" w:hAnsi="Times New Roman"/>
                <w:color w:val="000000"/>
                <w:sz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Розміщення громадської організації, що здійснює дозвілля дітей та юнацтва в позаурочний  час (проведення фізкультурно-оздоровчих занять з футболу) - погодинно</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Обмеження щодо цільового призначенняоб’єкта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tcPr>
          <w:p>
            <w:pPr>
              <w:tabs>
                <w:tab w:val="left" w:pos="993"/>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tcPr>
          <w:p>
            <w:pPr>
              <w:tabs>
                <w:tab w:val="left" w:pos="1320"/>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Особливі умови :</w:t>
            </w:r>
          </w:p>
        </w:tc>
        <w:tc>
          <w:tcPr>
            <w:tcW w:w="6096" w:type="dxa"/>
            <w:tcBorders>
              <w:top w:val="single" w:sz="4" w:space="0" w:color="000000"/>
              <w:left w:val="single" w:sz="4" w:space="0" w:color="000000"/>
              <w:bottom w:val="single" w:sz="4" w:space="0" w:color="000000"/>
              <w:right w:val="single" w:sz="4" w:space="0" w:color="000000"/>
            </w:tcBorders>
          </w:tcPr>
          <w:p>
            <w:pPr>
              <w:tabs>
                <w:tab w:val="left" w:pos="993"/>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Орендар зобов’язаний:</w:t>
            </w:r>
          </w:p>
          <w:p>
            <w:pPr>
              <w:tabs>
                <w:tab w:val="left" w:pos="993"/>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1) до укладання договору оренди або в день підписання такого договору сплатити на рахунок орендадавця,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pPr>
              <w:tabs>
                <w:tab w:val="left" w:pos="993"/>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3700,00 грн</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Передача майна в суборенду відповідно до підпункту 25.1 пункту 25 Порядку</w:t>
            </w:r>
          </w:p>
        </w:tc>
        <w:tc>
          <w:tcPr>
            <w:tcW w:w="6096" w:type="dxa"/>
            <w:tcBorders>
              <w:top w:val="single" w:sz="4" w:space="0" w:color="000000"/>
              <w:left w:val="single" w:sz="4" w:space="0" w:color="000000"/>
              <w:bottom w:val="single" w:sz="4" w:space="0" w:color="000000"/>
              <w:right w:val="single" w:sz="4" w:space="0" w:color="000000"/>
            </w:tcBorders>
          </w:tcPr>
          <w:p>
            <w:pPr>
              <w:tabs>
                <w:tab w:val="left" w:pos="-1134"/>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Майно передається в оренду без права передачі в суборенду</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tcPr>
          <w:p>
            <w:pPr>
              <w:tabs>
                <w:tab w:val="left" w:pos="-1134"/>
              </w:tabs>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Потенційний орендар повинен відповідати вимогам, визначеним статтею 4 Закону України «Про оренду державного та комунального майна»</w:t>
            </w:r>
          </w:p>
        </w:tc>
      </w:tr>
      <w:tr>
        <w:tblPrEx>
          <w:tblW w:w="9606" w:type="dxa"/>
          <w:shd w:val="clear" w:color="auto" w:fill="FFFFFF"/>
          <w:tblLayout w:type="fixed"/>
          <w:tblLook w:val="00A0"/>
        </w:tblPrEx>
        <w:trPr>
          <w:trHeight w:val="393"/>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контактна особа: Вікторія ГНАТИШЕНА, </w:t>
            </w:r>
          </w:p>
          <w:p>
            <w:pPr>
              <w:spacing w:beforeAutospacing="0" w:after="0" w:afterAutospacing="0" w:line="240" w:lineRule="auto"/>
              <w:rPr>
                <w:rStyle w:val="Hyperlink"/>
                <w:color w:val="000000"/>
                <w:sz w:val="24"/>
                <w:u w:val="none"/>
              </w:rPr>
            </w:pPr>
            <w:r>
              <w:rPr>
                <w:rFonts w:ascii="Times New Roman" w:hAnsi="Times New Roman"/>
                <w:color w:val="000000"/>
                <w:sz w:val="24"/>
              </w:rPr>
              <w:t xml:space="preserve">телефон (04594) 7-20-56; е-mail: </w:t>
            </w:r>
            <w:hyperlink r:id="rId4">
              <w:r>
                <w:rPr>
                  <w:rStyle w:val="Hyperlink"/>
                  <w:rFonts w:ascii="Times New Roman" w:hAnsi="Times New Roman"/>
                  <w:color w:val="000000"/>
                  <w:sz w:val="24"/>
                  <w:u w:val="none"/>
                </w:rPr>
                <w:t>ukv_bmr@ukr.net</w:t>
              </w:r>
            </w:hyperlink>
          </w:p>
        </w:tc>
      </w:tr>
      <w:tr>
        <w:tblPrEx>
          <w:tblW w:w="9606" w:type="dxa"/>
          <w:shd w:val="clear" w:color="auto" w:fill="FFFFFF"/>
          <w:tblLayout w:type="fixed"/>
          <w:tblLook w:val="00A0"/>
        </w:tblPrEx>
        <w:trPr>
          <w:trHeight w:val="393"/>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пунктом 18.8 Порядку</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Протягом 20 робочих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tc>
      </w:tr>
      <w:tr>
        <w:tblPrEx>
          <w:tblW w:w="9606" w:type="dxa"/>
          <w:shd w:val="clear" w:color="auto" w:fill="FFFFFF"/>
          <w:tblLayout w:type="fixed"/>
          <w:tblLook w:val="00A0"/>
        </w:tblPrEx>
        <w:tc>
          <w:tcPr>
            <w:tcW w:w="9606" w:type="dxa"/>
            <w:gridSpan w:val="2"/>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 Додаткова  інформація</w:t>
            </w:r>
          </w:p>
        </w:tc>
      </w:tr>
      <w:tr>
        <w:tblPrEx>
          <w:tblW w:w="9606" w:type="dxa"/>
          <w:shd w:val="clear" w:color="auto" w:fill="FFFFFF"/>
          <w:tblLayout w:type="fixed"/>
          <w:tblLook w:val="00A0"/>
        </w:tblPrEx>
        <w:trPr>
          <w:trHeight w:val="2188"/>
        </w:trPr>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Отримувач коштів: Броварський ліцей № 9 Броварської міської ради Броварського району Київської області</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 (необхідно обов’язково зазначати призначення платежу).</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ЄДРПОУ 22208830</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р/р UA 058201720344290003000020465</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Банк: Державна казначейська служба України, м. Київ,</w:t>
            </w:r>
          </w:p>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МФО 820172</w:t>
            </w: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jc w:val="both"/>
              <w:rPr>
                <w:rFonts w:ascii="Times New Roman" w:hAnsi="Times New Roman"/>
                <w:color w:val="000000"/>
                <w:sz w:val="24"/>
              </w:rPr>
            </w:pPr>
            <w:r>
              <w:rPr>
                <w:rFonts w:ascii="Times New Roman" w:hAnsi="Times New Roman"/>
                <w:color w:val="000000"/>
                <w:sz w:val="24"/>
              </w:rPr>
              <w:t xml:space="preserve">(посилання на сторінку офіційного веб-сайта адміністратора, на якій зазначені реквізити таких рахунків): </w:t>
            </w:r>
            <w:hyperlink r:id="rId5">
              <w:r>
                <w:rPr>
                  <w:rStyle w:val="Hyperlink"/>
                  <w:rFonts w:ascii="Times New Roman" w:hAnsi="Times New Roman"/>
                  <w:color w:val="000000"/>
                  <w:sz w:val="24"/>
                  <w:u w:val="none"/>
                </w:rPr>
                <w:t>https://prozorro.sale/info/elektronni-majdanchiki-ets-prozorroprodazhi-cbd2</w:t>
              </w:r>
            </w:hyperlink>
          </w:p>
          <w:p>
            <w:pPr>
              <w:spacing w:beforeAutospacing="0" w:after="0" w:afterAutospacing="0" w:line="240" w:lineRule="auto"/>
              <w:jc w:val="both"/>
              <w:rPr>
                <w:rFonts w:ascii="Times New Roman" w:hAnsi="Times New Roman"/>
                <w:color w:val="000000"/>
                <w:sz w:val="24"/>
              </w:rPr>
            </w:pPr>
          </w:p>
        </w:tc>
      </w:tr>
      <w:tr>
        <w:tblPrEx>
          <w:tblW w:w="9606" w:type="dxa"/>
          <w:shd w:val="clear" w:color="auto" w:fill="FFFFFF"/>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tcPr>
          <w:p>
            <w:pPr>
              <w:spacing w:beforeAutospacing="0" w:after="0" w:afterAutospacing="0" w:line="240" w:lineRule="auto"/>
              <w:rPr>
                <w:rFonts w:ascii="Times New Roman" w:hAnsi="Times New Roman"/>
                <w:color w:val="000000"/>
                <w:sz w:val="24"/>
              </w:rPr>
            </w:pPr>
            <w:r>
              <w:rPr>
                <w:rFonts w:ascii="Times New Roman" w:hAnsi="Times New Roman"/>
                <w:color w:val="000000"/>
                <w:sz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hyperlink r:id="rId6">
              <w:r>
                <w:rPr>
                  <w:rStyle w:val="Hyperlink"/>
                  <w:rFonts w:ascii="Times New Roman" w:hAnsi="Times New Roman"/>
                  <w:color w:val="000000"/>
                  <w:sz w:val="24"/>
                  <w:u w:val="none"/>
                </w:rPr>
                <w:t>https://prozorro.sale/</w:t>
              </w:r>
            </w:hyperlink>
          </w:p>
          <w:p>
            <w:pPr>
              <w:spacing w:beforeAutospacing="0" w:after="0" w:afterAutospacing="0" w:line="240" w:lineRule="auto"/>
              <w:rPr>
                <w:rFonts w:ascii="Times New Roman" w:hAnsi="Times New Roman"/>
                <w:color w:val="000000"/>
                <w:sz w:val="24"/>
              </w:rPr>
            </w:pPr>
          </w:p>
        </w:tc>
      </w:tr>
    </w:tbl>
    <w:p>
      <w:pPr>
        <w:tabs>
          <w:tab w:val="left" w:pos="0"/>
          <w:tab w:val="left" w:pos="5760"/>
        </w:tabs>
        <w:jc w:val="both"/>
        <w:rPr>
          <w:rFonts w:ascii="Times New Roman" w:hAnsi="Times New Roman"/>
          <w:iCs/>
          <w:sz w:val="28"/>
          <w:szCs w:val="28"/>
        </w:rPr>
      </w:pPr>
    </w:p>
    <w:p>
      <w:pPr>
        <w:widowControl/>
        <w:tabs>
          <w:tab w:val="left" w:pos="6564"/>
        </w:tabs>
        <w:bidi w:val="0"/>
        <w:spacing w:after="120"/>
        <w:ind w:left="0" w:right="0"/>
        <w:jc w:val="left"/>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Міський голова                                                                           </w:t>
      </w:r>
      <w:r>
        <w:rPr>
          <w:rFonts w:ascii="Times New Roman" w:hAnsi="Times New Roman"/>
          <w:b w:val="0"/>
          <w:bCs w:val="0"/>
          <w:i w:val="0"/>
          <w:caps w:val="0"/>
          <w:strike w:val="0"/>
          <w:noProof w:val="0"/>
          <w:vanish w:val="0"/>
          <w:color w:val="auto"/>
          <w:sz w:val="28"/>
          <w:u w:val="none"/>
          <w:shd w:val="clear" w:color="auto" w:fill="auto"/>
          <w:vertAlign w:val="baseline"/>
          <w:lang w:val="x-none"/>
        </w:rPr>
        <w:t>Ігор САПОЖКО</w:t>
      </w:r>
    </w:p>
    <w:p>
      <w:pPr>
        <w:spacing w:beforeAutospacing="0" w:after="0" w:afterAutospacing="0"/>
        <w:ind w:left="142"/>
        <w:jc w:val="both"/>
        <w:rPr>
          <w:rFonts w:ascii="Times New Roman" w:hAnsi="Times New Roman"/>
          <w:iCs/>
          <w:sz w:val="28"/>
          <w:szCs w:val="28"/>
        </w:rPr>
      </w:pPr>
      <w:permEnd w:id="0"/>
    </w:p>
    <w:sectPr>
      <w:headerReference w:type="default" r:id="rId7"/>
      <w:footerReference w:type="default" r:id="rId8"/>
      <w:type w:val="nextPage"/>
      <w:pgSz w:w="11906" w:h="16838" w:code="0"/>
      <w:pgMar w:top="1135" w:right="707" w:bottom="993" w:left="1701" w:header="708" w:footer="708" w:gutter="0"/>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yperlink" Target="https://prozorro.sale/info/elektronni-majdanchiki-ets-prozorroprodazhi-cbd2" TargetMode="External" /><Relationship Id="rId6" Type="http://schemas.openxmlformats.org/officeDocument/2006/relationships/hyperlink" Target="https://prozorro.sa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39</cp:revision>
  <dcterms:created xsi:type="dcterms:W3CDTF">2021-08-31T06:42:00Z</dcterms:created>
  <dcterms:modified xsi:type="dcterms:W3CDTF">2024-01-10T15:04:24Z</dcterms:modified>
</cp:coreProperties>
</file>