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9A6B" w14:textId="77777777" w:rsidR="005B1C08" w:rsidRDefault="005B1C08" w:rsidP="005B1C0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EB4B1F1" w14:textId="77777777" w:rsidR="005B1C08" w:rsidRPr="00187C74" w:rsidRDefault="005B1C08" w:rsidP="005B1C08">
      <w:pPr>
        <w:spacing w:after="0"/>
        <w:ind w:left="567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1B57CC" w14:textId="77777777" w:rsidR="00187C74" w:rsidRPr="00187C74" w:rsidRDefault="00F6353E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C7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87C7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96599" w:rsidRPr="00187C7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96599" w:rsidRPr="00187C7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187C74" w:rsidRPr="00187C74">
        <w:rPr>
          <w:rFonts w:ascii="Times New Roman" w:hAnsi="Times New Roman" w:cs="Times New Roman"/>
          <w:b/>
          <w:sz w:val="28"/>
          <w:szCs w:val="28"/>
          <w:lang w:val="uk-UA"/>
        </w:rPr>
        <w:t>«Про доповнення до плану діяльності з підготовки</w:t>
      </w:r>
    </w:p>
    <w:p w14:paraId="15040082" w14:textId="79652449" w:rsidR="00187C74" w:rsidRPr="00187C74" w:rsidRDefault="00187C74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87C74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64F72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="00664F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регуляторних актів на 202</w:t>
      </w:r>
      <w:r w:rsidR="00B64C8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87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585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55943512" w14:textId="77777777" w:rsidR="00187C74" w:rsidRDefault="00187C7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C4D612" w14:textId="1A8683F8" w:rsidR="0074644B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58175D8" w14:textId="77777777" w:rsidR="00B77783" w:rsidRDefault="00B77783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544E8" w14:textId="77777777" w:rsidR="0074644B" w:rsidRPr="00827775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D41665A" w14:textId="6420094F" w:rsidR="00B366A5" w:rsidRDefault="007B5132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B366A5" w:rsidRPr="00FF53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отримання процедури прийняття регуляторних актів</w:t>
      </w:r>
      <w:r w:rsidR="009530C1" w:rsidRPr="00FF53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C12063F" w14:textId="77777777" w:rsidR="00B77783" w:rsidRDefault="00B77783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1005E04" w14:textId="77777777" w:rsidR="0074644B" w:rsidRPr="0070269F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5E0C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14:paraId="15728768" w14:textId="47A9050C" w:rsidR="00B77783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B7778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Метою прийняття даного </w:t>
      </w:r>
      <w:proofErr w:type="spellStart"/>
      <w:r w:rsidR="00B77783"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проєкту</w:t>
      </w:r>
      <w:proofErr w:type="spellEnd"/>
      <w:r w:rsidR="00B7778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є виконання вимог Закону України «Про засади державної регуляторної політики у сфері господарської діяльності» та забезпечення принципу прозорості державної регуляторної політики.</w:t>
      </w:r>
    </w:p>
    <w:p w14:paraId="3A337BC5" w14:textId="77777777" w:rsidR="00B77783" w:rsidRDefault="00B77783" w:rsidP="007464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EA5A4F3" w14:textId="77777777" w:rsidR="00F26110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5E0C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Правові аспекти </w:t>
      </w:r>
    </w:p>
    <w:p w14:paraId="33B5F8A3" w14:textId="28ACB88F" w:rsidR="00F26110" w:rsidRDefault="00F26110" w:rsidP="00A83EC0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7B513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281E6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A83EC0">
        <w:rPr>
          <w:rFonts w:ascii="Times New Roman" w:hAnsi="Times New Roman" w:cs="Times New Roman"/>
          <w:sz w:val="28"/>
          <w:szCs w:val="28"/>
          <w:lang w:val="uk-UA"/>
        </w:rPr>
        <w:t>, 13, 32</w:t>
      </w:r>
      <w:r w:rsidRPr="00281E6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 «Про засади  державної регуляторної політики у сфері господарської діяльності»</w:t>
      </w:r>
      <w:r w:rsidR="000F777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EC0" w:rsidRPr="00A83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пункт 7 частин</w:t>
      </w:r>
      <w:r w:rsidR="00B777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A83EC0" w:rsidRPr="00A83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 статті 26</w:t>
      </w:r>
      <w:r w:rsidR="000F7778" w:rsidRPr="00FF53C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0F7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31196C" w14:textId="77777777" w:rsidR="00B77783" w:rsidRDefault="00B77783" w:rsidP="00A83EC0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05084" w14:textId="77777777" w:rsidR="0074644B" w:rsidRPr="0070269F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7EDC6D8" w14:textId="55018ACD" w:rsidR="0074644B" w:rsidRPr="0070269F" w:rsidRDefault="0074644B" w:rsidP="007464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70269F"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</w:t>
      </w:r>
      <w:proofErr w:type="spellStart"/>
      <w:r w:rsidR="008E0693">
        <w:rPr>
          <w:rFonts w:ascii="Times New Roman" w:hAnsi="Times New Roman"/>
          <w:sz w:val="28"/>
          <w:szCs w:val="28"/>
          <w:lang w:val="uk-UA" w:eastAsia="zh-CN"/>
        </w:rPr>
        <w:t>проєкту</w:t>
      </w:r>
      <w:proofErr w:type="spellEnd"/>
      <w:r w:rsidR="008E069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0269F">
        <w:rPr>
          <w:rFonts w:ascii="Times New Roman" w:hAnsi="Times New Roman"/>
          <w:sz w:val="28"/>
          <w:szCs w:val="28"/>
          <w:lang w:val="uk-UA" w:eastAsia="zh-CN"/>
        </w:rPr>
        <w:t xml:space="preserve">рішення </w:t>
      </w:r>
      <w:r w:rsidR="008E0693">
        <w:rPr>
          <w:rFonts w:ascii="Times New Roman" w:hAnsi="Times New Roman"/>
          <w:sz w:val="28"/>
          <w:szCs w:val="28"/>
          <w:lang w:val="uk-UA" w:eastAsia="zh-CN"/>
        </w:rPr>
        <w:t>не потребує додаткових витрат з місцевого бюджету.</w:t>
      </w:r>
    </w:p>
    <w:p w14:paraId="40EB9480" w14:textId="77777777" w:rsidR="00B77783" w:rsidRDefault="00B77783" w:rsidP="007464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77F24613" w14:textId="77777777" w:rsidR="0074644B" w:rsidRPr="0070269F" w:rsidRDefault="0074644B" w:rsidP="00D628E5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24773F9D" w14:textId="486B9F1F" w:rsidR="00824F9A" w:rsidRDefault="00D53FD3" w:rsidP="008043B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</w:t>
      </w:r>
      <w:r w:rsidR="008043B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безпечення максимальної відкритості процесу регуляторної діяльності та дотримання єдиного підходу до підготовки </w:t>
      </w:r>
      <w:r w:rsidR="00824F9A">
        <w:rPr>
          <w:rFonts w:ascii="Times New Roman" w:hAnsi="Times New Roman"/>
          <w:color w:val="000000"/>
          <w:sz w:val="28"/>
          <w:szCs w:val="28"/>
          <w:lang w:val="uk-UA" w:eastAsia="zh-CN"/>
        </w:rPr>
        <w:t>та розробки регуляторних актів, п</w:t>
      </w:r>
      <w:r w:rsidR="008043B6">
        <w:rPr>
          <w:rFonts w:ascii="Times New Roman" w:hAnsi="Times New Roman"/>
          <w:color w:val="000000"/>
          <w:sz w:val="28"/>
          <w:szCs w:val="28"/>
          <w:lang w:val="uk-UA" w:eastAsia="zh-CN"/>
        </w:rPr>
        <w:t>розорість та публічність регуляторних процесів, врахування громадської думки на всіх  етапах регуляторної діяльності, розгляд ініціатив, зауважень і пропозицій, наданих у встановленому Законом порядку фізичними та юридичними особами, їх об’єднаннями</w:t>
      </w:r>
      <w:r w:rsidR="00824F9A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F400C0D" w14:textId="77777777" w:rsidR="00B77783" w:rsidRDefault="00B77783" w:rsidP="00D628E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DD0357E" w14:textId="207F5080" w:rsidR="006E6A47" w:rsidRDefault="005F334B" w:rsidP="00D628E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EA1D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07A0D2E2" w14:textId="77777777" w:rsidR="006E6A47" w:rsidRDefault="00DC3791" w:rsidP="00BF7D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Доповідач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проє</w:t>
      </w:r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>кту</w:t>
      </w:r>
      <w:proofErr w:type="spellEnd"/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 xml:space="preserve"> рішення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FC6CCBE" w14:textId="6656C979" w:rsidR="006E6A47" w:rsidRPr="006E6A47" w:rsidRDefault="00F41189" w:rsidP="00BF7D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</w:t>
      </w:r>
      <w:r w:rsidR="00F129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6A47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>
        <w:rPr>
          <w:rFonts w:ascii="Times New Roman" w:hAnsi="Times New Roman"/>
          <w:sz w:val="28"/>
          <w:szCs w:val="28"/>
          <w:lang w:val="uk-UA"/>
        </w:rPr>
        <w:t>Григорівна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1291C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 управління економіки та інвестицій </w:t>
      </w:r>
      <w:r w:rsidR="006E6A47">
        <w:rPr>
          <w:rFonts w:ascii="Times New Roman" w:hAnsi="Times New Roman"/>
          <w:sz w:val="28"/>
          <w:szCs w:val="28"/>
          <w:lang w:val="uk-UA"/>
        </w:rPr>
        <w:t>виконавчого комітету Броварської міської ради Бровар</w:t>
      </w:r>
      <w:r w:rsidR="004C6CAF">
        <w:rPr>
          <w:rFonts w:ascii="Times New Roman" w:hAnsi="Times New Roman"/>
          <w:sz w:val="28"/>
          <w:szCs w:val="28"/>
          <w:lang w:val="uk-UA"/>
        </w:rPr>
        <w:t>ського району Київської області (</w:t>
      </w:r>
      <w:proofErr w:type="spellStart"/>
      <w:r w:rsidR="0029645B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29645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4AEF">
        <w:rPr>
          <w:rFonts w:ascii="Times New Roman" w:hAnsi="Times New Roman"/>
          <w:sz w:val="28"/>
          <w:szCs w:val="28"/>
          <w:lang w:val="uk-UA"/>
        </w:rPr>
        <w:t>6-09-45</w:t>
      </w:r>
      <w:r w:rsidR="004C6CAF">
        <w:rPr>
          <w:rFonts w:ascii="Times New Roman" w:hAnsi="Times New Roman"/>
          <w:sz w:val="28"/>
          <w:szCs w:val="28"/>
          <w:lang w:val="uk-UA"/>
        </w:rPr>
        <w:t>)</w:t>
      </w:r>
      <w:r w:rsidR="006E6A47">
        <w:rPr>
          <w:rFonts w:ascii="Times New Roman" w:hAnsi="Times New Roman"/>
          <w:sz w:val="28"/>
          <w:szCs w:val="28"/>
          <w:lang w:val="uk-UA"/>
        </w:rPr>
        <w:t>.</w:t>
      </w:r>
    </w:p>
    <w:p w14:paraId="48A9680B" w14:textId="77777777" w:rsidR="006E6A47" w:rsidRPr="006E6A47" w:rsidRDefault="00F1291C" w:rsidP="00BF7DE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проє</w:t>
      </w:r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>кту</w:t>
      </w:r>
      <w:proofErr w:type="spellEnd"/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 xml:space="preserve"> рішення</w:t>
      </w:r>
      <w:r w:rsidR="006E6A47">
        <w:rPr>
          <w:rFonts w:ascii="Times New Roman" w:hAnsi="Times New Roman"/>
          <w:i/>
          <w:sz w:val="28"/>
          <w:szCs w:val="28"/>
          <w:lang w:val="uk-UA"/>
        </w:rPr>
        <w:t>:</w:t>
      </w:r>
    </w:p>
    <w:p w14:paraId="260951BA" w14:textId="3E925D71" w:rsidR="006E6A47" w:rsidRPr="006E6A47" w:rsidRDefault="006E6A47" w:rsidP="00BF7D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6A47">
        <w:rPr>
          <w:rFonts w:ascii="Times New Roman" w:hAnsi="Times New Roman"/>
          <w:sz w:val="28"/>
          <w:szCs w:val="28"/>
          <w:lang w:val="uk-UA"/>
        </w:rPr>
        <w:t xml:space="preserve">Максимчук Олена Миколаївна </w:t>
      </w:r>
      <w:r>
        <w:rPr>
          <w:rFonts w:ascii="Times New Roman" w:hAnsi="Times New Roman"/>
          <w:sz w:val="28"/>
          <w:szCs w:val="28"/>
          <w:lang w:val="uk-UA"/>
        </w:rPr>
        <w:t>– головний спеціаліст відділу формування бізнес – клімату управління економіки та інвестицій виконавчого комітету Броварської міської ради Бровар</w:t>
      </w:r>
      <w:r w:rsidR="004C0B2A">
        <w:rPr>
          <w:rFonts w:ascii="Times New Roman" w:hAnsi="Times New Roman"/>
          <w:sz w:val="28"/>
          <w:szCs w:val="28"/>
          <w:lang w:val="uk-UA"/>
        </w:rPr>
        <w:t>ського району Київської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4AEF">
        <w:rPr>
          <w:rFonts w:ascii="Times New Roman" w:hAnsi="Times New Roman"/>
          <w:sz w:val="28"/>
          <w:szCs w:val="28"/>
          <w:lang w:val="uk-UA"/>
        </w:rPr>
        <w:t>6-16-55</w:t>
      </w:r>
      <w:r w:rsidR="004C0B2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E81B166" w14:textId="77777777" w:rsidR="00B77783" w:rsidRDefault="00B77783" w:rsidP="005F334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7E1B1E" w14:textId="19CDFD78" w:rsidR="005F334B" w:rsidRPr="00827775" w:rsidRDefault="005F334B" w:rsidP="005F334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lastRenderedPageBreak/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r w:rsidR="0082777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2E31DC5" w14:textId="77777777" w:rsidR="00C217DD" w:rsidRPr="00C217DD" w:rsidRDefault="00C217DD" w:rsidP="008475D2">
      <w:pPr>
        <w:pStyle w:val="a5"/>
        <w:rPr>
          <w:rFonts w:ascii="Times New Roman" w:hAnsi="Times New Roman" w:cs="Times New Roman"/>
          <w:lang w:val="uk-UA"/>
        </w:rPr>
      </w:pPr>
      <w:r w:rsidRPr="00C217DD">
        <w:rPr>
          <w:rFonts w:ascii="Times New Roman" w:hAnsi="Times New Roman" w:cs="Times New Roman"/>
          <w:lang w:val="uk-UA"/>
        </w:rPr>
        <w:t xml:space="preserve">                                                                     </w:t>
      </w:r>
      <w:r w:rsidRPr="00C217DD">
        <w:rPr>
          <w:rFonts w:ascii="Times New Roman" w:hAnsi="Times New Roman" w:cs="Times New Roman"/>
          <w:lang w:val="uk-UA"/>
        </w:rPr>
        <w:tab/>
        <w:t xml:space="preserve">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686"/>
      </w:tblGrid>
      <w:tr w:rsidR="00AA1DEC" w:rsidRPr="001F6838" w14:paraId="1D2BC86C" w14:textId="77777777" w:rsidTr="001F6838">
        <w:trPr>
          <w:trHeight w:val="4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088" w14:textId="77777777" w:rsidR="00AA1DEC" w:rsidRPr="001F6838" w:rsidRDefault="00AA1DEC" w:rsidP="006E6D9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Включено в план</w:t>
            </w:r>
          </w:p>
          <w:p w14:paraId="3AF345D0" w14:textId="77777777" w:rsidR="00AA1DEC" w:rsidRPr="001F6838" w:rsidRDefault="00AA1DEC" w:rsidP="0085668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F53" w14:textId="77777777" w:rsidR="002C548B" w:rsidRPr="001F6838" w:rsidRDefault="002C548B" w:rsidP="002C54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Планується доповнити план</w:t>
            </w:r>
          </w:p>
          <w:p w14:paraId="5D54E6EC" w14:textId="77777777" w:rsidR="00AA1DEC" w:rsidRPr="001F6838" w:rsidRDefault="002C548B" w:rsidP="002C54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рішення)</w:t>
            </w:r>
          </w:p>
        </w:tc>
      </w:tr>
      <w:tr w:rsidR="00C201B2" w:rsidRPr="001F6838" w14:paraId="6A48111C" w14:textId="77777777" w:rsidTr="001F6838">
        <w:trPr>
          <w:trHeight w:val="4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630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1</w:t>
            </w: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«Про затвердження Порядку розміщення</w:t>
            </w:r>
          </w:p>
          <w:p w14:paraId="15BC9FA5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об’єктів зовнішньої реклами на території</w:t>
            </w:r>
          </w:p>
          <w:p w14:paraId="00452854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Броварської міської територіальної</w:t>
            </w:r>
          </w:p>
          <w:p w14:paraId="7828D882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громади Броварського району Київської</w:t>
            </w:r>
          </w:p>
          <w:p w14:paraId="5206E3B2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області»</w:t>
            </w: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(рішення Броварської міської ради Броварського району Київської області від 30.11.2023 № 1388-59-08)</w:t>
            </w:r>
          </w:p>
          <w:p w14:paraId="6D59FE40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  за  розробку:</w:t>
            </w:r>
          </w:p>
          <w:p w14:paraId="307BCE3E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містобудування та архітектури</w:t>
            </w:r>
          </w:p>
          <w:p w14:paraId="18A3F711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виконавчого комітету Броварської міської ради Броварського району Київської області.</w:t>
            </w:r>
          </w:p>
          <w:p w14:paraId="654A1925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6B395B4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2. «Про затвердження Правил утримання домашніх тварин на території Броварської міської територіальної громади»</w:t>
            </w: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(рішення Броварської міської ради Броварського району Київської області від 30.11.2023 № 1388-59-08)</w:t>
            </w:r>
          </w:p>
          <w:p w14:paraId="1282FE7F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 за  розробку:</w:t>
            </w:r>
          </w:p>
          <w:p w14:paraId="466A1B63" w14:textId="4C3A1662" w:rsidR="00C201B2" w:rsidRPr="001F6838" w:rsidRDefault="00C201B2" w:rsidP="00C201B2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області.</w:t>
            </w:r>
          </w:p>
          <w:p w14:paraId="6FA98937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3. «Про затвердження Примірного договору оренди комунального майна Броварської міської територіальної громади»</w:t>
            </w: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(рішення Броварської міської ради Броварського району Київської області від 30.11.2023 № 1388-59-08)</w:t>
            </w:r>
          </w:p>
          <w:p w14:paraId="56020488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за  розробку:</w:t>
            </w:r>
          </w:p>
          <w:p w14:paraId="2674B17F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  <w:p w14:paraId="65CA11AD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</w:p>
          <w:p w14:paraId="14151110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 xml:space="preserve">4. «Про затвердження Методики розрахунку і порядку використання плати за оренду комунального майна Броварської міської територіальної громади» </w:t>
            </w: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(рішення Броварської міської ради Броварського району Київської області від 30.11.2023 № 1388-59-08)</w:t>
            </w:r>
          </w:p>
          <w:p w14:paraId="073C45EB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за  розробку:</w:t>
            </w:r>
          </w:p>
          <w:p w14:paraId="2E52F734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  <w:p w14:paraId="3FE24D86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</w:p>
          <w:p w14:paraId="67C4DA08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5. «Про затвердження Правил паркування</w:t>
            </w:r>
          </w:p>
          <w:p w14:paraId="05ED4245" w14:textId="0D0A9091" w:rsidR="00C201B2" w:rsidRPr="001F6838" w:rsidRDefault="0070269F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т</w:t>
            </w:r>
            <w:r w:rsidR="00C201B2"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 xml:space="preserve">ранспортних засобів на території Броварської </w:t>
            </w:r>
            <w:r w:rsidR="00C201B2"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lastRenderedPageBreak/>
              <w:t xml:space="preserve">міської територіальної громади»  </w:t>
            </w:r>
            <w:r w:rsidR="00C201B2"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(рішення Броварської міської ради Броварського району Київської області від 30.11.2023 № 1388-59-08)</w:t>
            </w:r>
          </w:p>
          <w:p w14:paraId="7A1410FA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за  розробку:</w:t>
            </w: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18ED0F67" w14:textId="64F5DAB1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інспекції та контролю Броварської міської ради Броварського району Київської області</w:t>
            </w:r>
            <w:r w:rsidR="00AD0A40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CE8" w14:textId="77777777" w:rsidR="00C201B2" w:rsidRPr="001F6838" w:rsidRDefault="00C201B2" w:rsidP="00C021FC">
            <w:pPr>
              <w:pStyle w:val="a7"/>
              <w:numPr>
                <w:ilvl w:val="0"/>
                <w:numId w:val="10"/>
              </w:numPr>
              <w:tabs>
                <w:tab w:val="left" w:pos="179"/>
              </w:tabs>
              <w:spacing w:after="0" w:line="240" w:lineRule="auto"/>
              <w:ind w:left="0" w:hanging="10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</w:pPr>
            <w:r w:rsidRPr="001F68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en-US"/>
              </w:rPr>
              <w:lastRenderedPageBreak/>
              <w:t>«Про встановлення ставок орендної плати за земельні ділянки на території Броварської міської територіальної громади»</w:t>
            </w:r>
          </w:p>
          <w:p w14:paraId="45595CDC" w14:textId="6C08D56A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Відповідальний  за </w:t>
            </w:r>
            <w:r w:rsidR="002126A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</w:t>
            </w: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озробку:</w:t>
            </w:r>
          </w:p>
          <w:p w14:paraId="104C2FD4" w14:textId="77777777" w:rsidR="00C201B2" w:rsidRPr="001F6838" w:rsidRDefault="00C201B2" w:rsidP="00C201B2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1F683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Управління земельних ресурсів виконавчого комітету  Броварської міської ради Броварського району Київської області.</w:t>
            </w:r>
          </w:p>
          <w:p w14:paraId="55D38B91" w14:textId="77777777" w:rsidR="00C201B2" w:rsidRPr="001F6838" w:rsidRDefault="00C201B2" w:rsidP="00C201B2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  <w:p w14:paraId="2F9E1251" w14:textId="77777777" w:rsidR="00C201B2" w:rsidRPr="001F6838" w:rsidRDefault="00C201B2" w:rsidP="00C201B2">
            <w:pPr>
              <w:pStyle w:val="a5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en-US"/>
              </w:rPr>
            </w:pPr>
            <w:r w:rsidRPr="001F6838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2. </w:t>
            </w:r>
            <w:r w:rsidRPr="001F68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en-US"/>
              </w:rPr>
              <w:t>«Про затвердження Порядку передачі в оренду комунального майна Броварської міської територіальної громади»</w:t>
            </w:r>
          </w:p>
          <w:p w14:paraId="5E3182B1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за розробку:</w:t>
            </w:r>
          </w:p>
          <w:p w14:paraId="5974A0C2" w14:textId="2C6FB544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</w:tc>
      </w:tr>
    </w:tbl>
    <w:p w14:paraId="5AAA604C" w14:textId="77777777" w:rsidR="00525C68" w:rsidRPr="001F6838" w:rsidRDefault="00525C68" w:rsidP="00330E6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</w:p>
    <w:p w14:paraId="1123E5A7" w14:textId="77777777" w:rsidR="00B77783" w:rsidRDefault="00664F72" w:rsidP="00330E6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</w:t>
      </w:r>
    </w:p>
    <w:p w14:paraId="60D9852A" w14:textId="77777777" w:rsidR="00B77783" w:rsidRDefault="00B77783" w:rsidP="00330E6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B4DECAA" w14:textId="292DE5E7" w:rsidR="00664F72" w:rsidRDefault="00664F72" w:rsidP="009121BD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Начальник управління економіки                                </w:t>
      </w:r>
      <w:r w:rsidR="00C666F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</w:t>
      </w:r>
      <w:r w:rsidR="00DF4E3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Тетяна </w:t>
      </w:r>
      <w:r w:rsidR="00C36E35">
        <w:rPr>
          <w:rFonts w:ascii="Times New Roman" w:hAnsi="Times New Roman"/>
          <w:color w:val="000000"/>
          <w:sz w:val="28"/>
          <w:szCs w:val="28"/>
          <w:lang w:val="uk-UA" w:eastAsia="zh-CN"/>
        </w:rPr>
        <w:t>ПОЛІЩУК</w:t>
      </w:r>
    </w:p>
    <w:p w14:paraId="7F7D036C" w14:textId="23C908FF" w:rsidR="0036449F" w:rsidRPr="0036449F" w:rsidRDefault="00664F72" w:rsidP="009121BD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та інвестицій</w:t>
      </w:r>
    </w:p>
    <w:sectPr w:rsidR="0036449F" w:rsidRPr="0036449F" w:rsidSect="001F683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39"/>
        </w:tabs>
        <w:ind w:left="63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83"/>
        </w:tabs>
        <w:ind w:left="78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27"/>
        </w:tabs>
        <w:ind w:left="92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15"/>
        </w:tabs>
        <w:ind w:left="121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59"/>
        </w:tabs>
        <w:ind w:left="135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03"/>
        </w:tabs>
        <w:ind w:left="150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47"/>
        </w:tabs>
        <w:ind w:left="164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91"/>
        </w:tabs>
        <w:ind w:left="1791" w:hanging="1584"/>
      </w:pPr>
    </w:lvl>
  </w:abstractNum>
  <w:abstractNum w:abstractNumId="1" w15:restartNumberingAfterBreak="0">
    <w:nsid w:val="067B3BCA"/>
    <w:multiLevelType w:val="hybridMultilevel"/>
    <w:tmpl w:val="D278EA72"/>
    <w:lvl w:ilvl="0" w:tplc="9BC67F1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140"/>
    <w:multiLevelType w:val="hybridMultilevel"/>
    <w:tmpl w:val="CB284D44"/>
    <w:lvl w:ilvl="0" w:tplc="53DA52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2B3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6BC8"/>
    <w:multiLevelType w:val="hybridMultilevel"/>
    <w:tmpl w:val="645EEB08"/>
    <w:lvl w:ilvl="0" w:tplc="312268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68E2"/>
    <w:multiLevelType w:val="hybridMultilevel"/>
    <w:tmpl w:val="6EFA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02FBF"/>
    <w:multiLevelType w:val="hybridMultilevel"/>
    <w:tmpl w:val="9DD8E94E"/>
    <w:lvl w:ilvl="0" w:tplc="212861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1D9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515B"/>
    <w:multiLevelType w:val="hybridMultilevel"/>
    <w:tmpl w:val="BF4A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837C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3697"/>
    <w:rsid w:val="00003D55"/>
    <w:rsid w:val="00005C49"/>
    <w:rsid w:val="00007205"/>
    <w:rsid w:val="00086AAE"/>
    <w:rsid w:val="00092175"/>
    <w:rsid w:val="00093FA0"/>
    <w:rsid w:val="000A1F8A"/>
    <w:rsid w:val="000A2C97"/>
    <w:rsid w:val="000B6B2A"/>
    <w:rsid w:val="000B730C"/>
    <w:rsid w:val="000C29EA"/>
    <w:rsid w:val="000F7778"/>
    <w:rsid w:val="00137813"/>
    <w:rsid w:val="00142966"/>
    <w:rsid w:val="0017271E"/>
    <w:rsid w:val="00187C74"/>
    <w:rsid w:val="001924BB"/>
    <w:rsid w:val="00196B96"/>
    <w:rsid w:val="001A05A0"/>
    <w:rsid w:val="001A3FF0"/>
    <w:rsid w:val="001B2C08"/>
    <w:rsid w:val="001C23D6"/>
    <w:rsid w:val="001C4A5C"/>
    <w:rsid w:val="001D6D4F"/>
    <w:rsid w:val="001F0ED0"/>
    <w:rsid w:val="001F6838"/>
    <w:rsid w:val="00202D0A"/>
    <w:rsid w:val="002126AB"/>
    <w:rsid w:val="00221FE5"/>
    <w:rsid w:val="00230E36"/>
    <w:rsid w:val="00233A70"/>
    <w:rsid w:val="00237730"/>
    <w:rsid w:val="00244FF9"/>
    <w:rsid w:val="00247B14"/>
    <w:rsid w:val="002506B3"/>
    <w:rsid w:val="00254A5A"/>
    <w:rsid w:val="00264E63"/>
    <w:rsid w:val="00281E6F"/>
    <w:rsid w:val="00283726"/>
    <w:rsid w:val="0029645B"/>
    <w:rsid w:val="002B4AEF"/>
    <w:rsid w:val="002B4C02"/>
    <w:rsid w:val="002C548B"/>
    <w:rsid w:val="002C706E"/>
    <w:rsid w:val="002C761E"/>
    <w:rsid w:val="002D23B8"/>
    <w:rsid w:val="00304659"/>
    <w:rsid w:val="003136B2"/>
    <w:rsid w:val="003238BF"/>
    <w:rsid w:val="00330E6B"/>
    <w:rsid w:val="00344397"/>
    <w:rsid w:val="00347E6B"/>
    <w:rsid w:val="003516D3"/>
    <w:rsid w:val="00357B10"/>
    <w:rsid w:val="003613A9"/>
    <w:rsid w:val="00361CD8"/>
    <w:rsid w:val="0036449F"/>
    <w:rsid w:val="0038362E"/>
    <w:rsid w:val="003A493A"/>
    <w:rsid w:val="003A4B69"/>
    <w:rsid w:val="003B084C"/>
    <w:rsid w:val="004254F9"/>
    <w:rsid w:val="0044257B"/>
    <w:rsid w:val="00446A42"/>
    <w:rsid w:val="00461A19"/>
    <w:rsid w:val="00482047"/>
    <w:rsid w:val="004C0B2A"/>
    <w:rsid w:val="004C6CAF"/>
    <w:rsid w:val="004E4CB9"/>
    <w:rsid w:val="00501665"/>
    <w:rsid w:val="005118DE"/>
    <w:rsid w:val="00513B16"/>
    <w:rsid w:val="0052006D"/>
    <w:rsid w:val="00525C68"/>
    <w:rsid w:val="00526268"/>
    <w:rsid w:val="00537E4A"/>
    <w:rsid w:val="0055052D"/>
    <w:rsid w:val="0055514F"/>
    <w:rsid w:val="0056297F"/>
    <w:rsid w:val="00583413"/>
    <w:rsid w:val="00585620"/>
    <w:rsid w:val="005902CA"/>
    <w:rsid w:val="005B1C08"/>
    <w:rsid w:val="005C55E6"/>
    <w:rsid w:val="005D5EAF"/>
    <w:rsid w:val="005E0C35"/>
    <w:rsid w:val="005E1D88"/>
    <w:rsid w:val="005F334B"/>
    <w:rsid w:val="005F3AB5"/>
    <w:rsid w:val="005F704A"/>
    <w:rsid w:val="00625B6C"/>
    <w:rsid w:val="00633F1F"/>
    <w:rsid w:val="006361C2"/>
    <w:rsid w:val="00664F72"/>
    <w:rsid w:val="00671C2F"/>
    <w:rsid w:val="00696599"/>
    <w:rsid w:val="006B3ED9"/>
    <w:rsid w:val="006C396C"/>
    <w:rsid w:val="006C47BB"/>
    <w:rsid w:val="006D53BD"/>
    <w:rsid w:val="006E6A47"/>
    <w:rsid w:val="006E6D91"/>
    <w:rsid w:val="006F6FE4"/>
    <w:rsid w:val="0070269F"/>
    <w:rsid w:val="007349A7"/>
    <w:rsid w:val="00735EBA"/>
    <w:rsid w:val="0074644B"/>
    <w:rsid w:val="00755193"/>
    <w:rsid w:val="00775F26"/>
    <w:rsid w:val="00784FE0"/>
    <w:rsid w:val="007B5132"/>
    <w:rsid w:val="007C23E5"/>
    <w:rsid w:val="007C25B5"/>
    <w:rsid w:val="007E5FC6"/>
    <w:rsid w:val="007F4720"/>
    <w:rsid w:val="008043B6"/>
    <w:rsid w:val="008060D4"/>
    <w:rsid w:val="00816F8D"/>
    <w:rsid w:val="00824F9A"/>
    <w:rsid w:val="00827775"/>
    <w:rsid w:val="008475D2"/>
    <w:rsid w:val="00856680"/>
    <w:rsid w:val="00874130"/>
    <w:rsid w:val="008746DC"/>
    <w:rsid w:val="00897CE8"/>
    <w:rsid w:val="008A51AC"/>
    <w:rsid w:val="008C479C"/>
    <w:rsid w:val="008D2C9D"/>
    <w:rsid w:val="008E0693"/>
    <w:rsid w:val="008E0C43"/>
    <w:rsid w:val="009121BD"/>
    <w:rsid w:val="0092648C"/>
    <w:rsid w:val="009458E2"/>
    <w:rsid w:val="009530C1"/>
    <w:rsid w:val="009615E1"/>
    <w:rsid w:val="00972282"/>
    <w:rsid w:val="00981B55"/>
    <w:rsid w:val="009D6E61"/>
    <w:rsid w:val="009E325D"/>
    <w:rsid w:val="009F3E1A"/>
    <w:rsid w:val="009F4878"/>
    <w:rsid w:val="00A17382"/>
    <w:rsid w:val="00A2035B"/>
    <w:rsid w:val="00A218AE"/>
    <w:rsid w:val="00A72078"/>
    <w:rsid w:val="00A83EC0"/>
    <w:rsid w:val="00A91B92"/>
    <w:rsid w:val="00AA1DEC"/>
    <w:rsid w:val="00AD0A40"/>
    <w:rsid w:val="00AD2577"/>
    <w:rsid w:val="00B1725A"/>
    <w:rsid w:val="00B35D4C"/>
    <w:rsid w:val="00B366A5"/>
    <w:rsid w:val="00B60D6F"/>
    <w:rsid w:val="00B64C8D"/>
    <w:rsid w:val="00B72B23"/>
    <w:rsid w:val="00B75BC0"/>
    <w:rsid w:val="00B77783"/>
    <w:rsid w:val="00B77E61"/>
    <w:rsid w:val="00B77EE4"/>
    <w:rsid w:val="00BF7DEF"/>
    <w:rsid w:val="00C021FC"/>
    <w:rsid w:val="00C201B2"/>
    <w:rsid w:val="00C217DD"/>
    <w:rsid w:val="00C31183"/>
    <w:rsid w:val="00C36E35"/>
    <w:rsid w:val="00C46C25"/>
    <w:rsid w:val="00C666FA"/>
    <w:rsid w:val="00CA1B98"/>
    <w:rsid w:val="00CC3C1F"/>
    <w:rsid w:val="00CC57F9"/>
    <w:rsid w:val="00D244B2"/>
    <w:rsid w:val="00D24E98"/>
    <w:rsid w:val="00D34075"/>
    <w:rsid w:val="00D416F1"/>
    <w:rsid w:val="00D53FD3"/>
    <w:rsid w:val="00D543F8"/>
    <w:rsid w:val="00D6248B"/>
    <w:rsid w:val="00D628E5"/>
    <w:rsid w:val="00D92C45"/>
    <w:rsid w:val="00DC3791"/>
    <w:rsid w:val="00DC5C07"/>
    <w:rsid w:val="00DF4E34"/>
    <w:rsid w:val="00E112F3"/>
    <w:rsid w:val="00E12A92"/>
    <w:rsid w:val="00E27805"/>
    <w:rsid w:val="00E423AD"/>
    <w:rsid w:val="00E53C52"/>
    <w:rsid w:val="00EA1D8E"/>
    <w:rsid w:val="00EA20C8"/>
    <w:rsid w:val="00EE77DA"/>
    <w:rsid w:val="00F04EC8"/>
    <w:rsid w:val="00F05F64"/>
    <w:rsid w:val="00F0658F"/>
    <w:rsid w:val="00F1291C"/>
    <w:rsid w:val="00F12B1A"/>
    <w:rsid w:val="00F26110"/>
    <w:rsid w:val="00F41189"/>
    <w:rsid w:val="00F45CD7"/>
    <w:rsid w:val="00F6353E"/>
    <w:rsid w:val="00F71FA8"/>
    <w:rsid w:val="00FC61EB"/>
    <w:rsid w:val="00FD68E3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EB42"/>
  <w15:docId w15:val="{F72BF34D-59F8-4128-8602-1912ADD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1B2"/>
  </w:style>
  <w:style w:type="paragraph" w:styleId="2">
    <w:name w:val="heading 2"/>
    <w:basedOn w:val="a"/>
    <w:next w:val="a"/>
    <w:link w:val="20"/>
    <w:semiHidden/>
    <w:unhideWhenUsed/>
    <w:qFormat/>
    <w:rsid w:val="004820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217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482047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styleId="a6">
    <w:name w:val="Emphasis"/>
    <w:basedOn w:val="a0"/>
    <w:uiPriority w:val="20"/>
    <w:qFormat/>
    <w:rsid w:val="00482047"/>
    <w:rPr>
      <w:i/>
      <w:iCs/>
    </w:rPr>
  </w:style>
  <w:style w:type="paragraph" w:styleId="a7">
    <w:name w:val="List Paragraph"/>
    <w:basedOn w:val="a"/>
    <w:uiPriority w:val="34"/>
    <w:qFormat/>
    <w:rsid w:val="00F71F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A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187</cp:revision>
  <cp:lastPrinted>2024-01-25T12:28:00Z</cp:lastPrinted>
  <dcterms:created xsi:type="dcterms:W3CDTF">2021-03-03T14:03:00Z</dcterms:created>
  <dcterms:modified xsi:type="dcterms:W3CDTF">2024-02-05T13:15:00Z</dcterms:modified>
</cp:coreProperties>
</file>