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ПВ-214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ПОЛОЖЕННЯ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про забезпечення санаторно – курортним лікуванням </w:t>
      </w:r>
      <w:bookmarkStart w:id="1" w:name="_Hlk158645011"/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ветеранів війни та праці, осіб з інвалідністю,</w:t>
      </w: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учасників революції Гідності та борців за незалежність  України у ХХ столітті  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End w:id="1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  Загальні положення </w:t>
      </w:r>
    </w:p>
    <w:p>
      <w:pPr>
        <w:widowControl/>
        <w:tabs>
          <w:tab w:val="left" w:pos="284"/>
        </w:tabs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1.1. Це Положення визначає умови та порядок забезпечення санаторно- курортним лікуванням ветеранів війни та праці, осіб з інвалідністю</w:t>
      </w:r>
      <w:bookmarkStart w:id="2" w:name="_Hlk158644512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учасників революції Гідності та борців за незалежність України у ХХ столітті    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End w:id="2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1.2. Положення розроблено відповідно до </w:t>
      </w:r>
      <w:hyperlink r:id="rId4">
        <w:r>
          <w:rPr>
            <w:rFonts w:ascii="Times New Roman" w:hAnsi="Times New Roman"/>
            <w:b w:val="0"/>
            <w:bCs w:val="0"/>
            <w:i w:val="0"/>
            <w:caps w:val="0"/>
            <w:noProof w:val="0"/>
            <w:vanish w:val="0"/>
            <w:color w:val="auto"/>
            <w:sz w:val="28"/>
            <w:u w:val="none"/>
            <w:shd w:val="clear" w:color="auto" w:fill="auto"/>
            <w:vertAlign w:val="baseline"/>
            <w:lang w:val="x-none"/>
          </w:rPr>
          <w:t>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</w:r>
      </w:hyperlink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, затвердженого постановою Кабінету Міністрів України від 22.02.2006р.№187, на виконання підпункту 6.3. пункту VI  програми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 </w:t>
      </w:r>
      <w:hyperlink r:id="rId5">
        <w:r>
          <w:rPr>
            <w:rStyle w:val="Hyperlink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«З турботою про кожного» на 2024-2026 роки</w:t>
        </w:r>
      </w:hyperlink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FFFFFF"/>
          <w:vertAlign w:val="baseline"/>
          <w:lang w:val="x-none"/>
        </w:rPr>
        <w:t>, затвердженої рішенням Броварської міської ради Броварського району  Київської області від 21.12.2023 р. №1439-61-08 "Про затвердження  програми «З турботою про кожного» на 2024-2026 роки"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1.3. Санаторно – курортним лікуванням за рахунок коштів, передбачених у  місцевому бюджеті,   забезпечуються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ветерани війни та праці, особи з інвалідністю,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учасники  революції Гідності та борці за незалежність  України у </w:t>
      </w:r>
      <w:bookmarkStart w:id="3" w:name="_Hlk158645421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ХХ столітті </w:t>
      </w:r>
      <w:bookmarkEnd w:id="3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(далі-особи).      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1.4. Забезпечення санаторно-курортним лікуванням осіб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здійснюється шляхом безготівкового перерахування коштів санаторно-курортним закладам, які мають ліцензію  на провадження господарської діяльності з медичної практики, за надані послуги на підставі  актів приймання - передачі 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>
      <w:pPr>
        <w:widowControl/>
        <w:tabs>
          <w:tab w:val="left" w:pos="993"/>
        </w:tabs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1.5. Гранична вартість путівки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для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забезпечення санаторно-курортним лікуванням учасників бойових дій, </w:t>
      </w:r>
      <w:bookmarkStart w:id="4" w:name="_Hlk158647043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учасників війни, учасників революції Гідності, борців за незалежність України у ХХ столітті,</w:t>
      </w:r>
      <w:bookmarkEnd w:id="4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ветеранів праці становить – 18000,00 грн.(1000,00 грн. за один ліжко-день ) </w:t>
      </w:r>
      <w:bookmarkStart w:id="5" w:name="_Hlk158645846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з  податком на додану вартість;</w:t>
      </w:r>
      <w:bookmarkEnd w:id="5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для осіб з інвалідністю усіх категорій – 14400,00 грн.(800,00 грн.за один ліжко-день) без  податку  на додану вартість.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2.  Порядок забезпечення санаторно-курортним лікуванням.</w:t>
      </w:r>
    </w:p>
    <w:p>
      <w:pPr>
        <w:widowControl/>
        <w:tabs>
          <w:tab w:val="left" w:pos="284"/>
          <w:tab w:val="left" w:pos="426"/>
        </w:tabs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2.1.  Санаторно-курортним лікуванням,  відповідно до цього Порядку,  в межах виділених коштів згідно з медичними рекомендаціями в порядку черговості забезпечуються:</w:t>
      </w:r>
    </w:p>
    <w:p>
      <w:pPr>
        <w:widowControl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особи з інвалідністю усіх категорій  строком на 18 днів;</w:t>
      </w:r>
    </w:p>
    <w:p>
      <w:pPr>
        <w:widowControl/>
        <w:bidi w:val="0"/>
        <w:spacing w:beforeAutospacing="0" w:after="0" w:afterAutospacing="0"/>
        <w:ind w:left="0" w:right="0" w:firstLine="295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учасники бойових дій, ветерани праці строком на 18 днів;</w:t>
      </w:r>
    </w:p>
    <w:p>
      <w:pPr>
        <w:widowControl/>
        <w:bidi w:val="0"/>
        <w:spacing w:beforeAutospacing="0" w:after="198" w:afterAutospacing="0"/>
        <w:ind w:left="0" w:right="0" w:firstLine="295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часники війни, учасники революції Гідності, борці за незалежність України у ХХ столітті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строком на 18 днів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не частіше ніж один раз на два роки.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spacing w:beforeAutospacing="0" w:after="198" w:afterAutospacing="0"/>
        <w:ind w:left="0" w:right="0" w:firstLine="294"/>
        <w:jc w:val="both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2.2. Особи  мають право вільного вибору санаторно-курортного закладу відповідного профілю.</w:t>
      </w:r>
    </w:p>
    <w:p>
      <w:pPr>
        <w:widowControl/>
        <w:tabs>
          <w:tab w:val="left" w:pos="851"/>
        </w:tabs>
        <w:bidi w:val="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2.3. Для одержання санаторно-курортного лікування особи повинні перебувати на обліку в управлінні соціального захисту населення Броварської міської ради Броварського району Київської області за зареєстрованим місцем проживання, а такі, що переселилися з тимчасово окупованої території - за фактичним місцем проживання відповідно до довідки про взяття на облік внутрішньо переміщеної особи.</w:t>
      </w:r>
    </w:p>
    <w:p>
      <w:pPr>
        <w:widowControl/>
        <w:tabs>
          <w:tab w:val="left" w:pos="851"/>
        </w:tabs>
        <w:bidi w:val="0"/>
        <w:spacing w:beforeAutospacing="0" w:after="0" w:afterAutospacing="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2.4. Для взяття на облік особа чи її законний представник подає заяву, медичну довідку лікувальної установи за </w:t>
      </w:r>
      <w:hyperlink r:id="rId6" w:anchor="n3">
        <w:r>
          <w:rPr>
            <w:rStyle w:val="Hyperlink"/>
            <w:rFonts w:ascii="Times New Roman" w:hAnsi="Times New Roman"/>
            <w:color w:val="auto"/>
            <w:sz w:val="28"/>
            <w:u w:val="none"/>
          </w:rPr>
          <w:t>формою № 070/о</w:t>
        </w:r>
      </w:hyperlink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, копію пільгового посвідчення, копію паспорту, копію реєстраційного номеру облікової картки платника податків, для працюючих осіб – довідка з місця роботи про неотримання путівки.</w:t>
      </w:r>
    </w:p>
    <w:p>
      <w:pPr>
        <w:widowControl/>
        <w:tabs>
          <w:tab w:val="left" w:pos="851"/>
        </w:tabs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Під час подання копій документів, передбачених абзацом першим цього пункту, особи надають їх оригінали для огляду.</w:t>
      </w:r>
    </w:p>
    <w:p>
      <w:pPr>
        <w:widowControl/>
        <w:bidi w:val="0"/>
        <w:spacing w:beforeAutospacing="0" w:after="198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2.5. Документи подаються до управління соціального захисту населення Броварської міської ради Броварського району Київської області(далі –Управління).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2.6. Особа, яка перебуває на обліку для забезпечення санаторно-курортним лікуванням в Управлінні, але в поточному році одержала безоплатну путівку в іншій організації, знімається з обліку.</w:t>
      </w:r>
    </w:p>
    <w:p>
      <w:pPr>
        <w:widowControl/>
        <w:bidi w:val="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2.7. Компенсація за доплату, пов’язану з поліпшенням умов проживання в санаторії, та за продовження строку лікування не здійснюється.</w:t>
      </w:r>
    </w:p>
    <w:p>
      <w:pPr>
        <w:widowControl/>
        <w:bidi w:val="0"/>
        <w:spacing w:beforeAutospacing="0" w:after="0" w:afterAutospacing="0"/>
        <w:ind w:left="0" w:right="0" w:firstLine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2.8. З метою забезпечення осіб путівками санаторно-курортний заклад подає Управлінню :</w:t>
      </w:r>
    </w:p>
    <w:p>
      <w:pPr>
        <w:widowControl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>
      <w:pPr>
        <w:widowControl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</w:t>
      </w:r>
    </w:p>
    <w:p>
      <w:pPr>
        <w:widowControl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інформацію про умови проживання та харчування;</w:t>
      </w:r>
    </w:p>
    <w:p>
      <w:pPr>
        <w:widowControl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перелік послуг, що можуть надаватись особі за період санаторно-курортного лікування відповідно до медичних рекомендацій;</w:t>
      </w:r>
    </w:p>
    <w:p>
      <w:pPr>
        <w:widowControl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інформацію про вартість путівки.</w:t>
      </w:r>
    </w:p>
    <w:p>
      <w:pPr>
        <w:widowControl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Управління   ознайомлює   з поданою    інформацією осіб, які у десятиденний повідомляють  про згоду на отримання путівки або відмову від неї.</w:t>
      </w:r>
    </w:p>
    <w:p>
      <w:pPr>
        <w:widowControl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У разі отримання  від санаторно-курортного    закладу,  обраного  особою,</w:t>
      </w:r>
    </w:p>
    <w:p>
      <w:pPr>
        <w:widowControl/>
        <w:shd w:val="clear" w:color="auto" w:fill="FFFFFF"/>
        <w:bidi w:val="0"/>
        <w:ind w:left="0" w:right="0"/>
        <w:jc w:val="both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відмови у її прийнятті на санаторно-курортне лікування Управління інформує про це особу та пропонує їй обрати інший заклад.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2.9.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Після прибуття особи до відповідного санаторно-курортного закладу керівник такого закладу підписує і скріплює печаткою  всі примірники договору, після чого заклад  надсилає один примірник  договору поштовим відправленням Управлінню, другий – передає особі, третій - залишає на зберіганні у закладі.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2.10. Після оздоровлення особи  подають Управлінню зворотний талон  путівки або інший документ, який підтверджує проходження лікування в  закладі за профілем захворювання, за яким їм видано довідку для отримання путівки.</w:t>
      </w:r>
    </w:p>
    <w:p>
      <w:pPr>
        <w:widowControl/>
        <w:shd w:val="clear" w:color="auto" w:fill="FFFFFF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 такому документі  зазначається прізвище, ім’я по батькові  особи, строк перебування в закладі, завірений підписом керівника та скріплений печаткою  такого закладу.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2.11. Після надання послуг санаторно-курортного лікування   особам заклад   подає до  Управління  акт приймання- передачі   послуг щодо проведення розрахунків  за результатами надання  послуг  згідно з умовами договору.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Кошти за  невикористану частину путівки (невикористані ліжко-дні) Управління закладу не сплачує.</w:t>
      </w:r>
    </w:p>
    <w:p>
      <w:pPr>
        <w:widowControl/>
        <w:shd w:val="clear" w:color="auto" w:fill="FFFFFF"/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>
      <w:pPr>
        <w:widowControl/>
        <w:shd w:val="clear" w:color="auto" w:fill="FFFFFF"/>
        <w:bidi w:val="0"/>
        <w:spacing w:beforeAutospacing="0" w:after="198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>
      <w:pPr>
        <w:widowControl/>
        <w:shd w:val="clear" w:color="auto" w:fill="FFFFFF"/>
        <w:bidi w:val="0"/>
        <w:spacing w:beforeAutospacing="0" w:after="198" w:afterAutospacing="0"/>
        <w:ind w:left="0" w:right="0" w:firstLine="567"/>
        <w:jc w:val="center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  Заключні положення</w:t>
      </w:r>
    </w:p>
    <w:p>
      <w:pPr>
        <w:widowControl/>
        <w:shd w:val="clear" w:color="auto" w:fill="FFFFFF"/>
        <w:bidi w:val="0"/>
        <w:spacing w:beforeAutospacing="0" w:after="198" w:afterAutospacing="0" w:line="276" w:lineRule="auto"/>
        <w:ind w:left="0" w:right="0" w:firstLine="294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3.1. Контроль за цільовим використанням коштів здійснюється в порядку, визначеному чинним законодавством України.</w:t>
      </w:r>
    </w:p>
    <w:p>
      <w:pPr>
        <w:spacing w:beforeAutospacing="0" w:after="0" w:afterAutospacing="0"/>
        <w:jc w:val="left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гор САПОЖКО</w:t>
      </w:r>
      <w:permEnd w:id="0"/>
    </w:p>
    <w:sectPr>
      <w:headerReference w:type="default" r:id="rId7"/>
      <w:footerReference w:type="default" r:id="rId8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6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pPr>
        <w:spacing w:beforeAutospacing="0" w:afterAutospacing="0" w:line="240" w:lineRule="auto"/>
        <w:ind w:left="432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632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472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672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45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5712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912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7752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8952" w:hanging="21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ps.ligazakon.net/document/view/kp230120?ed=2023_02_04&amp;an=66" TargetMode="External" /><Relationship Id="rId5" Type="http://schemas.openxmlformats.org/officeDocument/2006/relationships/hyperlink" Target="https://drive.google.com/file/d/117ftEIvxIRr9BwcjhhMvInO6FdfzmuEx/view" TargetMode="External" /><Relationship Id="rId6" Type="http://schemas.openxmlformats.org/officeDocument/2006/relationships/hyperlink" Target="http://zakon2.rada.gov.ua/laws/show/z0680-12/paran3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2024-02-28T13:05:59Z</dcterms:modified>
</cp:coreProperties>
</file>