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ПВ-214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ЗАТВЕРДЖЕНО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ПОЛОЖЕННЯ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про забезпечення санаторно – курортним лікуванням </w:t>
      </w:r>
      <w:bookmarkStart w:id="1" w:name="_Hlk158645011"/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ветеранів війни та праці, осіб з інвалідністю,</w:t>
      </w: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учасників революції Гідності та борців за незалежність  України у ХХ столітті  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bookmarkEnd w:id="1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1.  Загальні положення </w:t>
      </w:r>
    </w:p>
    <w:p>
      <w:pPr>
        <w:widowControl/>
        <w:tabs>
          <w:tab w:val="left" w:pos="284"/>
        </w:tabs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1.1. Це Положення визначає умови та порядок забезпечення санаторно- курортним лікуванням ветеранів війни та праці, осіб з інвалідністю</w:t>
      </w:r>
      <w:bookmarkStart w:id="2" w:name="_Hlk158644512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,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учасників революції Гідності та борців за незалежність України у ХХ столітті    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bookmarkEnd w:id="2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1.2. Положення розроблено відповідно до </w:t>
      </w:r>
      <w:hyperlink r:id="rId4">
        <w:r>
          <w:rPr>
            <w:rFonts w:ascii="Times New Roman" w:hAnsi="Times New Roman"/>
            <w:b w:val="0"/>
            <w:bCs w:val="0"/>
            <w:i w:val="0"/>
            <w:caps w:val="0"/>
            <w:noProof w:val="0"/>
            <w:vanish w:val="0"/>
            <w:color w:val="auto"/>
            <w:sz w:val="28"/>
            <w:u w:val="none"/>
            <w:shd w:val="clear" w:color="auto" w:fill="auto"/>
            <w:vertAlign w:val="baseline"/>
            <w:lang w:val="x-none"/>
          </w:rPr>
          <w:t>Порядку забезпечення санаторно-курортними путівками деяких категорій громадян та виплати їм компенсації вартості самостійного санаторно-курортного лікування структурними підрозділами з питань соціального захисту населення районних, районних у м. Києві держадміністрацій, виконавчими органами міських, районних у містах (у разі їх утворення (крім м. Києва) рад</w:t>
        </w:r>
      </w:hyperlink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, затвердженого постановою Кабінету Міністрів України від 22.02.2006р.№187, на виконання підпункту 6.3. пункту VI  програми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> </w:t>
      </w:r>
      <w:hyperlink r:id="rId5">
        <w:r>
          <w:rPr>
            <w:rStyle w:val="Hyperlink"/>
            <w:rFonts w:ascii="Times New Roman" w:hAnsi="Times New Roman"/>
            <w:color w:val="auto"/>
            <w:sz w:val="28"/>
            <w:u w:val="none"/>
            <w:shd w:val="clear" w:color="auto" w:fill="FFFFFF"/>
          </w:rPr>
          <w:t>«З турботою про кожного» на 2024-2026 роки</w:t>
        </w:r>
      </w:hyperlink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>, затвердженої рішенням Броварської міської ради Броварського району  Київської області від 21.12.2023 р. №1439-61-08 "Про затвердження  програми «З турботою про кожного» на 2024-2026 роки"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1.3. Санаторно – курортним лікуванням за рахунок коштів, передбачених у  місцевому бюджеті,   забезпечуються 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ветерани війни та праці, особи з інвалідністю,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учасники  революції Гідності та борці за незалежність  України у </w:t>
      </w:r>
      <w:bookmarkStart w:id="3" w:name="_Hlk158645421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ХХ столітті </w:t>
      </w:r>
      <w:bookmarkEnd w:id="3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(далі-особи).      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1.4. Забезпечення санаторно-курортним лікуванням осіб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здійснюється шляхом безготівкового перерахування коштів санаторно-курортним закладам, які мають ліцензію  на провадження господарської діяльності з медичної практики, за надані послуги на підставі  актів приймання - передачі  послуг у розмірі встановленої граничної вартості путівки. Якщо вартість путівки нижча за граничну – не більше від фактичної вартості путівки.</w:t>
      </w:r>
    </w:p>
    <w:p>
      <w:pPr>
        <w:widowControl/>
        <w:tabs>
          <w:tab w:val="left" w:pos="993"/>
        </w:tabs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  1.5. Гранична вартість путівки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для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забезпечення санаторно-курортним лікуванням учасників бойових дій, </w:t>
      </w:r>
      <w:bookmarkStart w:id="4" w:name="_Hlk158647043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учасників війни, учасників революції Гідності, борців за незалежність України у ХХ столітті,</w:t>
      </w:r>
      <w:bookmarkEnd w:id="4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ветеранів праці становить – 18000,00 грн.(1000,00 грн. за один ліжко-день ) </w:t>
      </w:r>
      <w:bookmarkStart w:id="5" w:name="_Hlk158645846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з  податком на додану вартість;</w:t>
      </w:r>
      <w:bookmarkEnd w:id="5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для осіб з інвалідністю усіх категорій – 14400,00 грн.(800,00 грн.за один ліжко-день) без  податку  на додану вартість.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2.  Порядок забезпечення санаторно-курортним лікуванням.</w:t>
      </w:r>
    </w:p>
    <w:p>
      <w:pPr>
        <w:widowControl/>
        <w:tabs>
          <w:tab w:val="left" w:pos="284"/>
          <w:tab w:val="left" w:pos="426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2.1.  Санаторно-курортним лікуванням,  відповідно до цього Порядку,  в межах виділених коштів згідно з медичними рекомендаціями в порядку черговості забезпечуються:</w:t>
      </w:r>
    </w:p>
    <w:p>
      <w:pPr>
        <w:widowControl/>
        <w:bidi w:val="0"/>
        <w:spacing w:beforeAutospacing="0" w:after="0" w:afterAutospacing="0"/>
        <w:ind w:left="0" w:right="0" w:firstLine="294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особи з інвалідністю усіх категорій  строком на 18 днів;</w:t>
      </w:r>
    </w:p>
    <w:p>
      <w:pPr>
        <w:widowControl/>
        <w:bidi w:val="0"/>
        <w:spacing w:beforeAutospacing="0" w:after="0" w:afterAutospacing="0"/>
        <w:ind w:left="0" w:right="0" w:firstLine="295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учасники бойових дій, ветерани праці строком на 18 днів;</w:t>
      </w:r>
    </w:p>
    <w:p>
      <w:pPr>
        <w:widowControl/>
        <w:bidi w:val="0"/>
        <w:spacing w:beforeAutospacing="0" w:after="198" w:afterAutospacing="0"/>
        <w:ind w:left="0" w:right="0" w:firstLine="295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часники війни, учасники революції Гідності, борці за незалежність України у ХХ столітті  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строком на 18 днів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не частіше ніж один раз на два роки.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</w:p>
    <w:p>
      <w:pPr>
        <w:widowControl/>
        <w:bidi w:val="0"/>
        <w:spacing w:beforeAutospacing="0" w:after="198" w:afterAutospacing="0"/>
        <w:ind w:left="0" w:right="0" w:firstLine="294"/>
        <w:jc w:val="both"/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2.2. Особи  мають право вільного вибору санаторно-курортного закладу відповідного профілю.</w:t>
      </w:r>
    </w:p>
    <w:p>
      <w:pPr>
        <w:widowControl/>
        <w:tabs>
          <w:tab w:val="left" w:pos="851"/>
        </w:tabs>
        <w:bidi w:val="0"/>
        <w:ind w:left="0" w:right="0" w:firstLine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2.3. Для одержання санаторно-курортного лікування особи повинні перебувати на обліку в управлінні соціального захисту населення Броварської міської ради Броварського району Київської області за зареєстрованим місцем проживання, а такі, що переселилися з тимчасово окупованої території - за фактичним місцем проживання відповідно до довідки про взяття на облік внутрішньо переміщеної особи.</w:t>
      </w:r>
    </w:p>
    <w:p>
      <w:pPr>
        <w:widowControl/>
        <w:tabs>
          <w:tab w:val="left" w:pos="851"/>
        </w:tabs>
        <w:bidi w:val="0"/>
        <w:spacing w:beforeAutospacing="0" w:after="0" w:afterAutospacing="0"/>
        <w:ind w:left="0" w:right="0" w:firstLine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2.4. Для взяття на облік особа чи її законний представник подає заяву, медичну довідку лікувальної установи за </w:t>
      </w:r>
      <w:hyperlink r:id="rId6" w:anchor="n3">
        <w:r>
          <w:rPr>
            <w:rStyle w:val="Hyperlink"/>
            <w:rFonts w:ascii="Times New Roman" w:hAnsi="Times New Roman"/>
            <w:color w:val="auto"/>
            <w:sz w:val="28"/>
            <w:u w:val="none"/>
          </w:rPr>
          <w:t>формою № 070/о</w:t>
        </w:r>
      </w:hyperlink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, копію пільгового посвідчення, копію паспорту, копію реєстраційного номеру облікової картки платника податків, для працюючих осіб – довідка з місця роботи про неотримання путівки.</w:t>
      </w:r>
    </w:p>
    <w:p>
      <w:pPr>
        <w:widowControl/>
        <w:tabs>
          <w:tab w:val="left" w:pos="851"/>
        </w:tabs>
        <w:bidi w:val="0"/>
        <w:spacing w:beforeAutospacing="0" w:after="198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Під час подання копій документів, передбачених абзацом першим цього пункту, особи надають їх оригінали для огляду.</w:t>
      </w:r>
    </w:p>
    <w:p>
      <w:pPr>
        <w:widowControl/>
        <w:bidi w:val="0"/>
        <w:spacing w:beforeAutospacing="0" w:after="198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2.5. Документи подаються до управління соціального захисту населення Броварської міської ради Броварського району Київської області(далі –Управління).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2.6. Особа, яка перебуває на обліку для забезпечення санаторно-курортним лікуванням в Управлінні, але в поточному році одержала безоплатну путівку в іншій організації, знімається з обліку.</w:t>
      </w:r>
    </w:p>
    <w:p>
      <w:pPr>
        <w:widowControl/>
        <w:bidi w:val="0"/>
        <w:ind w:left="0" w:right="0" w:firstLine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2.7. Компенсація за доплату, пов’язану з поліпшенням умов проживання в санаторії, та за продовження строку лікування не здійснюється.</w:t>
      </w:r>
    </w:p>
    <w:p>
      <w:pPr>
        <w:widowControl/>
        <w:bidi w:val="0"/>
        <w:spacing w:beforeAutospacing="0" w:after="0" w:afterAutospacing="0"/>
        <w:ind w:left="0" w:right="0" w:firstLine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2.8. З метою забезпечення осіб путівками санаторно-курортний заклад подає Управлінню :</w:t>
      </w:r>
    </w:p>
    <w:p>
      <w:pPr>
        <w:widowControl/>
        <w:bidi w:val="0"/>
        <w:spacing w:beforeAutospacing="0" w:after="0" w:afterAutospacing="0"/>
        <w:ind w:left="0" w:right="0" w:firstLine="294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підтвердження про наявність у нього ліцензії на провадження господарської діяльності з медичної практики та присвоєння вищої або першої акредитаційної категорії;</w:t>
      </w:r>
    </w:p>
    <w:p>
      <w:pPr>
        <w:widowControl/>
        <w:bidi w:val="0"/>
        <w:spacing w:beforeAutospacing="0" w:after="0" w:afterAutospacing="0"/>
        <w:ind w:left="0" w:right="0" w:firstLine="294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гарантійний лист про згоду на лікування за відповідним профілем осіб (із зазначенням дати заїзду щодо кожної особи) та про готовність до укладення угоди;</w:t>
      </w:r>
    </w:p>
    <w:p>
      <w:pPr>
        <w:widowControl/>
        <w:bidi w:val="0"/>
        <w:spacing w:beforeAutospacing="0" w:after="0" w:afterAutospacing="0"/>
        <w:ind w:left="0" w:right="0" w:firstLine="294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інформацію про умови проживання та харчування;</w:t>
      </w:r>
    </w:p>
    <w:p>
      <w:pPr>
        <w:widowControl/>
        <w:bidi w:val="0"/>
        <w:spacing w:beforeAutospacing="0" w:after="0" w:afterAutospacing="0"/>
        <w:ind w:left="0" w:right="0" w:firstLine="294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перелік послуг, що можуть надаватись особі за період санаторно-курортного лікування відповідно до медичних рекомендацій;</w:t>
      </w:r>
    </w:p>
    <w:p>
      <w:pPr>
        <w:widowControl/>
        <w:bidi w:val="0"/>
        <w:spacing w:beforeAutospacing="0" w:after="0" w:afterAutospacing="0"/>
        <w:ind w:left="0" w:right="0" w:firstLine="294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інформацію про вартість путівки.</w:t>
      </w:r>
    </w:p>
    <w:p>
      <w:pPr>
        <w:widowControl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Управління   ознайомлює   з поданою    інформацією осіб, які у десятиденний повідомляють  про згоду на отримання путівки або відмову від неї.</w:t>
      </w:r>
    </w:p>
    <w:p>
      <w:pPr>
        <w:widowControl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У разі отримання  від санаторно-курортного    закладу,  обраного  особою,</w:t>
      </w:r>
    </w:p>
    <w:p>
      <w:pPr>
        <w:widowControl/>
        <w:shd w:val="clear" w:color="auto" w:fill="FFFFFF"/>
        <w:bidi w:val="0"/>
        <w:ind w:left="0" w:right="0"/>
        <w:jc w:val="both"/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відмови у її прийнятті на санаторно-курортне лікування Управління інформує про це особу та пропонує їй обрати інший заклад.</w:t>
      </w:r>
    </w:p>
    <w:p>
      <w:pPr>
        <w:widowControl/>
        <w:shd w:val="clear" w:color="auto" w:fill="FFFFFF"/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 2.9. Управління, санаторно-курортний заклад та особи укладають договір у трьох примірниках (один - для Управління, другий - для санаторно-курортного закладу, третій - для особи).</w:t>
      </w:r>
    </w:p>
    <w:p>
      <w:pPr>
        <w:widowControl/>
        <w:shd w:val="clear" w:color="auto" w:fill="FFFFFF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Усі примірники договору, підписані начальником Управління та особою і скріплені печаткою, передаються особі для подальшої передачі санаторно-курортному закладу.</w:t>
      </w:r>
    </w:p>
    <w:p>
      <w:pPr>
        <w:widowControl/>
        <w:shd w:val="clear" w:color="auto" w:fill="FFFFFF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Після прибуття особи до відповідного санаторно-курортного закладу керівник такого закладу підписує і скріплює печаткою  всі примірники договору, після чого заклад  надсилає один примірник  договору поштовим відправленням Управлінню, другий – передає особі, третій - залишає на зберіганні у закладі.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widowControl/>
        <w:shd w:val="clear" w:color="auto" w:fill="FFFFFF"/>
        <w:bidi w:val="0"/>
        <w:spacing w:beforeAutospacing="0" w:after="0" w:afterAutospacing="0"/>
        <w:ind w:left="0" w:right="0" w:firstLine="294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2.10. Після оздоровлення особи  подають Управлінню зворотний талон  путівки або інший документ, який підтверджує проходження лікування в  закладі за профілем захворювання, за яким їм видано довідку для отримання путівки.</w:t>
      </w:r>
    </w:p>
    <w:p>
      <w:pPr>
        <w:widowControl/>
        <w:shd w:val="clear" w:color="auto" w:fill="FFFFFF"/>
        <w:bidi w:val="0"/>
        <w:spacing w:beforeAutospacing="0" w:after="198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В такому документі  зазначається прізвище, ім’я по батькові  особи, строк перебування в закладі, завірений підписом керівника та скріплений печаткою  такого закладу.</w:t>
      </w:r>
    </w:p>
    <w:p>
      <w:pPr>
        <w:widowControl/>
        <w:shd w:val="clear" w:color="auto" w:fill="FFFFFF"/>
        <w:bidi w:val="0"/>
        <w:spacing w:beforeAutospacing="0" w:after="0" w:afterAutospacing="0"/>
        <w:ind w:left="0" w:right="0" w:firstLine="294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2.11. Після надання послуг санаторно-курортного лікування   особам заклад   подає до  Управління  акт приймання- передачі   послуг щодо проведення розрахунків  за результатами надання  послуг  згідно з умовами договору.</w:t>
      </w:r>
    </w:p>
    <w:p>
      <w:pPr>
        <w:widowControl/>
        <w:shd w:val="clear" w:color="auto" w:fill="FFFFFF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У разі дострокового вибуття особи із санаторно-курортного закладу Управління проводить оплату за використану  частину путівки.</w:t>
      </w:r>
    </w:p>
    <w:p>
      <w:pPr>
        <w:widowControl/>
        <w:shd w:val="clear" w:color="auto" w:fill="FFFFFF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Кошти за  невикористану частину путівки (невикористані ліжко-дні) Управління закладу не сплачує.</w:t>
      </w:r>
    </w:p>
    <w:p>
      <w:pPr>
        <w:widowControl/>
        <w:shd w:val="clear" w:color="auto" w:fill="FFFFFF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Відповідальність за недостовірність інформації про кількість невикористаних ліжко-днів несе санаторно-курортний заклад відповідно до закону.</w:t>
      </w:r>
    </w:p>
    <w:p>
      <w:pPr>
        <w:widowControl/>
        <w:shd w:val="clear" w:color="auto" w:fill="FFFFFF"/>
        <w:bidi w:val="0"/>
        <w:spacing w:beforeAutospacing="0" w:after="198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Останнім днем періоду перебування осіб у санаторно-курортних закладах є 15 грудня поточного бюджетного року (включно), що є датою виїзду із закладу.</w:t>
      </w:r>
    </w:p>
    <w:p>
      <w:pPr>
        <w:widowControl/>
        <w:shd w:val="clear" w:color="auto" w:fill="FFFFFF"/>
        <w:bidi w:val="0"/>
        <w:spacing w:beforeAutospacing="0" w:after="198" w:afterAutospacing="0"/>
        <w:ind w:left="0" w:right="0" w:firstLine="567"/>
        <w:jc w:val="center"/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  Заключні положення</w:t>
      </w:r>
    </w:p>
    <w:p>
      <w:pPr>
        <w:widowControl/>
        <w:shd w:val="clear" w:color="auto" w:fill="FFFFFF"/>
        <w:bidi w:val="0"/>
        <w:spacing w:beforeAutospacing="0" w:after="198" w:afterAutospacing="0" w:line="276" w:lineRule="auto"/>
        <w:ind w:left="0" w:right="0" w:firstLine="294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3.1. Контроль за цільовим використанням коштів здійснюється в порядку, визначеному чинним законодавством України.</w:t>
      </w:r>
    </w:p>
    <w:p>
      <w:pPr>
        <w:spacing w:beforeAutospacing="0" w:after="0" w:afterAutospacing="0"/>
        <w:jc w:val="left"/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гор САПОЖКО</w:t>
      </w:r>
      <w:permEnd w:id="0"/>
    </w:p>
    <w:sectPr>
      <w:headerReference w:type="default" r:id="rId7"/>
      <w:footerReference w:type="default" r:id="rId8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6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pPr>
        <w:spacing w:beforeAutospacing="0" w:afterAutospacing="0" w:line="240" w:lineRule="auto"/>
        <w:ind w:left="432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spacing w:beforeAutospacing="0" w:afterAutospacing="0" w:line="240" w:lineRule="auto"/>
        <w:ind w:left="1632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spacing w:beforeAutospacing="0" w:afterAutospacing="0" w:line="240" w:lineRule="auto"/>
        <w:ind w:left="2472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spacing w:beforeAutospacing="0" w:afterAutospacing="0" w:line="240" w:lineRule="auto"/>
        <w:ind w:left="3672" w:hanging="108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spacing w:beforeAutospacing="0" w:afterAutospacing="0" w:line="240" w:lineRule="auto"/>
        <w:ind w:left="4512" w:hanging="108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spacing w:beforeAutospacing="0" w:afterAutospacing="0" w:line="240" w:lineRule="auto"/>
        <w:ind w:left="5712" w:hanging="144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spacing w:beforeAutospacing="0" w:afterAutospacing="0" w:line="240" w:lineRule="auto"/>
        <w:ind w:left="6912" w:hanging="180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spacing w:beforeAutospacing="0" w:afterAutospacing="0" w:line="240" w:lineRule="auto"/>
        <w:ind w:left="7752" w:hanging="180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spacing w:beforeAutospacing="0" w:afterAutospacing="0" w:line="240" w:lineRule="auto"/>
        <w:ind w:left="8952" w:hanging="21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ps.ligazakon.net/document/view/kp230120?ed=2023_02_04&amp;an=66" TargetMode="External" /><Relationship Id="rId5" Type="http://schemas.openxmlformats.org/officeDocument/2006/relationships/hyperlink" Target="https://drive.google.com/file/d/117ftEIvxIRr9BwcjhhMvInO6FdfzmuEx/view" TargetMode="External" /><Relationship Id="rId6" Type="http://schemas.openxmlformats.org/officeDocument/2006/relationships/hyperlink" Target="http://zakon2.rada.gov.ua/laws/show/z0680-12/paran3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32</cp:revision>
  <dcterms:created xsi:type="dcterms:W3CDTF">2021-08-31T06:42:00Z</dcterms:created>
  <dcterms:modified xsi:type="dcterms:W3CDTF">2024-02-28T13:05:59Z</dcterms:modified>
</cp:coreProperties>
</file>