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ПВ-200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Требухівського ліцею Броварської міської ради Броварського району Київської області та підлягають передачі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4004"/>
        <w:gridCol w:w="1090"/>
        <w:gridCol w:w="1157"/>
        <w:gridCol w:w="1105"/>
        <w:gridCol w:w="1707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1080,00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1080,00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2024-02-26T14:47:36Z</dcterms:modified>
</cp:coreProperties>
</file>