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 № 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№ 3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Київської області та підлягають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2160,00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2160,00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2024-02-26T14:33:56Z</dcterms:modified>
</cp:coreProperties>
</file>