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ПВ-200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 № 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№ 3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Броварського району Київської області та підлягають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4004"/>
        <w:gridCol w:w="1090"/>
        <w:gridCol w:w="1157"/>
        <w:gridCol w:w="1105"/>
        <w:gridCol w:w="1707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2160,00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2160,00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2024-02-26T14:33:56Z</dcterms:modified>
</cp:coreProperties>
</file>