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ПВ-200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 № 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№ 2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ім. В.О. Сухомлинського Броварської міської ради Броварського району Київської області та підлягають передачі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4002"/>
        <w:gridCol w:w="1090"/>
        <w:gridCol w:w="1157"/>
        <w:gridCol w:w="1105"/>
        <w:gridCol w:w="1708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2160,00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2160,00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2024-02-26T14:30:15Z</dcterms:modified>
</cp:coreProperties>
</file>