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spacing w:after="0" w:beforeAutospacing="0" w:afterAutospacing="0"/>
        <w:ind w:right="-284"/>
        <w:jc w:val="center"/>
        <w:rPr>
          <w:rFonts w:ascii="Times New Roman" w:hAnsi="Times New Roman"/>
          <w:b w:val="1"/>
          <w:sz w:val="28"/>
          <w:szCs w:val="28"/>
          <w:lang w:val="uk-UA"/>
        </w:rPr>
      </w:pPr>
      <w:r>
        <w:rPr>
          <w:rFonts w:ascii="Times New Roman" w:hAnsi="Times New Roman"/>
          <w:b w:val="1"/>
          <w:sz w:val="28"/>
          <w:szCs w:val="28"/>
          <w:lang w:val="uk-UA"/>
        </w:rPr>
        <w:t xml:space="preserve">Пояснювальна записка </w:t>
      </w:r>
    </w:p>
    <w:p>
      <w:pPr>
        <w:spacing w:after="0" w:beforeAutospacing="0" w:afterAutospacing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>
      <w:pPr>
        <w:spacing w:after="0" w:beforeAutospacing="0" w:afterAutospacing="0"/>
        <w:ind w:right="-284"/>
        <w:jc w:val="center"/>
        <w:rPr>
          <w:rFonts w:ascii="Times New Roman" w:hAnsi="Times New Roman"/>
          <w:b w:val="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 w:val="1"/>
          <w:sz w:val="28"/>
          <w:szCs w:val="28"/>
          <w:lang w:val="uk-UA"/>
        </w:rPr>
        <w:t xml:space="preserve"> «Про внесення змін до Програми підтримки молодих сімей та розвитку молоді «Молодь в дії» на 2022-2026 роки (зі змінами)»</w:t>
      </w:r>
    </w:p>
    <w:p>
      <w:pPr>
        <w:spacing w:after="0" w:beforeAutospacing="0" w:afterAutospacing="0"/>
        <w:ind w:right="-284"/>
        <w:jc w:val="center"/>
        <w:rPr>
          <w:rFonts w:ascii="Times New Roman" w:hAnsi="Times New Roman"/>
          <w:b w:val="1"/>
          <w:sz w:val="28"/>
          <w:szCs w:val="28"/>
          <w:lang w:val="uk-UA"/>
        </w:rPr>
      </w:pPr>
    </w:p>
    <w:p>
      <w:p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Пояснювальна записка підготовлена відповідно до ст. 20 Регламенту Броварської міської ради Броварського району Київської області VIII скликання.</w:t>
      </w:r>
    </w:p>
    <w:p>
      <w:p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b w:val="1"/>
          <w:sz w:val="28"/>
          <w:szCs w:val="28"/>
          <w:lang w:val="uk-UA" w:eastAsia="zh-CN"/>
        </w:rPr>
      </w:pPr>
    </w:p>
    <w:p>
      <w:pPr>
        <w:keepNext w:val="1"/>
        <w:numPr>
          <w:ilvl w:val="1"/>
          <w:numId w:val="1"/>
        </w:numPr>
        <w:suppressAutoHyphens w:val="1"/>
        <w:spacing w:lineRule="auto" w:line="240" w:after="0" w:beforeAutospacing="0" w:afterAutospacing="0"/>
        <w:ind w:firstLine="553" w:left="14"/>
        <w:outlineLvl w:val="1"/>
        <w:rPr>
          <w:rFonts w:ascii="Times New Roman" w:hAnsi="Times New Roman"/>
          <w:b w:val="1"/>
          <w:sz w:val="28"/>
          <w:szCs w:val="28"/>
          <w:lang w:val="uk-UA" w:eastAsia="zh-CN"/>
        </w:rPr>
      </w:pPr>
      <w:r>
        <w:rPr>
          <w:rFonts w:ascii="Times New Roman" w:hAnsi="Times New Roman"/>
          <w:b w:val="1"/>
          <w:sz w:val="28"/>
          <w:szCs w:val="28"/>
          <w:lang w:val="uk-UA" w:eastAsia="zh-CN"/>
        </w:rPr>
        <w:t>1. Обґрунтування необхідності прийняття рішення</w:t>
      </w:r>
    </w:p>
    <w:p>
      <w:pPr>
        <w:keepNext w:val="1"/>
        <w:numPr>
          <w:ilvl w:val="1"/>
          <w:numId w:val="1"/>
        </w:numPr>
        <w:suppressAutoHyphens w:val="1"/>
        <w:spacing w:lineRule="auto" w:line="240" w:after="0" w:beforeAutospacing="0" w:afterAutospacing="0"/>
        <w:ind w:firstLine="553" w:left="14"/>
        <w:outlineLvl w:val="1"/>
        <w:rPr>
          <w:rFonts w:ascii="Times New Roman" w:hAnsi="Times New Roman"/>
          <w:b w:val="1"/>
          <w:sz w:val="28"/>
          <w:szCs w:val="28"/>
          <w:lang w:val="uk-UA" w:eastAsia="zh-CN"/>
        </w:rPr>
      </w:pPr>
    </w:p>
    <w:p>
      <w:pPr>
        <w:tabs>
          <w:tab w:val="left" w:pos="1134" w:leader="none"/>
          <w:tab w:val="left" w:pos="1276" w:leader="none"/>
        </w:tabs>
        <w:suppressAutoHyphens w:val="1"/>
        <w:spacing w:lineRule="auto" w:line="240" w:after="0" w:beforeAutospacing="0" w:afterAutospacing="0"/>
        <w:ind w:firstLine="55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зв’язку з потребою дофінансування Програми підтримки молодих сімей та розвитку молоді «Молодь в дії» на 2022-2026 роки (зі змінами) (далі – Програма) для організації та проведення місцевої акції «Привіт, малюк!».</w:t>
      </w:r>
    </w:p>
    <w:p>
      <w:pPr>
        <w:tabs>
          <w:tab w:val="left" w:pos="1134" w:leader="none"/>
          <w:tab w:val="left" w:pos="1276" w:leader="none"/>
        </w:tabs>
        <w:suppressAutoHyphens w:val="1"/>
        <w:spacing w:lineRule="auto" w:line="240" w:after="0" w:beforeAutospacing="0" w:afterAutospacing="0"/>
        <w:ind w:firstLine="553"/>
        <w:jc w:val="both"/>
        <w:rPr>
          <w:rFonts w:ascii="Times New Roman" w:hAnsi="Times New Roman"/>
          <w:b w:val="1"/>
          <w:color w:val="000000"/>
          <w:sz w:val="28"/>
          <w:szCs w:val="28"/>
          <w:lang w:val="uk-UA" w:eastAsia="zh-CN"/>
        </w:rPr>
      </w:pPr>
    </w:p>
    <w:p>
      <w:pPr>
        <w:tabs>
          <w:tab w:val="left" w:pos="1134" w:leader="none"/>
          <w:tab w:val="left" w:pos="1276" w:leader="none"/>
        </w:tabs>
        <w:suppressAutoHyphens w:val="1"/>
        <w:spacing w:lineRule="auto" w:line="240" w:after="0" w:beforeAutospacing="0" w:afterAutospacing="0"/>
        <w:ind w:firstLine="553"/>
        <w:jc w:val="both"/>
        <w:rPr>
          <w:rFonts w:ascii="Times New Roman" w:hAnsi="Times New Roman"/>
          <w:b w:val="1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 w:val="1"/>
          <w:color w:val="000000"/>
          <w:sz w:val="28"/>
          <w:szCs w:val="28"/>
          <w:lang w:val="uk-UA" w:eastAsia="zh-CN"/>
        </w:rPr>
        <w:t>2.Мета і шляхи її досягнення</w:t>
      </w:r>
    </w:p>
    <w:p>
      <w:pPr>
        <w:suppressAutoHyphens w:val="1"/>
        <w:spacing w:lineRule="auto" w:line="240" w:after="0" w:beforeAutospacing="0" w:afterAutospacing="0"/>
        <w:ind w:firstLine="553"/>
        <w:jc w:val="both"/>
        <w:rPr>
          <w:rFonts w:ascii="Times New Roman" w:hAnsi="Times New Roman"/>
          <w:b w:val="1"/>
          <w:color w:val="000000"/>
          <w:sz w:val="28"/>
          <w:szCs w:val="28"/>
          <w:lang w:val="uk-UA" w:eastAsia="zh-CN"/>
        </w:rPr>
      </w:pPr>
    </w:p>
    <w:p>
      <w:pPr>
        <w:ind w:left="567"/>
        <w:contextualSpacing w:val="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Проведення запланованих заходів по Програмі у 2024 році, а саме:</w:t>
      </w:r>
    </w:p>
    <w:p>
      <w:pPr>
        <w:numPr>
          <w:ilvl w:val="0"/>
          <w:numId w:val="2"/>
        </w:numPr>
        <w:spacing w:after="0" w:beforeAutospacing="0" w:afterAutospacing="0"/>
        <w:ind w:firstLine="360" w:left="0"/>
        <w:contextualSpacing w:val="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Привітання батьків з народженням дітей шляхом вручення дитячої вишиванки (вишиванка розрахована для дитини до 1 року).</w:t>
      </w:r>
    </w:p>
    <w:p>
      <w:pPr>
        <w:suppressAutoHyphens w:val="1"/>
        <w:spacing w:lineRule="auto" w:line="240" w:after="0" w:beforeAutospacing="0" w:afterAutospacing="0"/>
        <w:ind w:firstLine="553"/>
        <w:jc w:val="both"/>
        <w:rPr>
          <w:rFonts w:ascii="Times New Roman" w:hAnsi="Times New Roman"/>
          <w:b w:val="1"/>
          <w:color w:val="000000"/>
          <w:sz w:val="28"/>
          <w:szCs w:val="28"/>
          <w:lang w:val="uk-UA" w:eastAsia="zh-CN"/>
        </w:rPr>
      </w:pPr>
    </w:p>
    <w:p>
      <w:pPr>
        <w:suppressAutoHyphens w:val="1"/>
        <w:spacing w:lineRule="auto" w:line="240" w:after="0" w:beforeAutospacing="0" w:afterAutospacing="0"/>
        <w:ind w:firstLine="553"/>
        <w:jc w:val="both"/>
        <w:rPr>
          <w:rFonts w:ascii="Times New Roman" w:hAnsi="Times New Roman"/>
          <w:i w:val="1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 w:val="1"/>
          <w:color w:val="000000"/>
          <w:sz w:val="28"/>
          <w:szCs w:val="28"/>
          <w:lang w:val="uk-UA" w:eastAsia="zh-CN"/>
        </w:rPr>
        <w:t xml:space="preserve">3.Правові аспекти </w:t>
      </w:r>
    </w:p>
    <w:p>
      <w:pPr>
        <w:suppressAutoHyphens w:val="1"/>
        <w:spacing w:lineRule="auto" w:line="240" w:after="0" w:beforeAutospacing="0" w:afterAutospacing="0"/>
        <w:ind w:firstLine="553"/>
        <w:jc w:val="both"/>
        <w:rPr>
          <w:rFonts w:ascii="Times New Roman" w:hAnsi="Times New Roman"/>
          <w:i w:val="1"/>
          <w:color w:val="000000"/>
          <w:sz w:val="28"/>
          <w:szCs w:val="28"/>
          <w:lang w:val="uk-UA" w:eastAsia="zh-CN"/>
        </w:rPr>
      </w:pPr>
    </w:p>
    <w:p>
      <w:pPr>
        <w:spacing w:lineRule="auto" w:line="240" w:after="0" w:beforeAutospacing="0" w:afterAutospacing="0"/>
        <w:ind w:firstLine="567"/>
        <w:contextualSpacing w:val="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Пункт 22 частини 1 статті 26 Закону України «Про місцеве самоврядування в Україні».</w:t>
      </w:r>
    </w:p>
    <w:p>
      <w:pPr>
        <w:suppressAutoHyphens w:val="1"/>
        <w:spacing w:lineRule="auto" w:line="240" w:after="0" w:beforeAutospacing="0" w:afterAutospacing="0"/>
        <w:ind w:firstLine="553"/>
        <w:jc w:val="both"/>
        <w:rPr>
          <w:rFonts w:ascii="Times New Roman" w:hAnsi="Times New Roman"/>
          <w:b w:val="1"/>
          <w:color w:val="000000"/>
          <w:sz w:val="28"/>
          <w:szCs w:val="28"/>
          <w:lang w:val="uk-UA" w:eastAsia="zh-CN"/>
        </w:rPr>
      </w:pPr>
    </w:p>
    <w:p>
      <w:pPr>
        <w:suppressAutoHyphens w:val="1"/>
        <w:spacing w:lineRule="auto" w:line="240" w:after="0" w:beforeAutospacing="0" w:afterAutospacing="0"/>
        <w:ind w:firstLine="553"/>
        <w:jc w:val="both"/>
        <w:rPr>
          <w:rFonts w:ascii="Times New Roman" w:hAnsi="Times New Roman"/>
          <w:b w:val="1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 w:val="1"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>
      <w:pPr>
        <w:tabs>
          <w:tab w:val="left" w:pos="0" w:leader="none"/>
        </w:tabs>
        <w:suppressAutoHyphens w:val="1"/>
        <w:spacing w:lineRule="auto" w:line="240" w:after="0" w:beforeAutospacing="0" w:afterAutospacing="0"/>
        <w:ind w:firstLine="553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ab/>
      </w:r>
    </w:p>
    <w:p>
      <w:pPr>
        <w:tabs>
          <w:tab w:val="left" w:pos="0" w:leader="none"/>
        </w:tabs>
        <w:suppressAutoHyphens w:val="1"/>
        <w:spacing w:after="0" w:beforeAutospacing="0" w:afterAutospacing="0"/>
        <w:ind w:firstLine="55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Прийняття даного рішення не потребує виділення додаткових коштів з місцевого бюджету, оскільки закупівля буде здійснюватися за рахунок внутрішнього фінансового перерозподілу, а саме на захід «Організація та проведення міської акції «Привіт, малюк!»» - 90 000,00 грн.</w:t>
      </w:r>
    </w:p>
    <w:p>
      <w:pPr>
        <w:tabs>
          <w:tab w:val="left" w:pos="0" w:leader="none"/>
        </w:tabs>
        <w:suppressAutoHyphens w:val="1"/>
        <w:spacing w:lineRule="auto" w:line="240" w:after="0" w:beforeAutospacing="0" w:afterAutospacing="0"/>
        <w:ind w:firstLine="553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>
      <w:pPr>
        <w:suppressAutoHyphens w:val="1"/>
        <w:spacing w:lineRule="auto" w:line="240" w:after="0" w:beforeAutospacing="0" w:afterAutospacing="0"/>
        <w:ind w:firstLine="553"/>
        <w:jc w:val="both"/>
        <w:rPr>
          <w:rFonts w:ascii="Times New Roman" w:hAnsi="Times New Roman"/>
          <w:b w:val="1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 w:val="1"/>
          <w:color w:val="000000"/>
          <w:sz w:val="28"/>
          <w:szCs w:val="28"/>
          <w:lang w:val="uk-UA" w:eastAsia="zh-CN"/>
        </w:rPr>
        <w:tab/>
        <w:t>5. Прогноз результатів</w:t>
      </w:r>
    </w:p>
    <w:p>
      <w:pPr>
        <w:suppressAutoHyphens w:val="1"/>
        <w:spacing w:lineRule="auto" w:line="240" w:after="0" w:beforeAutospacing="0" w:afterAutospacing="0"/>
        <w:ind w:firstLine="553"/>
        <w:jc w:val="both"/>
        <w:rPr>
          <w:rFonts w:ascii="Times New Roman" w:hAnsi="Times New Roman"/>
          <w:b w:val="1"/>
          <w:color w:val="000000"/>
          <w:sz w:val="28"/>
          <w:szCs w:val="28"/>
          <w:lang w:val="uk-UA" w:eastAsia="zh-CN"/>
        </w:rPr>
      </w:pPr>
    </w:p>
    <w:p>
      <w:pPr>
        <w:ind w:firstLine="567"/>
        <w:contextualSpacing w:val="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Дофінансування Програми сприяє можливості проведення щорічної акції привітання батьків новонароджених дітей.</w:t>
      </w:r>
    </w:p>
    <w:p>
      <w:pPr>
        <w:suppressAutoHyphens w:val="1"/>
        <w:spacing w:lineRule="auto" w:line="240" w:after="0" w:beforeAutospacing="0" w:afterAutospacing="0"/>
        <w:ind w:firstLine="553"/>
        <w:jc w:val="both"/>
        <w:rPr>
          <w:rFonts w:ascii="Times New Roman" w:hAnsi="Times New Roman"/>
          <w:b w:val="1"/>
          <w:color w:val="000000"/>
          <w:sz w:val="28"/>
          <w:szCs w:val="28"/>
          <w:lang w:val="uk-UA" w:eastAsia="zh-CN"/>
        </w:rPr>
      </w:pPr>
    </w:p>
    <w:p>
      <w:pPr>
        <w:spacing w:lineRule="auto" w:line="240" w:after="0" w:beforeAutospacing="0" w:afterAutospacing="0"/>
        <w:ind w:firstLine="553"/>
        <w:jc w:val="both"/>
        <w:rPr>
          <w:rFonts w:ascii="Times New Roman" w:hAnsi="Times New Roman"/>
          <w:i w:val="1"/>
          <w:sz w:val="28"/>
          <w:szCs w:val="28"/>
          <w:lang w:val="uk-UA"/>
        </w:rPr>
      </w:pPr>
      <w:r>
        <w:rPr>
          <w:rFonts w:ascii="Times New Roman" w:hAnsi="Times New Roman"/>
          <w:b w:val="1"/>
          <w:sz w:val="28"/>
          <w:szCs w:val="28"/>
          <w:shd w:val="clear" w:color="auto" w:fill="FFFFFF"/>
          <w:lang w:val="uk-UA"/>
        </w:rPr>
        <w:t xml:space="preserve">6. Суб’єкт подання проекту рішення </w:t>
      </w:r>
    </w:p>
    <w:p>
      <w:pPr>
        <w:spacing w:lineRule="auto" w:line="240" w:after="0" w:beforeAutospacing="0" w:afterAutospacing="0"/>
        <w:ind w:firstLine="553"/>
        <w:jc w:val="both"/>
        <w:rPr>
          <w:rFonts w:ascii="Times New Roman" w:hAnsi="Times New Roman"/>
          <w:iCs w:val="1"/>
          <w:sz w:val="28"/>
          <w:szCs w:val="28"/>
          <w:lang w:val="uk-UA"/>
        </w:rPr>
      </w:pPr>
    </w:p>
    <w:p>
      <w:pPr>
        <w:numPr>
          <w:ilvl w:val="0"/>
          <w:numId w:val="2"/>
        </w:numPr>
        <w:ind w:firstLine="360" w:left="0"/>
        <w:contextualSpacing w:val="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Управління культури, сім’ї та молоді Броварської міської ради Броварського району Київської області. </w:t>
      </w:r>
    </w:p>
    <w:p>
      <w:pPr>
        <w:numPr>
          <w:ilvl w:val="0"/>
          <w:numId w:val="2"/>
        </w:numPr>
        <w:spacing w:after="0" w:beforeAutospacing="0" w:afterAutospacing="0"/>
        <w:contextualSpacing w:val="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Керівник управління – Ярмоленко Аліна Анатоліївна.</w:t>
      </w:r>
    </w:p>
    <w:p>
      <w:pPr>
        <w:numPr>
          <w:ilvl w:val="0"/>
          <w:numId w:val="2"/>
        </w:numPr>
        <w:spacing w:after="0" w:beforeAutospacing="0" w:afterAutospacing="0"/>
        <w:ind w:firstLine="360" w:left="0"/>
        <w:contextualSpacing w:val="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Доповідач по проєкту та відповідальна особа за підготовку даного проєкту – Ярмоленко Аліна Анатоліївна, (067) 951-95-12.</w:t>
      </w:r>
    </w:p>
    <w:p>
      <w:pPr>
        <w:spacing w:after="0" w:beforeAutospacing="0" w:afterAutospacing="0"/>
        <w:ind w:firstLine="553"/>
        <w:jc w:val="both"/>
        <w:rPr>
          <w:rFonts w:ascii="Times New Roman" w:hAnsi="Times New Roman"/>
          <w:b w:val="1"/>
          <w:iCs w:val="1"/>
          <w:sz w:val="28"/>
          <w:szCs w:val="28"/>
          <w:lang w:val="uk-UA"/>
        </w:rPr>
      </w:pPr>
    </w:p>
    <w:p>
      <w:pPr>
        <w:spacing w:after="0" w:beforeAutospacing="0" w:afterAutospacing="0"/>
        <w:ind w:firstLine="553"/>
        <w:jc w:val="both"/>
        <w:rPr>
          <w:rFonts w:ascii="Times New Roman" w:hAnsi="Times New Roman"/>
          <w:b w:val="1"/>
          <w:sz w:val="28"/>
          <w:szCs w:val="28"/>
          <w:lang w:val="uk-UA"/>
        </w:rPr>
      </w:pPr>
      <w:r>
        <w:rPr>
          <w:rFonts w:ascii="Times New Roman" w:hAnsi="Times New Roman"/>
          <w:b w:val="1"/>
          <w:sz w:val="28"/>
          <w:szCs w:val="28"/>
          <w:lang w:val="uk-UA"/>
        </w:rPr>
        <w:t xml:space="preserve">7. Порівняльна таблиця </w:t>
      </w:r>
    </w:p>
    <w:p>
      <w:pPr>
        <w:spacing w:after="0" w:beforeAutospacing="0" w:afterAutospacing="0"/>
        <w:ind w:firstLine="553"/>
        <w:jc w:val="both"/>
        <w:rPr>
          <w:rFonts w:ascii="Times New Roman" w:hAnsi="Times New Roman"/>
          <w:iCs w:val="1"/>
          <w:sz w:val="28"/>
          <w:szCs w:val="28"/>
          <w:lang w:val="uk-UA"/>
        </w:rPr>
      </w:pPr>
    </w:p>
    <w:tbl>
      <w:tblPr>
        <w:tblStyle w:val="T2"/>
        <w:tblW w:w="9634" w:type="dxa"/>
        <w:tblInd w:w="0" w:type="dxa"/>
        <w:tblLook w:val="04A0"/>
      </w:tblPr>
      <w:tblGrid/>
      <w:tr>
        <w:trPr>
          <w:cantSplit/>
          <w:trHeight w:hRule="atLeast" w:val="1039"/>
          <w:tblHeader/>
        </w:trPr>
        <w:tc>
          <w:tcPr>
            <w:tcW w:w="234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rFonts w:ascii="Times New Roman" w:hAnsi="Times New Roman"/>
                <w:b w:val="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1"/>
                <w:sz w:val="28"/>
                <w:szCs w:val="28"/>
                <w:lang w:val="uk-UA"/>
              </w:rPr>
              <w:t>Назва пункту, підпункту, в який вноситься зміна</w:t>
            </w:r>
          </w:p>
        </w:tc>
        <w:tc>
          <w:tcPr>
            <w:tcW w:w="2653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rFonts w:ascii="Times New Roman" w:hAnsi="Times New Roman"/>
                <w:b w:val="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1"/>
                <w:sz w:val="28"/>
                <w:szCs w:val="28"/>
                <w:lang w:val="uk-UA"/>
              </w:rPr>
              <w:t>Було</w:t>
            </w:r>
          </w:p>
        </w:tc>
        <w:tc>
          <w:tcPr>
            <w:tcW w:w="15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rFonts w:ascii="Times New Roman" w:hAnsi="Times New Roman"/>
                <w:b w:val="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1"/>
                <w:sz w:val="28"/>
                <w:szCs w:val="28"/>
                <w:lang w:val="uk-UA"/>
              </w:rPr>
              <w:t>Зміни</w:t>
            </w:r>
          </w:p>
        </w:tc>
        <w:tc>
          <w:tcPr>
            <w:tcW w:w="3108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rFonts w:ascii="Times New Roman" w:hAnsi="Times New Roman"/>
                <w:b w:val="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1"/>
                <w:sz w:val="28"/>
                <w:szCs w:val="28"/>
                <w:lang w:val="uk-UA"/>
              </w:rPr>
              <w:t>Стало</w:t>
            </w:r>
          </w:p>
        </w:tc>
      </w:tr>
      <w:tr>
        <w:tc>
          <w:tcPr>
            <w:tcW w:w="2348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rFonts w:ascii="Times New Roman" w:hAnsi="Times New Roman"/>
                <w:b w:val="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  <w:szCs w:val="28"/>
                <w:lang w:val="uk-UA"/>
              </w:rPr>
              <w:t xml:space="preserve">Пункт 6 підпункт 6.7.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Організація та проведення міської акції «Привіт, малюк!»</w:t>
            </w:r>
          </w:p>
        </w:tc>
        <w:tc>
          <w:tcPr>
            <w:tcW w:w="14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rFonts w:ascii="Times New Roman" w:hAnsi="Times New Roman"/>
                <w:b w:val="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1"/>
                <w:sz w:val="28"/>
                <w:szCs w:val="28"/>
                <w:lang w:val="uk-UA"/>
              </w:rPr>
              <w:t xml:space="preserve"> грн</w:t>
            </w:r>
          </w:p>
        </w:tc>
        <w:tc>
          <w:tcPr>
            <w:tcW w:w="124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rFonts w:ascii="Times New Roman" w:hAnsi="Times New Roman"/>
                <w:b w:val="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1"/>
                <w:iCs w:val="1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5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rFonts w:ascii="Times New Roman" w:hAnsi="Times New Roman"/>
                <w:i w:val="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1"/>
                <w:sz w:val="28"/>
                <w:szCs w:val="28"/>
                <w:lang w:val="uk-UA"/>
              </w:rPr>
              <w:t>+90 000,00</w:t>
            </w:r>
          </w:p>
        </w:tc>
        <w:tc>
          <w:tcPr>
            <w:tcW w:w="14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rFonts w:ascii="Times New Roman" w:hAnsi="Times New Roman"/>
                <w:b w:val="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1"/>
                <w:sz w:val="28"/>
                <w:szCs w:val="28"/>
                <w:lang w:val="uk-UA"/>
              </w:rPr>
              <w:t xml:space="preserve"> грн</w:t>
            </w:r>
          </w:p>
        </w:tc>
        <w:tc>
          <w:tcPr>
            <w:tcW w:w="169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rFonts w:ascii="Times New Roman" w:hAnsi="Times New Roman"/>
                <w:b w:val="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1"/>
                <w:iCs w:val="1"/>
                <w:sz w:val="28"/>
                <w:szCs w:val="28"/>
                <w:lang w:val="uk-UA"/>
              </w:rPr>
              <w:t xml:space="preserve">90 000,00 </w:t>
            </w:r>
          </w:p>
        </w:tc>
      </w:tr>
      <w:tr>
        <w:tc>
          <w:tcPr>
            <w:tcW w:w="0" w:type="auto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  <w:hideMark/>
          </w:tcPr>
          <w:p>
            <w:pPr>
              <w:rPr>
                <w:rFonts w:ascii="Times New Roman" w:hAnsi="Times New Roman"/>
                <w:b w:val="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rFonts w:ascii="Times New Roman" w:hAnsi="Times New Roman"/>
                <w:b w:val="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1"/>
                <w:sz w:val="28"/>
                <w:szCs w:val="28"/>
                <w:lang w:val="uk-UA"/>
              </w:rPr>
              <w:t>кількість охоплених осіб, чол.</w:t>
            </w:r>
          </w:p>
        </w:tc>
        <w:tc>
          <w:tcPr>
            <w:tcW w:w="124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rFonts w:ascii="Times New Roman" w:hAnsi="Times New Roman"/>
                <w:bCs w:val="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 w:val="1"/>
                <w:sz w:val="28"/>
                <w:szCs w:val="28"/>
                <w:lang w:val="uk-UA"/>
              </w:rPr>
              <w:t>0</w:t>
            </w:r>
          </w:p>
        </w:tc>
        <w:tc>
          <w:tcPr>
            <w:tcW w:w="15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rFonts w:ascii="Times New Roman" w:hAnsi="Times New Roman"/>
                <w:i w:val="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1"/>
                <w:sz w:val="28"/>
                <w:szCs w:val="28"/>
                <w:lang w:val="uk-UA"/>
              </w:rPr>
              <w:t>+200</w:t>
            </w:r>
          </w:p>
        </w:tc>
        <w:tc>
          <w:tcPr>
            <w:tcW w:w="14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rFonts w:ascii="Times New Roman" w:hAnsi="Times New Roman"/>
                <w:b w:val="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1"/>
                <w:sz w:val="28"/>
                <w:szCs w:val="28"/>
                <w:lang w:val="uk-UA"/>
              </w:rPr>
              <w:t>кількість охоплених осіб, чол.</w:t>
            </w:r>
          </w:p>
        </w:tc>
        <w:tc>
          <w:tcPr>
            <w:tcW w:w="169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rFonts w:ascii="Times New Roman" w:hAnsi="Times New Roman"/>
                <w:b w:val="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1"/>
                <w:iCs w:val="1"/>
                <w:sz w:val="28"/>
                <w:szCs w:val="28"/>
                <w:lang w:val="uk-UA"/>
              </w:rPr>
              <w:t>200</w:t>
            </w:r>
          </w:p>
        </w:tc>
      </w:tr>
      <w:tr>
        <w:tc>
          <w:tcPr>
            <w:tcW w:w="0" w:type="auto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  <w:hideMark/>
          </w:tcPr>
          <w:p>
            <w:pPr>
              <w:rPr>
                <w:rFonts w:ascii="Times New Roman" w:hAnsi="Times New Roman"/>
                <w:b w:val="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rFonts w:ascii="Times New Roman" w:hAnsi="Times New Roman"/>
                <w:b w:val="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1"/>
                <w:sz w:val="28"/>
                <w:szCs w:val="28"/>
                <w:lang w:val="uk-UA"/>
              </w:rPr>
              <w:t>середня вартість послуги, грн</w:t>
            </w:r>
          </w:p>
        </w:tc>
        <w:tc>
          <w:tcPr>
            <w:tcW w:w="124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rFonts w:ascii="Times New Roman" w:hAnsi="Times New Roman"/>
                <w:b w:val="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1"/>
                <w:iCs w:val="1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5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rFonts w:ascii="Times New Roman" w:hAnsi="Times New Roman"/>
                <w:i w:val="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1"/>
                <w:sz w:val="28"/>
                <w:szCs w:val="28"/>
                <w:lang w:val="uk-UA"/>
              </w:rPr>
              <w:t>+450,00</w:t>
            </w:r>
          </w:p>
        </w:tc>
        <w:tc>
          <w:tcPr>
            <w:tcW w:w="14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rFonts w:ascii="Times New Roman" w:hAnsi="Times New Roman"/>
                <w:b w:val="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1"/>
                <w:sz w:val="28"/>
                <w:szCs w:val="28"/>
                <w:lang w:val="uk-UA"/>
              </w:rPr>
              <w:t>середня вартість послуги, грн</w:t>
            </w:r>
          </w:p>
        </w:tc>
        <w:tc>
          <w:tcPr>
            <w:tcW w:w="169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rFonts w:ascii="Times New Roman" w:hAnsi="Times New Roman"/>
                <w:b w:val="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1"/>
                <w:iCs w:val="1"/>
                <w:sz w:val="28"/>
                <w:szCs w:val="28"/>
                <w:lang w:val="uk-UA"/>
              </w:rPr>
              <w:t>450,00</w:t>
            </w:r>
          </w:p>
        </w:tc>
      </w:tr>
      <w:tr>
        <w:trPr>
          <w:trHeight w:hRule="atLeast" w:val="986"/>
        </w:trPr>
        <w:tc>
          <w:tcPr>
            <w:tcW w:w="234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rFonts w:ascii="Times New Roman" w:hAnsi="Times New Roman"/>
                <w:b w:val="1"/>
                <w:i w:val="1"/>
                <w:bCs w:val="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1"/>
                <w:i w:val="1"/>
                <w:bCs w:val="1"/>
                <w:sz w:val="28"/>
                <w:szCs w:val="28"/>
                <w:lang w:val="uk-UA"/>
              </w:rPr>
              <w:t>Графа 202</w:t>
            </w:r>
            <w:r>
              <w:rPr>
                <w:rFonts w:ascii="Times New Roman" w:hAnsi="Times New Roman"/>
                <w:b w:val="1"/>
                <w:i w:val="1"/>
                <w:bCs w:val="0"/>
                <w:smallCaps w:val="0"/>
                <w:sz w:val="28"/>
                <w:szCs w:val="22"/>
                <w:cs w:val="0"/>
                <w:spacing w:val="0"/>
                <w:w w:val="100"/>
                <w:position w:val="0"/>
                <w:snapToGrid w:val="1"/>
                <w:lang w:val="uk-UA"/>
              </w:rPr>
              <w:t>4</w:t>
            </w:r>
            <w:r>
              <w:rPr>
                <w:rFonts w:ascii="Times New Roman" w:hAnsi="Times New Roman"/>
                <w:b w:val="1"/>
                <w:i w:val="1"/>
                <w:bCs w:val="1"/>
                <w:sz w:val="28"/>
                <w:szCs w:val="28"/>
                <w:lang w:val="uk-UA"/>
              </w:rPr>
              <w:t xml:space="preserve"> по пункту ВСЬОГО</w:t>
            </w:r>
          </w:p>
        </w:tc>
        <w:tc>
          <w:tcPr>
            <w:tcW w:w="14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rFonts w:ascii="Times New Roman" w:hAnsi="Times New Roman"/>
                <w:b w:val="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1"/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24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rFonts w:ascii="Times New Roman" w:hAnsi="Times New Roman"/>
                <w:b w:val="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1"/>
                <w:iCs w:val="1"/>
                <w:sz w:val="28"/>
                <w:szCs w:val="28"/>
                <w:lang w:val="uk-UA"/>
              </w:rPr>
              <w:t>250,00</w:t>
            </w:r>
          </w:p>
        </w:tc>
        <w:tc>
          <w:tcPr>
            <w:tcW w:w="15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rFonts w:ascii="Times New Roman" w:hAnsi="Times New Roman"/>
                <w:i w:val="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1"/>
                <w:sz w:val="28"/>
                <w:szCs w:val="28"/>
                <w:lang w:val="uk-UA"/>
              </w:rPr>
              <w:t>+90,00</w:t>
            </w:r>
          </w:p>
        </w:tc>
        <w:tc>
          <w:tcPr>
            <w:tcW w:w="14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rFonts w:ascii="Times New Roman" w:hAnsi="Times New Roman"/>
                <w:b w:val="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1"/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69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rFonts w:ascii="Times New Roman" w:hAnsi="Times New Roman"/>
                <w:b w:val="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1"/>
                <w:iCs w:val="1"/>
                <w:sz w:val="28"/>
                <w:szCs w:val="28"/>
                <w:lang w:val="uk-UA"/>
              </w:rPr>
              <w:t xml:space="preserve">340,00 </w:t>
            </w:r>
          </w:p>
        </w:tc>
      </w:tr>
      <w:tr>
        <w:trPr>
          <w:trHeight w:hRule="atLeast" w:val="986"/>
        </w:trPr>
        <w:tc>
          <w:tcPr>
            <w:tcW w:w="234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rFonts w:ascii="Times New Roman" w:hAnsi="Times New Roman"/>
                <w:iCs w:val="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  <w:szCs w:val="28"/>
                <w:lang w:val="uk-UA"/>
              </w:rPr>
              <w:t>Пункт ВСЬОГО</w:t>
            </w:r>
          </w:p>
        </w:tc>
        <w:tc>
          <w:tcPr>
            <w:tcW w:w="14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rFonts w:ascii="Times New Roman" w:hAnsi="Times New Roman"/>
                <w:i w:val="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1"/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24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rFonts w:ascii="Times New Roman" w:hAnsi="Times New Roman"/>
                <w:i w:val="1"/>
                <w:iCs w:val="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1"/>
                <w:iCs w:val="1"/>
                <w:sz w:val="28"/>
                <w:szCs w:val="28"/>
                <w:lang w:val="uk-UA"/>
              </w:rPr>
              <w:t>8 611,34</w:t>
            </w:r>
          </w:p>
        </w:tc>
        <w:tc>
          <w:tcPr>
            <w:tcW w:w="15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rFonts w:ascii="Times New Roman" w:hAnsi="Times New Roman"/>
                <w:i w:val="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1"/>
                <w:sz w:val="28"/>
                <w:szCs w:val="28"/>
                <w:lang w:val="uk-UA"/>
              </w:rPr>
              <w:t>+90,00</w:t>
            </w:r>
          </w:p>
        </w:tc>
        <w:tc>
          <w:tcPr>
            <w:tcW w:w="14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rFonts w:ascii="Times New Roman" w:hAnsi="Times New Roman"/>
                <w:i w:val="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1"/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69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rFonts w:ascii="Times New Roman" w:hAnsi="Times New Roman"/>
                <w:i w:val="1"/>
                <w:iCs w:val="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1"/>
                <w:iCs w:val="1"/>
                <w:sz w:val="28"/>
                <w:szCs w:val="28"/>
                <w:lang w:val="uk-UA"/>
              </w:rPr>
              <w:t>8 701,34</w:t>
            </w:r>
          </w:p>
        </w:tc>
      </w:tr>
    </w:tbl>
    <w:p>
      <w:p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>
      <w:p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управління 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культури, сім’ї  та молоді                                                      Аліна ЯРМОЛЕНКО</w:t>
      </w:r>
    </w:p>
    <w:p>
      <w:p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>
      <w:type w:val="nextPage"/>
      <w:pgSz w:w="11906" w:h="16838" w:code="0"/>
      <w:pgMar w:left="1701" w:right="850" w:top="568" w:bottom="426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0000001"/>
    <w:multiLevelType w:val="multilevel"/>
    <w:lvl w:ilvl="0">
      <w:start w:val="1"/>
      <w:numFmt w:val="none"/>
      <w:suff w:val="nothing"/>
      <w:lvlText w:val=""/>
      <w:lvlJc w:val="left"/>
      <w:pPr>
        <w:ind w:hanging="432" w:left="432"/>
        <w:tabs>
          <w:tab w:val="num" w:pos="432" w:leader="none"/>
        </w:tabs>
      </w:pPr>
      <w:rPr/>
    </w:lvl>
    <w:lvl w:ilvl="1">
      <w:start w:val="1"/>
      <w:numFmt w:val="none"/>
      <w:suff w:val="nothing"/>
      <w:lvlText w:val=""/>
      <w:lvlJc w:val="left"/>
      <w:pPr>
        <w:ind w:hanging="576" w:left="576"/>
        <w:tabs>
          <w:tab w:val="num" w:pos="576" w:leader="none"/>
        </w:tabs>
      </w:pPr>
      <w:rPr/>
    </w:lvl>
    <w:lvl w:ilvl="2">
      <w:start w:val="1"/>
      <w:numFmt w:val="none"/>
      <w:suff w:val="nothing"/>
      <w:lvlText w:val=""/>
      <w:lvlJc w:val="left"/>
      <w:pPr>
        <w:ind w:hanging="720" w:left="720"/>
        <w:tabs>
          <w:tab w:val="num" w:pos="720" w:leader="none"/>
        </w:tabs>
      </w:pPr>
      <w:rPr/>
    </w:lvl>
    <w:lvl w:ilvl="3">
      <w:start w:val="1"/>
      <w:numFmt w:val="none"/>
      <w:suff w:val="nothing"/>
      <w:lvlText w:val=""/>
      <w:lvlJc w:val="left"/>
      <w:pPr>
        <w:ind w:hanging="864" w:left="864"/>
        <w:tabs>
          <w:tab w:val="num" w:pos="864" w:leader="none"/>
        </w:tabs>
      </w:pPr>
      <w:rPr/>
    </w:lvl>
    <w:lvl w:ilvl="4">
      <w:start w:val="1"/>
      <w:numFmt w:val="none"/>
      <w:suff w:val="nothing"/>
      <w:lvlText w:val=""/>
      <w:lvlJc w:val="left"/>
      <w:pPr>
        <w:ind w:hanging="1008" w:left="1008"/>
        <w:tabs>
          <w:tab w:val="num" w:pos="1008" w:leader="none"/>
        </w:tabs>
      </w:pPr>
      <w:rPr/>
    </w:lvl>
    <w:lvl w:ilvl="5">
      <w:start w:val="1"/>
      <w:numFmt w:val="none"/>
      <w:suff w:val="nothing"/>
      <w:lvlText w:val=""/>
      <w:lvlJc w:val="left"/>
      <w:pPr>
        <w:ind w:hanging="1152" w:left="1152"/>
        <w:tabs>
          <w:tab w:val="num" w:pos="1152" w:leader="none"/>
        </w:tabs>
      </w:pPr>
      <w:rPr/>
    </w:lvl>
    <w:lvl w:ilvl="6">
      <w:start w:val="1"/>
      <w:numFmt w:val="none"/>
      <w:suff w:val="nothing"/>
      <w:lvlText w:val=""/>
      <w:lvlJc w:val="left"/>
      <w:pPr>
        <w:ind w:hanging="1296" w:left="1296"/>
        <w:tabs>
          <w:tab w:val="num" w:pos="1296" w:leader="none"/>
        </w:tabs>
      </w:pPr>
      <w:rPr/>
    </w:lvl>
    <w:lvl w:ilvl="7">
      <w:start w:val="1"/>
      <w:numFmt w:val="none"/>
      <w:suff w:val="nothing"/>
      <w:lvlText w:val=""/>
      <w:lvlJc w:val="left"/>
      <w:pPr>
        <w:ind w:hanging="1440" w:left="1440"/>
        <w:tabs>
          <w:tab w:val="num" w:pos="1440" w:leader="none"/>
        </w:tabs>
      </w:pPr>
      <w:rPr/>
    </w:lvl>
    <w:lvl w:ilvl="8">
      <w:start w:val="1"/>
      <w:numFmt w:val="none"/>
      <w:suff w:val="nothing"/>
      <w:lvlText w:val=""/>
      <w:lvlJc w:val="left"/>
      <w:pPr>
        <w:ind w:hanging="1584" w:left="1584"/>
        <w:tabs>
          <w:tab w:val="num" w:pos="1584" w:leader="none"/>
        </w:tabs>
      </w:pPr>
      <w:rPr/>
    </w:lvl>
  </w:abstractNum>
  <w:abstractNum w:abstractNumId="1">
    <w:nsid w:val="381D6C39"/>
    <w:multiLevelType w:val="hybridMultilevel"/>
    <w:lvl w:ilvl="0" w:tplc="07B8A21A">
      <w:start w:val="2"/>
      <w:numFmt w:val="bullet"/>
      <w:suff w:val="tab"/>
      <w:lvlText w:val="-"/>
      <w:lvlJc w:val="left"/>
      <w:pPr>
        <w:ind w:hanging="360" w:left="720"/>
      </w:pPr>
      <w:rPr>
        <w:rFonts w:ascii="Times New Roman" w:hAnsi="Times New Roman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hyphenationZone w:val="425"/>
  <w:evenAndOddHeaders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szCs w:val="22"/>
        <w:lang w:val="ru-RU" w:bidi="ar-SA" w:eastAsia="ru-RU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paragraph" w:styleId="P1">
    <w:name w:val="Normal (Web)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  <w:szCs w:val="24"/>
      <w:lang w:val="uk-UA" w:eastAsia="uk-UA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Strong"/>
    <w:basedOn w:val="C0"/>
    <w:qFormat/>
    <w:rPr>
      <w:b w:val="1"/>
      <w:bCs w:val="1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Сетка таблицы1"/>
    <w:basedOn w:val="T0"/>
    <w:pPr>
      <w:spacing w:lineRule="auto" w:line="240" w:after="0" w:beforeAutospacing="0" w:afterAutospacing="0"/>
    </w:pPr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API/21.1.3.0</Application>
  <AppVersion>21.1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Пользователь Windows</dc:creator>
  <dcterms:created xsi:type="dcterms:W3CDTF">2021-03-03T14:03:00Z</dcterms:created>
  <cp:lastModifiedBy>ASKOD</cp:lastModifiedBy>
  <dcterms:modified xsi:type="dcterms:W3CDTF">2024-03-11T07:09:56Z</dcterms:modified>
  <cp:revision>16</cp:revision>
</cp:coreProperties>
</file>