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6599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B420FA" w:rsidRDefault="00B420FA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B420FA" w:rsidRPr="00F74E65" w:rsidRDefault="00B420FA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ED1" w:rsidRPr="00457ED1" w:rsidRDefault="00D8131E" w:rsidP="00B420FA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рішення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на                   </w:t>
      </w:r>
      <w:r w:rsidR="00FE5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:rsidR="0076032A" w:rsidRPr="0076032A" w:rsidRDefault="005E2158" w:rsidP="00F153D1">
      <w:pPr>
        <w:pStyle w:val="a5"/>
        <w:numPr>
          <w:ilvl w:val="1"/>
          <w:numId w:val="11"/>
        </w:numPr>
        <w:tabs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</w:t>
      </w:r>
      <w:r w:rsidR="00FD62BD">
        <w:rPr>
          <w:rFonts w:ascii="Times New Roman" w:eastAsia="Calibri" w:hAnsi="Times New Roman" w:cs="Times New Roman"/>
          <w:sz w:val="28"/>
          <w:szCs w:val="28"/>
          <w:lang w:val="uk-UA"/>
        </w:rPr>
        <w:t>з потребою у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5FC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фінансуванні н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«Броварсько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центру первинної медико-санітарної допомоги»</w:t>
      </w:r>
      <w:r w:rsidR="00B710F7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08D5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вид</w:t>
      </w:r>
      <w:r w:rsid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ілити додаткові кошти </w:t>
      </w:r>
      <w:r w:rsidR="00CF218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розмірі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755296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10BF3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 5</w:t>
      </w:r>
      <w:r w:rsidR="00D924B0" w:rsidRPr="00F153D1"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2504A4" w:rsidRDefault="00904862" w:rsidP="00407706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зміни у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F2189" w:rsidRPr="00CF21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3327F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757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76032A">
        <w:rPr>
          <w:rFonts w:ascii="Times New Roman" w:hAnsi="Times New Roman"/>
          <w:sz w:val="28"/>
          <w:szCs w:val="28"/>
          <w:lang w:val="uk-UA"/>
        </w:rPr>
        <w:t>відшкодування ліків</w:t>
      </w:r>
      <w:r w:rsidR="005771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BF3">
        <w:rPr>
          <w:rFonts w:ascii="Times New Roman" w:eastAsia="Calibri" w:hAnsi="Times New Roman" w:cs="Times New Roman"/>
          <w:sz w:val="28"/>
          <w:szCs w:val="28"/>
          <w:lang w:val="uk-UA"/>
        </w:rPr>
        <w:t>в п.</w:t>
      </w:r>
      <w:r w:rsidR="00924279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4279">
        <w:rPr>
          <w:rFonts w:ascii="Times New Roman" w:eastAsia="Calibri" w:hAnsi="Times New Roman" w:cs="Times New Roman"/>
          <w:sz w:val="28"/>
          <w:szCs w:val="28"/>
          <w:lang w:val="uk-UA"/>
        </w:rPr>
        <w:t>1.2.5.;</w:t>
      </w:r>
      <w:r w:rsidR="00924279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296">
        <w:rPr>
          <w:rFonts w:ascii="Times New Roman" w:eastAsia="Calibri" w:hAnsi="Times New Roman" w:cs="Times New Roman"/>
          <w:sz w:val="28"/>
          <w:szCs w:val="28"/>
          <w:lang w:val="uk-UA"/>
        </w:rPr>
        <w:t>1.2.10</w:t>
      </w:r>
      <w:r w:rsidR="00924279">
        <w:rPr>
          <w:rFonts w:ascii="Times New Roman" w:hAnsi="Times New Roman"/>
          <w:sz w:val="28"/>
          <w:szCs w:val="28"/>
          <w:lang w:val="uk-UA"/>
        </w:rPr>
        <w:t>.</w:t>
      </w:r>
      <w:r w:rsidR="00CF2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E1D33" w:rsidRPr="003E1D33" w:rsidRDefault="003E1D33" w:rsidP="00407706">
      <w:pPr>
        <w:pStyle w:val="a5"/>
        <w:numPr>
          <w:ilvl w:val="1"/>
          <w:numId w:val="11"/>
        </w:numPr>
        <w:tabs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B1E">
        <w:rPr>
          <w:rFonts w:ascii="Times New Roman" w:hAnsi="Times New Roman"/>
          <w:sz w:val="28"/>
          <w:szCs w:val="28"/>
          <w:lang w:val="uk-UA"/>
        </w:rPr>
        <w:t>Зважаючи на численні звернення</w:t>
      </w:r>
      <w:r w:rsidR="00F153D1" w:rsidRPr="003E1D33">
        <w:rPr>
          <w:rFonts w:ascii="Times New Roman" w:hAnsi="Times New Roman"/>
          <w:sz w:val="28"/>
          <w:szCs w:val="28"/>
          <w:lang w:val="uk-UA"/>
        </w:rPr>
        <w:t xml:space="preserve"> мешкан</w:t>
      </w:r>
      <w:r w:rsidRPr="003E1D33">
        <w:rPr>
          <w:rFonts w:ascii="Times New Roman" w:hAnsi="Times New Roman"/>
          <w:sz w:val="28"/>
          <w:szCs w:val="28"/>
          <w:lang w:val="uk-UA"/>
        </w:rPr>
        <w:t xml:space="preserve">ців Броварської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Pr="003E1D33">
        <w:rPr>
          <w:rFonts w:ascii="Times New Roman" w:hAnsi="Times New Roman"/>
          <w:sz w:val="28"/>
          <w:szCs w:val="28"/>
          <w:lang w:val="uk-UA"/>
        </w:rPr>
        <w:t>громади</w:t>
      </w:r>
      <w:r w:rsidR="00F153D1" w:rsidRPr="003E1D33">
        <w:rPr>
          <w:rFonts w:ascii="Times New Roman" w:hAnsi="Times New Roman"/>
          <w:sz w:val="28"/>
          <w:szCs w:val="28"/>
          <w:lang w:val="uk-UA"/>
        </w:rPr>
        <w:t xml:space="preserve"> щодо можливості надання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F153D1" w:rsidRPr="003E1D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53D1" w:rsidRPr="003E1D33">
        <w:rPr>
          <w:rFonts w:ascii="Times New Roman" w:hAnsi="Times New Roman"/>
          <w:sz w:val="28"/>
          <w:szCs w:val="28"/>
          <w:lang w:val="uk-UA"/>
        </w:rPr>
        <w:t>колоноскопії</w:t>
      </w:r>
      <w:proofErr w:type="spellEnd"/>
      <w:r w:rsidR="00F153D1" w:rsidRPr="003E1D33">
        <w:rPr>
          <w:rFonts w:ascii="Times New Roman" w:hAnsi="Times New Roman"/>
          <w:sz w:val="28"/>
          <w:szCs w:val="28"/>
          <w:lang w:val="uk-UA"/>
        </w:rPr>
        <w:t xml:space="preserve"> та проведення енд</w:t>
      </w:r>
      <w:r>
        <w:rPr>
          <w:rFonts w:ascii="Times New Roman" w:hAnsi="Times New Roman"/>
          <w:sz w:val="28"/>
          <w:szCs w:val="28"/>
          <w:lang w:val="uk-UA"/>
        </w:rPr>
        <w:t xml:space="preserve">оскопічних хірургічних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втручань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виникла п</w:t>
      </w:r>
      <w:r w:rsidRPr="003E1D33">
        <w:rPr>
          <w:rFonts w:ascii="Times New Roman" w:hAnsi="Times New Roman"/>
          <w:sz w:val="28"/>
          <w:szCs w:val="28"/>
          <w:lang w:val="uk-UA"/>
        </w:rPr>
        <w:t xml:space="preserve">отреба </w:t>
      </w:r>
      <w:r w:rsidR="00FC0B1E">
        <w:rPr>
          <w:rFonts w:ascii="Times New Roman" w:hAnsi="Times New Roman"/>
          <w:sz w:val="28"/>
          <w:szCs w:val="28"/>
          <w:lang w:val="uk-UA"/>
        </w:rPr>
        <w:t>у придбанні</w:t>
      </w:r>
      <w:r w:rsidRPr="003E1D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медичного </w:t>
      </w:r>
      <w:r w:rsidRPr="003E1D33">
        <w:rPr>
          <w:rFonts w:ascii="Times New Roman" w:hAnsi="Times New Roman"/>
          <w:sz w:val="28"/>
          <w:szCs w:val="28"/>
          <w:lang w:val="uk-UA"/>
        </w:rPr>
        <w:t>обладнання</w:t>
      </w:r>
      <w:r w:rsidR="004D433A"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 w:rsidRPr="004D433A">
        <w:rPr>
          <w:rFonts w:ascii="Times New Roman" w:hAnsi="Times New Roman"/>
          <w:sz w:val="28"/>
          <w:szCs w:val="28"/>
          <w:lang w:val="uk-UA"/>
        </w:rPr>
        <w:t>у кабінет</w:t>
      </w:r>
      <w:r w:rsidR="004D4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433A" w:rsidRPr="004D433A">
        <w:rPr>
          <w:rFonts w:ascii="Times New Roman" w:hAnsi="Times New Roman"/>
          <w:sz w:val="28"/>
          <w:szCs w:val="28"/>
          <w:lang w:val="uk-UA"/>
        </w:rPr>
        <w:t>лікаря-</w:t>
      </w:r>
      <w:proofErr w:type="spellStart"/>
      <w:r w:rsidR="004D433A" w:rsidRPr="004D433A">
        <w:rPr>
          <w:rFonts w:ascii="Times New Roman" w:hAnsi="Times New Roman"/>
          <w:sz w:val="28"/>
          <w:szCs w:val="28"/>
          <w:lang w:val="uk-UA"/>
        </w:rPr>
        <w:t>ендоскопіста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07706" w:rsidRDefault="003E1D33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 w:hanging="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E1D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70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Для закупівлі </w:t>
      </w:r>
      <w:r w:rsidR="00FC0B1E" w:rsidRPr="003E1D33">
        <w:rPr>
          <w:rFonts w:ascii="Times New Roman" w:hAnsi="Times New Roman"/>
          <w:sz w:val="28"/>
          <w:szCs w:val="28"/>
          <w:lang w:val="uk-UA"/>
        </w:rPr>
        <w:t>необхідного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обладнання </w:t>
      </w:r>
      <w:r w:rsidR="0076032A">
        <w:rPr>
          <w:rFonts w:ascii="Times New Roman" w:hAnsi="Times New Roman"/>
          <w:sz w:val="28"/>
          <w:szCs w:val="28"/>
          <w:lang w:val="uk-UA"/>
        </w:rPr>
        <w:t>у кабінет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 ендоскопії 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E606BA">
        <w:rPr>
          <w:rFonts w:ascii="Times New Roman" w:hAnsi="Times New Roman"/>
          <w:sz w:val="28"/>
          <w:szCs w:val="28"/>
          <w:lang w:val="uk-UA"/>
        </w:rPr>
        <w:t>необхідність</w:t>
      </w:r>
      <w:r w:rsidR="00920C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B52E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BB52E3">
        <w:rPr>
          <w:rFonts w:ascii="Times New Roman" w:hAnsi="Times New Roman"/>
          <w:sz w:val="28"/>
          <w:szCs w:val="28"/>
          <w:lang w:val="uk-UA"/>
        </w:rPr>
        <w:t xml:space="preserve"> зміни </w:t>
      </w:r>
      <w:r w:rsidR="00CF2189">
        <w:rPr>
          <w:rFonts w:ascii="Times New Roman" w:hAnsi="Times New Roman"/>
          <w:sz w:val="28"/>
          <w:szCs w:val="28"/>
          <w:lang w:val="uk-UA"/>
        </w:rPr>
        <w:t>у</w:t>
      </w:r>
      <w:r w:rsidR="00407706" w:rsidRPr="00407706">
        <w:rPr>
          <w:rFonts w:ascii="Times New Roman" w:hAnsi="Times New Roman"/>
          <w:sz w:val="28"/>
          <w:szCs w:val="28"/>
          <w:lang w:val="uk-UA"/>
        </w:rPr>
        <w:t xml:space="preserve"> додаток до Комплексної програми розвитку охорони здоров’я в Броварській міській територіальній громаді</w:t>
      </w:r>
      <w:r w:rsidR="00407706" w:rsidRPr="0040770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7706" w:rsidRPr="00407706">
        <w:rPr>
          <w:rFonts w:ascii="Times New Roman" w:hAnsi="Times New Roman"/>
          <w:sz w:val="28"/>
          <w:szCs w:val="28"/>
          <w:lang w:val="uk-UA"/>
        </w:rPr>
        <w:t xml:space="preserve">на 2022-2026 роки </w:t>
      </w:r>
      <w:r w:rsidR="00E606BA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B52E3" w:rsidRPr="00BB52E3">
        <w:rPr>
          <w:rFonts w:ascii="Times New Roman" w:hAnsi="Times New Roman"/>
          <w:sz w:val="28"/>
          <w:szCs w:val="28"/>
          <w:lang w:val="uk-UA"/>
        </w:rPr>
        <w:t xml:space="preserve"> розділ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407706">
        <w:rPr>
          <w:rFonts w:ascii="Times New Roman" w:hAnsi="Times New Roman"/>
          <w:sz w:val="28"/>
          <w:szCs w:val="28"/>
          <w:lang w:val="uk-UA"/>
        </w:rPr>
        <w:t>:</w:t>
      </w:r>
      <w:r w:rsidR="00BB52E3" w:rsidRPr="00BB5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70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420FA" w:rsidRDefault="00407706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-</w:t>
      </w:r>
      <w:r w:rsidR="00AF390A">
        <w:rPr>
          <w:rFonts w:ascii="Times New Roman" w:hAnsi="Times New Roman"/>
          <w:sz w:val="28"/>
          <w:szCs w:val="28"/>
          <w:lang w:val="uk-UA"/>
        </w:rPr>
        <w:t xml:space="preserve"> зробити</w:t>
      </w:r>
      <w:r w:rsidR="00BB52E3" w:rsidRPr="00BB52E3">
        <w:rPr>
          <w:rFonts w:ascii="Times New Roman" w:hAnsi="Times New Roman"/>
          <w:sz w:val="28"/>
          <w:szCs w:val="28"/>
          <w:lang w:val="uk-UA"/>
        </w:rPr>
        <w:t xml:space="preserve"> перерозподіл</w:t>
      </w:r>
      <w:r w:rsidR="00BB52E3">
        <w:rPr>
          <w:rFonts w:ascii="Times New Roman" w:hAnsi="Times New Roman"/>
          <w:sz w:val="28"/>
          <w:szCs w:val="28"/>
          <w:lang w:val="uk-UA"/>
        </w:rPr>
        <w:t xml:space="preserve"> 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B1E" w:rsidRPr="00FC0B1E">
        <w:rPr>
          <w:rFonts w:ascii="Times New Roman" w:hAnsi="Times New Roman"/>
          <w:sz w:val="28"/>
          <w:szCs w:val="28"/>
          <w:lang w:val="uk-UA"/>
        </w:rPr>
        <w:t>в сумі 592</w:t>
      </w:r>
      <w:r w:rsidR="00FC0B1E" w:rsidRPr="00FC0B1E">
        <w:rPr>
          <w:rFonts w:ascii="Times New Roman" w:hAnsi="Times New Roman"/>
          <w:sz w:val="28"/>
          <w:szCs w:val="28"/>
        </w:rPr>
        <w:t> </w:t>
      </w:r>
      <w:r w:rsidR="00FC0B1E" w:rsidRPr="00FC0B1E">
        <w:rPr>
          <w:rFonts w:ascii="Times New Roman" w:hAnsi="Times New Roman"/>
          <w:sz w:val="28"/>
          <w:szCs w:val="28"/>
          <w:lang w:val="uk-UA"/>
        </w:rPr>
        <w:t>335,00 грн.</w:t>
      </w:r>
      <w:r w:rsidR="00FC0B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06BA">
        <w:rPr>
          <w:rFonts w:ascii="Times New Roman" w:hAnsi="Times New Roman"/>
          <w:sz w:val="28"/>
          <w:szCs w:val="28"/>
          <w:lang w:val="uk-UA"/>
        </w:rPr>
        <w:t>з п.</w:t>
      </w:r>
      <w:r w:rsidR="003E1D33" w:rsidRPr="00920C79"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E606BA" w:rsidRPr="00E606BA">
        <w:rPr>
          <w:rFonts w:ascii="Times New Roman" w:hAnsi="Times New Roman"/>
          <w:sz w:val="28"/>
          <w:szCs w:val="28"/>
          <w:lang w:val="uk-UA"/>
        </w:rPr>
        <w:t>«Утримання установи»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B52E3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="00BB52E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E1D33" w:rsidRPr="00E606BA">
        <w:rPr>
          <w:rFonts w:ascii="Times New Roman" w:hAnsi="Times New Roman"/>
          <w:sz w:val="28"/>
          <w:szCs w:val="28"/>
          <w:lang w:val="uk-UA"/>
        </w:rPr>
        <w:t>1.1.4</w:t>
      </w:r>
      <w:r w:rsidR="00BB52E3">
        <w:rPr>
          <w:rFonts w:ascii="Times New Roman" w:hAnsi="Times New Roman"/>
          <w:sz w:val="28"/>
          <w:szCs w:val="28"/>
          <w:lang w:val="uk-UA"/>
        </w:rPr>
        <w:t>.</w:t>
      </w:r>
      <w:r w:rsidR="003E1D33" w:rsidRPr="00E606BA">
        <w:rPr>
          <w:rFonts w:ascii="Times New Roman" w:hAnsi="Times New Roman"/>
          <w:sz w:val="28"/>
          <w:szCs w:val="28"/>
          <w:lang w:val="uk-UA"/>
        </w:rPr>
        <w:t xml:space="preserve"> «Оплата послуг (крім комунальних, охорона, телекомунікаційні послуги,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тощо)»</w:t>
      </w:r>
      <w:r w:rsidR="00BB52E3">
        <w:rPr>
          <w:rFonts w:ascii="Times New Roman" w:hAnsi="Times New Roman"/>
          <w:sz w:val="28"/>
          <w:szCs w:val="28"/>
          <w:lang w:val="uk-UA"/>
        </w:rPr>
        <w:t xml:space="preserve"> по загальному фонду</w:t>
      </w:r>
      <w:r w:rsidR="003E1D33" w:rsidRPr="00E606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E1D33" w:rsidRPr="00E606BA">
        <w:rPr>
          <w:rFonts w:ascii="Times New Roman" w:hAnsi="Times New Roman"/>
          <w:sz w:val="28"/>
          <w:szCs w:val="28"/>
          <w:lang w:val="uk-UA"/>
        </w:rPr>
        <w:t>на п.1.3</w:t>
      </w:r>
      <w:r w:rsidR="00BB52E3">
        <w:rPr>
          <w:rFonts w:ascii="Times New Roman" w:hAnsi="Times New Roman"/>
          <w:sz w:val="28"/>
          <w:szCs w:val="28"/>
          <w:lang w:val="uk-UA"/>
        </w:rPr>
        <w:t xml:space="preserve">. «Капітальні видатки» </w:t>
      </w:r>
      <w:proofErr w:type="spellStart"/>
      <w:r w:rsidR="00BB52E3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="00BB52E3">
        <w:rPr>
          <w:rFonts w:ascii="Times New Roman" w:hAnsi="Times New Roman"/>
          <w:sz w:val="28"/>
          <w:szCs w:val="28"/>
          <w:lang w:val="uk-UA"/>
        </w:rPr>
        <w:t>.</w:t>
      </w:r>
      <w:r w:rsidR="003E1D33" w:rsidRPr="00E606BA">
        <w:rPr>
          <w:rFonts w:ascii="Times New Roman" w:hAnsi="Times New Roman"/>
          <w:sz w:val="28"/>
          <w:szCs w:val="28"/>
          <w:lang w:val="uk-UA"/>
        </w:rPr>
        <w:t xml:space="preserve"> 1.3.3. «Купівля обладнання»</w:t>
      </w:r>
      <w:r w:rsidR="00BB52E3">
        <w:rPr>
          <w:rFonts w:ascii="Times New Roman" w:hAnsi="Times New Roman"/>
          <w:sz w:val="28"/>
          <w:szCs w:val="28"/>
          <w:lang w:val="uk-UA"/>
        </w:rPr>
        <w:t xml:space="preserve"> по спеціальному фонду.</w:t>
      </w:r>
    </w:p>
    <w:p w:rsidR="004D433A" w:rsidRDefault="004D433A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D433A" w:rsidRDefault="004D433A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D433A" w:rsidRDefault="004D433A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F2189" w:rsidRPr="00407706" w:rsidRDefault="00CF2189" w:rsidP="00407706">
      <w:pPr>
        <w:pStyle w:val="a5"/>
        <w:tabs>
          <w:tab w:val="left" w:pos="567"/>
          <w:tab w:val="left" w:pos="1134"/>
        </w:tabs>
        <w:autoSpaceDN w:val="0"/>
        <w:spacing w:after="0" w:line="252" w:lineRule="atLeast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20C79" w:rsidRDefault="00920C79" w:rsidP="00FC0B1E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161512" w:rsidRDefault="0074644B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:rsidR="00B420FA" w:rsidRPr="00BA3575" w:rsidRDefault="00B420FA" w:rsidP="004B703B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C76F6" w:rsidRDefault="00AF390A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D433A">
        <w:rPr>
          <w:rFonts w:ascii="Times New Roman" w:hAnsi="Times New Roman"/>
          <w:sz w:val="28"/>
          <w:szCs w:val="28"/>
          <w:lang w:val="uk-UA"/>
        </w:rPr>
        <w:t>У зв’язку із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збільшеною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 w:rsidR="00025822"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r w:rsidR="002C1908">
        <w:rPr>
          <w:rFonts w:ascii="Times New Roman" w:hAnsi="Times New Roman"/>
          <w:sz w:val="28"/>
          <w:szCs w:val="28"/>
          <w:lang w:val="uk-UA"/>
        </w:rPr>
        <w:t xml:space="preserve"> та медичних виробів</w:t>
      </w:r>
      <w:bookmarkStart w:id="0" w:name="_Hlk99379194"/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саме: </w:t>
      </w:r>
    </w:p>
    <w:bookmarkEnd w:id="0"/>
    <w:p w:rsidR="009A74AC" w:rsidRDefault="00924279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27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на онкологічні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захворювання, щ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потребують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хіміотерапії та паліативн</w:t>
      </w:r>
      <w:r w:rsidR="00110BF3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0BF3">
        <w:rPr>
          <w:rFonts w:ascii="Times New Roman" w:eastAsia="Calibri" w:hAnsi="Times New Roman" w:cs="Times New Roman"/>
          <w:sz w:val="28"/>
          <w:szCs w:val="28"/>
          <w:lang w:val="uk-UA"/>
        </w:rPr>
        <w:t>допомоги</w:t>
      </w:r>
      <w:r w:rsidR="003327F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F390A" w:rsidRDefault="003327F1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особам</w:t>
      </w:r>
      <w:r w:rsidRPr="003327F1">
        <w:rPr>
          <w:rFonts w:ascii="Times New Roman" w:eastAsia="Calibri" w:hAnsi="Times New Roman" w:cs="Times New Roman"/>
          <w:sz w:val="28"/>
          <w:szCs w:val="28"/>
          <w:lang w:val="uk-UA"/>
        </w:rPr>
        <w:t>, що потребують забезпечення медичними виробами на пільговій основі.</w:t>
      </w:r>
    </w:p>
    <w:p w:rsidR="003327F1" w:rsidRPr="00493951" w:rsidRDefault="00320F3C" w:rsidP="00320F3C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2.2.</w:t>
      </w:r>
      <w:r w:rsidR="004939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придбання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медичного обладнання </w:t>
      </w:r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кабінет                    </w:t>
      </w:r>
      <w:r w:rsidR="0044053B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>ікаря-</w:t>
      </w:r>
      <w:proofErr w:type="spellStart"/>
      <w:r w:rsidR="0044053B">
        <w:rPr>
          <w:rFonts w:ascii="Times New Roman" w:eastAsia="Calibri" w:hAnsi="Times New Roman" w:cs="Times New Roman"/>
          <w:sz w:val="28"/>
          <w:szCs w:val="28"/>
          <w:lang w:val="uk-UA"/>
        </w:rPr>
        <w:t>ендоскопіста</w:t>
      </w:r>
      <w:proofErr w:type="spellEnd"/>
      <w:r w:rsidR="0044053B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надання </w:t>
      </w:r>
      <w:r w:rsidR="00101B6F" w:rsidRPr="00320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послуг </w:t>
      </w:r>
      <w:proofErr w:type="spellStart"/>
      <w:r w:rsidR="00101B6F" w:rsidRPr="00320F3C">
        <w:rPr>
          <w:rFonts w:ascii="Times New Roman" w:eastAsia="Calibri" w:hAnsi="Times New Roman" w:cs="Times New Roman"/>
          <w:sz w:val="28"/>
          <w:szCs w:val="28"/>
          <w:lang w:val="uk-UA"/>
        </w:rPr>
        <w:t>колоноскопії</w:t>
      </w:r>
      <w:proofErr w:type="spellEnd"/>
      <w:r w:rsidR="00101B6F" w:rsidRPr="00320F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проведення ендоскопічних хірургічних </w:t>
      </w:r>
      <w:proofErr w:type="spellStart"/>
      <w:r w:rsidR="00101B6F" w:rsidRPr="00320F3C">
        <w:rPr>
          <w:rFonts w:ascii="Times New Roman" w:eastAsia="Calibri" w:hAnsi="Times New Roman" w:cs="Times New Roman"/>
          <w:sz w:val="28"/>
          <w:szCs w:val="28"/>
          <w:lang w:val="uk-UA"/>
        </w:rPr>
        <w:t>втручань</w:t>
      </w:r>
      <w:proofErr w:type="spellEnd"/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мешкан</w:t>
      </w:r>
      <w:r w:rsidR="00101B6F">
        <w:rPr>
          <w:rFonts w:ascii="Times New Roman" w:eastAsia="Calibri" w:hAnsi="Times New Roman" w:cs="Times New Roman"/>
          <w:sz w:val="28"/>
          <w:szCs w:val="28"/>
          <w:lang w:val="uk-UA"/>
        </w:rPr>
        <w:t>цям</w:t>
      </w:r>
      <w:r w:rsidR="00101B6F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93951" w:rsidRPr="004939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420FA" w:rsidRPr="00377577" w:rsidRDefault="00B420FA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B420FA" w:rsidRDefault="00B420FA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E572C" w:rsidRDefault="00FE572C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42A5" w:rsidRDefault="009B42A5" w:rsidP="0067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42A5" w:rsidRPr="00B53529" w:rsidRDefault="009B42A5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E572C" w:rsidRDefault="00FE572C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33A" w:rsidRDefault="00320F3C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B34C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відшкодування вартості ліків,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E572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10BF3">
        <w:rPr>
          <w:rFonts w:ascii="Times New Roman" w:eastAsia="Calibri" w:hAnsi="Times New Roman" w:cs="Times New Roman"/>
          <w:sz w:val="28"/>
          <w:szCs w:val="28"/>
          <w:lang w:val="uk-UA"/>
        </w:rPr>
        <w:t> 5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00 000,00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D433A" w:rsidRPr="004D433A" w:rsidRDefault="004D433A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1 000 000,00 грн. - на онкологічні захворювання, що потребують хіміотерапії та паліативної допомоги; </w:t>
      </w:r>
    </w:p>
    <w:p w:rsidR="004D433A" w:rsidRDefault="004D433A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500 000,00 грн. - на закупівлю медичних виробів на пільговій основі згідно Постанови КМУ № 1301 від 03.12.2009 р. </w:t>
      </w:r>
    </w:p>
    <w:p w:rsidR="004D433A" w:rsidRDefault="00320F3C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закупівлі обладнання у кабінет ендоскопії виникла необхідність </w:t>
      </w:r>
      <w:proofErr w:type="spellStart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до  розділу</w:t>
      </w:r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та зробити перерозподіл коштів, а саме: </w:t>
      </w:r>
    </w:p>
    <w:p w:rsidR="007765CB" w:rsidRDefault="007765CB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зняти кошти в сумі</w:t>
      </w:r>
      <w:r w:rsidRPr="00776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592 335,00 грн.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загального фонду з </w:t>
      </w:r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п.1.1. «Утримання установи» </w:t>
      </w:r>
      <w:proofErr w:type="spellStart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>п.п</w:t>
      </w:r>
      <w:proofErr w:type="spellEnd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>. 1.1.4. «Оплата послуг (крім комунальних, охорона, телекомунікаційні послуги, інтернет, вивіз сміття, утримання прибудинкових територій, інформаційні, консультаційні послуги, послуги моніторингу транспорту, поточн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 ремонту, страхування тощо)»;</w:t>
      </w:r>
    </w:p>
    <w:p w:rsidR="00320F3C" w:rsidRDefault="007765CB" w:rsidP="004D433A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C036DA">
        <w:rPr>
          <w:rFonts w:ascii="Times New Roman" w:eastAsia="Calibri" w:hAnsi="Times New Roman" w:cs="Times New Roman"/>
          <w:sz w:val="28"/>
          <w:szCs w:val="28"/>
          <w:lang w:val="uk-UA"/>
        </w:rPr>
        <w:t>направи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 </w:t>
      </w:r>
      <w:r w:rsidRPr="00776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кошти в сумі 592 335,00 грн. </w:t>
      </w:r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спеціальний фонд у </w:t>
      </w:r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п.1.3. «Капітальні видатки» </w:t>
      </w:r>
      <w:proofErr w:type="spellStart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>п.п</w:t>
      </w:r>
      <w:proofErr w:type="spellEnd"/>
      <w:r w:rsidR="0076032A" w:rsidRPr="0076032A">
        <w:rPr>
          <w:rFonts w:ascii="Times New Roman" w:eastAsia="Calibri" w:hAnsi="Times New Roman" w:cs="Times New Roman"/>
          <w:sz w:val="28"/>
          <w:szCs w:val="28"/>
          <w:lang w:val="uk-UA"/>
        </w:rPr>
        <w:t>. 1.3.3. «Купівля обладнання».</w:t>
      </w:r>
    </w:p>
    <w:p w:rsidR="00FE572C" w:rsidRDefault="00FE572C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74644B" w:rsidRPr="000F3384" w:rsidRDefault="00C9731E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517C52" w:rsidRDefault="00101B6F" w:rsidP="00101B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на відшкодування вартості ліків </w:t>
      </w:r>
      <w:r w:rsidR="00D11E0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E1C52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своєчасного забезпечення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 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медичними виробами пільгові категорії 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населення громади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01B6F" w:rsidRDefault="00101B6F" w:rsidP="00101B6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5.2. 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Закупівля необхідного медичного обладнання у кабінет                    </w:t>
      </w:r>
      <w:r w:rsidR="004B3D55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ікаря-</w:t>
      </w:r>
      <w:proofErr w:type="spellStart"/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ендоскопіста</w:t>
      </w:r>
      <w:proofErr w:type="spellEnd"/>
      <w:r w:rsidR="004B3D55" w:rsidRP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для н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адання 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можливості отримання 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послуг </w:t>
      </w:r>
      <w:proofErr w:type="spellStart"/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колоноскопії</w:t>
      </w:r>
      <w:proofErr w:type="spellEnd"/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проведення ендоскопічних хірургічних </w:t>
      </w:r>
      <w:proofErr w:type="spellStart"/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>втручань</w:t>
      </w:r>
      <w:proofErr w:type="spellEnd"/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мешкан</w:t>
      </w:r>
      <w:r w:rsidR="004B3D55">
        <w:rPr>
          <w:rFonts w:ascii="Times New Roman" w:eastAsia="Calibri" w:hAnsi="Times New Roman" w:cs="Times New Roman"/>
          <w:sz w:val="28"/>
          <w:szCs w:val="28"/>
          <w:lang w:val="uk-UA"/>
        </w:rPr>
        <w:t>цям</w:t>
      </w:r>
      <w:r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громади.</w:t>
      </w:r>
    </w:p>
    <w:p w:rsidR="00FE572C" w:rsidRPr="00377577" w:rsidRDefault="00FE572C" w:rsidP="00FE57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5F334B" w:rsidRPr="00D704BE" w:rsidRDefault="00525C68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4B3D55" w:rsidRDefault="002A2907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4D433A" w:rsidRDefault="004D433A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10BF3" w:rsidRDefault="006F5AB1" w:rsidP="00674B6B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proofErr w:type="spellStart"/>
      <w:r w:rsidR="00110BF3">
        <w:rPr>
          <w:sz w:val="28"/>
          <w:szCs w:val="28"/>
          <w:lang w:val="uk-UA"/>
        </w:rPr>
        <w:t>Станішевська</w:t>
      </w:r>
      <w:proofErr w:type="spellEnd"/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 xml:space="preserve">Маргарита </w:t>
      </w:r>
      <w:r w:rsidR="00110BF3">
        <w:rPr>
          <w:sz w:val="28"/>
          <w:szCs w:val="28"/>
          <w:lang w:val="uk-UA"/>
        </w:rPr>
        <w:t>Леонідівна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110BF3" w:rsidRPr="000344ED">
        <w:rPr>
          <w:sz w:val="28"/>
          <w:szCs w:val="28"/>
          <w:lang w:val="uk-UA"/>
        </w:rPr>
        <w:t>заступник начальника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:rsidR="00AA7E74" w:rsidRDefault="00110BF3" w:rsidP="009B42A5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74B6B" w:rsidRDefault="00674B6B" w:rsidP="00B241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42A5" w:rsidRDefault="009B42A5" w:rsidP="00B241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42A5" w:rsidRDefault="009B42A5" w:rsidP="00B241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42A5" w:rsidRDefault="009B42A5" w:rsidP="00B241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42A5" w:rsidRDefault="009B42A5" w:rsidP="0067535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42A5" w:rsidRDefault="009B42A5" w:rsidP="00B241C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C29D6" w:rsidRPr="00AD3D85" w:rsidRDefault="00723818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7</w:t>
      </w:r>
      <w:r w:rsidR="00A1684D"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  <w:r w:rsidR="00B0742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7C29D6" w:rsidRDefault="007C29D6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7C29D6" w:rsidRPr="00674B6B" w:rsidRDefault="007C29D6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701"/>
        <w:gridCol w:w="2268"/>
        <w:gridCol w:w="1984"/>
      </w:tblGrid>
      <w:tr w:rsidR="007C29D6" w:rsidRPr="007C29D6" w:rsidTr="00DB493C">
        <w:trPr>
          <w:trHeight w:val="663"/>
          <w:jc w:val="center"/>
        </w:trPr>
        <w:tc>
          <w:tcPr>
            <w:tcW w:w="9776" w:type="dxa"/>
            <w:gridSpan w:val="5"/>
            <w:shd w:val="clear" w:color="auto" w:fill="auto"/>
          </w:tcPr>
          <w:p w:rsidR="00DB493C" w:rsidRDefault="00DB493C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</w:p>
          <w:p w:rsidR="000E4192" w:rsidRDefault="001767DF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КПКВК 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0712111  </w:t>
            </w:r>
            <w:r w:rsid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Розділ</w:t>
            </w:r>
            <w:r w:rsidR="007C29D6"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1.</w:t>
            </w:r>
          </w:p>
          <w:p w:rsidR="00DB493C" w:rsidRPr="00DB493C" w:rsidRDefault="00DB493C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:rsidR="000E4192" w:rsidRPr="00DB493C" w:rsidRDefault="007C29D6" w:rsidP="000E4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:rsidR="007C29D6" w:rsidRPr="007C29D6" w:rsidRDefault="007C29D6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2024</w:t>
            </w:r>
            <w:r w:rsidR="000E4192" w:rsidRPr="00DB4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0E4192" w:rsidRPr="007C29D6" w:rsidTr="00DB493C">
        <w:trPr>
          <w:trHeight w:val="663"/>
          <w:jc w:val="center"/>
        </w:trPr>
        <w:tc>
          <w:tcPr>
            <w:tcW w:w="9776" w:type="dxa"/>
            <w:gridSpan w:val="5"/>
            <w:shd w:val="clear" w:color="auto" w:fill="auto"/>
          </w:tcPr>
          <w:tbl>
            <w:tblPr>
              <w:tblW w:w="98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2693"/>
              <w:gridCol w:w="1701"/>
              <w:gridCol w:w="2297"/>
              <w:gridCol w:w="1955"/>
            </w:tblGrid>
            <w:tr w:rsidR="000E4192" w:rsidRPr="009C3DF5" w:rsidTr="009E0AAF">
              <w:trPr>
                <w:trHeight w:val="663"/>
                <w:jc w:val="center"/>
              </w:trPr>
              <w:tc>
                <w:tcPr>
                  <w:tcW w:w="1158" w:type="dxa"/>
                  <w:shd w:val="clear" w:color="auto" w:fill="auto"/>
                </w:tcPr>
                <w:p w:rsidR="000E4192" w:rsidRPr="007C29D6" w:rsidRDefault="000E4192" w:rsidP="00AE1046">
                  <w:pPr>
                    <w:spacing w:after="0" w:line="240" w:lineRule="auto"/>
                    <w:ind w:left="58" w:firstLine="34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</w:t>
                  </w:r>
                  <w:r w:rsidR="00DB493C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E4192" w:rsidRPr="000E4192" w:rsidRDefault="000E4192" w:rsidP="009E0AAF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0E4192" w:rsidRPr="007C29D6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E4192" w:rsidRPr="000E4192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0E4192" w:rsidRPr="007C29D6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2297" w:type="dxa"/>
                  <w:shd w:val="clear" w:color="auto" w:fill="auto"/>
                </w:tcPr>
                <w:p w:rsidR="000E4192" w:rsidRPr="000E4192" w:rsidRDefault="000E4192" w:rsidP="00DB493C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:rsidR="000E4192" w:rsidRPr="007C29D6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0E4192" w:rsidRPr="000E4192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:rsidR="000E4192" w:rsidRPr="007C29D6" w:rsidRDefault="000E4192" w:rsidP="000E419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:rsidR="000E4192" w:rsidRDefault="000E4192" w:rsidP="000E4192"/>
        </w:tc>
      </w:tr>
      <w:tr w:rsidR="007C29D6" w:rsidRPr="007C29D6" w:rsidTr="009E0AAF">
        <w:trPr>
          <w:trHeight w:val="35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1.1.</w:t>
            </w:r>
          </w:p>
        </w:tc>
        <w:tc>
          <w:tcPr>
            <w:tcW w:w="2694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765CB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Утримання установи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47 000 000,00</w:t>
            </w:r>
          </w:p>
        </w:tc>
        <w:tc>
          <w:tcPr>
            <w:tcW w:w="2268" w:type="dxa"/>
            <w:shd w:val="clear" w:color="auto" w:fill="auto"/>
          </w:tcPr>
          <w:p w:rsidR="002517C7" w:rsidRP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7C29D6" w:rsidRPr="007C29D6" w:rsidRDefault="007C29D6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- 592 335,00</w:t>
            </w:r>
          </w:p>
          <w:p w:rsidR="007C29D6" w:rsidRPr="007C29D6" w:rsidRDefault="007C29D6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46 407 665,00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1.1.1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Заробітна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плата з</w:t>
            </w: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арахуваннями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38 064 000,00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38 064 000,00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1.1.2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предметів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матеріалів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обладнання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інвентарю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господарчі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канцелярські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електротовари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ПММ,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запчастини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тощо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962 000,00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962 000,00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1.1.3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медикаментів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та</w:t>
            </w:r>
            <w:proofErr w:type="gram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виробів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медичного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1 425 620,00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1 425 620,00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1.1.4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Hlk160789272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Оплату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крім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охорона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телекомунікаційні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інтернет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вивіз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сміття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утримання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прибудинкових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територій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інформаційні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консультаційні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моніторингу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транспорту, поточного ремонту,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страхування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тощо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2 099 220,00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- 592 335,00</w:t>
            </w:r>
          </w:p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Перерозподіл</w:t>
            </w:r>
          </w:p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коштів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1 506 885,00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1.1.5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Оплата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енергоносіїв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4 449 160,00</w:t>
            </w:r>
          </w:p>
        </w:tc>
        <w:tc>
          <w:tcPr>
            <w:tcW w:w="2268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4 449 160,00</w:t>
            </w:r>
          </w:p>
        </w:tc>
      </w:tr>
      <w:tr w:rsidR="007C29D6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1.1.6</w:t>
            </w:r>
            <w:r w:rsidR="004B3D55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7C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поточні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видатки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семінари</w:t>
            </w:r>
            <w:proofErr w:type="spellEnd"/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C29D6" w:rsidRPr="007C29D6" w:rsidRDefault="007C29D6" w:rsidP="007C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7C29D6" w:rsidRPr="007C29D6" w:rsidTr="009E0AAF">
        <w:trPr>
          <w:trHeight w:val="1232"/>
          <w:jc w:val="center"/>
        </w:trPr>
        <w:tc>
          <w:tcPr>
            <w:tcW w:w="1129" w:type="dxa"/>
            <w:shd w:val="clear" w:color="auto" w:fill="auto"/>
          </w:tcPr>
          <w:p w:rsidR="007C29D6" w:rsidRPr="007C29D6" w:rsidRDefault="007C29D6" w:rsidP="000E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7C29D6" w:rsidRPr="007C29D6" w:rsidRDefault="007C29D6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7C29D6" w:rsidRPr="007C29D6" w:rsidRDefault="007C29D6" w:rsidP="000E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29D6" w:rsidRPr="007C29D6" w:rsidRDefault="007C29D6" w:rsidP="00AD3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Відшкодування ліків</w:t>
            </w:r>
          </w:p>
        </w:tc>
        <w:tc>
          <w:tcPr>
            <w:tcW w:w="1701" w:type="dxa"/>
            <w:vAlign w:val="bottom"/>
          </w:tcPr>
          <w:p w:rsidR="007C29D6" w:rsidRPr="007C29D6" w:rsidRDefault="007C29D6" w:rsidP="000E41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5 000 000,00</w:t>
            </w:r>
          </w:p>
          <w:p w:rsidR="007C29D6" w:rsidRPr="007C29D6" w:rsidRDefault="007C29D6" w:rsidP="000E41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268" w:type="dxa"/>
            <w:vAlign w:val="bottom"/>
          </w:tcPr>
          <w:p w:rsidR="007C29D6" w:rsidRPr="007C29D6" w:rsidRDefault="007C29D6" w:rsidP="000E41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+ 1 500 000,0</w:t>
            </w:r>
          </w:p>
          <w:p w:rsidR="007C29D6" w:rsidRPr="007C29D6" w:rsidRDefault="007C29D6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984" w:type="dxa"/>
          </w:tcPr>
          <w:p w:rsidR="007C29D6" w:rsidRPr="007C29D6" w:rsidRDefault="007C29D6" w:rsidP="000E419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C29D6" w:rsidRPr="007C29D6" w:rsidRDefault="007C29D6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6 500 000,00</w:t>
            </w:r>
          </w:p>
          <w:p w:rsidR="007C29D6" w:rsidRPr="007C29D6" w:rsidRDefault="007C29D6" w:rsidP="000E4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2517C7" w:rsidRPr="007C29D6" w:rsidTr="009E0AAF">
        <w:trPr>
          <w:trHeight w:val="663"/>
          <w:jc w:val="center"/>
        </w:trPr>
        <w:tc>
          <w:tcPr>
            <w:tcW w:w="1129" w:type="dxa"/>
            <w:shd w:val="clear" w:color="auto" w:fill="auto"/>
          </w:tcPr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2517C7" w:rsidRPr="000E4192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1.2.5.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на онкологічні захворювання, що потребують хіміо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терапії та паліатив</w:t>
            </w:r>
            <w:r w:rsidRPr="007C2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ної допомоги</w:t>
            </w:r>
          </w:p>
        </w:tc>
        <w:tc>
          <w:tcPr>
            <w:tcW w:w="1701" w:type="dxa"/>
            <w:vAlign w:val="bottom"/>
          </w:tcPr>
          <w:p w:rsidR="002517C7" w:rsidRP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1 000 000,00</w:t>
            </w:r>
          </w:p>
        </w:tc>
        <w:tc>
          <w:tcPr>
            <w:tcW w:w="2268" w:type="dxa"/>
            <w:vAlign w:val="bottom"/>
          </w:tcPr>
          <w:p w:rsidR="002517C7" w:rsidRPr="002517C7" w:rsidRDefault="002517C7" w:rsidP="00A21C2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00 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000,00</w:t>
            </w:r>
          </w:p>
        </w:tc>
        <w:tc>
          <w:tcPr>
            <w:tcW w:w="1984" w:type="dxa"/>
          </w:tcPr>
          <w:p w:rsidR="002517C7" w:rsidRDefault="002517C7" w:rsidP="002517C7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2517C7" w:rsidRDefault="002517C7" w:rsidP="002517C7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7B36D2" w:rsidRDefault="002517C7" w:rsidP="002517C7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:rsidR="002517C7" w:rsidRPr="000E4192" w:rsidRDefault="002517C7" w:rsidP="00A21C24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2 000 000,00</w:t>
            </w:r>
          </w:p>
        </w:tc>
      </w:tr>
      <w:tr w:rsidR="002517C7" w:rsidRPr="007C29D6" w:rsidTr="009E0AAF">
        <w:trPr>
          <w:trHeight w:val="495"/>
          <w:jc w:val="center"/>
        </w:trPr>
        <w:tc>
          <w:tcPr>
            <w:tcW w:w="1129" w:type="dxa"/>
            <w:shd w:val="clear" w:color="auto" w:fill="auto"/>
          </w:tcPr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2517C7" w:rsidRPr="000E4192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1.2.10.</w:t>
            </w:r>
          </w:p>
        </w:tc>
        <w:tc>
          <w:tcPr>
            <w:tcW w:w="2694" w:type="dxa"/>
            <w:vAlign w:val="center"/>
          </w:tcPr>
          <w:p w:rsidR="002517C7" w:rsidRPr="002517C7" w:rsidRDefault="002517C7" w:rsidP="00251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Закупівля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медичних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виробів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пільговій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основі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згідно</w:t>
            </w:r>
            <w:proofErr w:type="spellEnd"/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Поста</w:t>
            </w:r>
            <w:r w:rsidR="00F153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нови КМУ №1301 </w:t>
            </w:r>
            <w:proofErr w:type="spellStart"/>
            <w:r w:rsidR="00F153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="00F153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03.12.2009 </w:t>
            </w:r>
          </w:p>
        </w:tc>
        <w:tc>
          <w:tcPr>
            <w:tcW w:w="1701" w:type="dxa"/>
            <w:vAlign w:val="bottom"/>
          </w:tcPr>
          <w:p w:rsid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2517C7" w:rsidRP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1 000 000,00</w:t>
            </w:r>
          </w:p>
        </w:tc>
        <w:tc>
          <w:tcPr>
            <w:tcW w:w="2268" w:type="dxa"/>
            <w:vAlign w:val="bottom"/>
          </w:tcPr>
          <w:p w:rsid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2517C7" w:rsidRPr="002517C7" w:rsidRDefault="002517C7" w:rsidP="002517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+ 500 000,00</w:t>
            </w:r>
          </w:p>
        </w:tc>
        <w:tc>
          <w:tcPr>
            <w:tcW w:w="1984" w:type="dxa"/>
            <w:shd w:val="clear" w:color="auto" w:fill="auto"/>
          </w:tcPr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2517C7" w:rsidRP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2517C7" w:rsidRP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2517C7" w:rsidRP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2517C7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1 500 000,00</w:t>
            </w:r>
          </w:p>
        </w:tc>
      </w:tr>
      <w:tr w:rsidR="002517C7" w:rsidRPr="007C29D6" w:rsidTr="009E0AAF">
        <w:trPr>
          <w:trHeight w:val="495"/>
          <w:jc w:val="center"/>
        </w:trPr>
        <w:tc>
          <w:tcPr>
            <w:tcW w:w="1129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1.3.</w:t>
            </w:r>
          </w:p>
        </w:tc>
        <w:tc>
          <w:tcPr>
            <w:tcW w:w="269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2517C7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Капітальні видатки</w:t>
            </w:r>
          </w:p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+ 592 335,00</w:t>
            </w:r>
          </w:p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:rsidR="002517C7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</w:tr>
      <w:tr w:rsidR="002517C7" w:rsidRPr="007C29D6" w:rsidTr="009E0AAF">
        <w:trPr>
          <w:trHeight w:val="133"/>
          <w:jc w:val="center"/>
        </w:trPr>
        <w:tc>
          <w:tcPr>
            <w:tcW w:w="1129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1.3.1.</w:t>
            </w:r>
          </w:p>
        </w:tc>
        <w:tc>
          <w:tcPr>
            <w:tcW w:w="269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Капітальний ремонт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2517C7" w:rsidRPr="007C29D6" w:rsidTr="009E0AAF">
        <w:trPr>
          <w:trHeight w:val="155"/>
          <w:jc w:val="center"/>
        </w:trPr>
        <w:tc>
          <w:tcPr>
            <w:tcW w:w="1129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1.3.2.</w:t>
            </w:r>
          </w:p>
        </w:tc>
        <w:tc>
          <w:tcPr>
            <w:tcW w:w="269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Реконструкція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2517C7" w:rsidRPr="007C29D6" w:rsidTr="009E0AAF">
        <w:trPr>
          <w:trHeight w:val="886"/>
          <w:jc w:val="center"/>
        </w:trPr>
        <w:tc>
          <w:tcPr>
            <w:tcW w:w="1129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1.3.3.</w:t>
            </w:r>
          </w:p>
        </w:tc>
        <w:tc>
          <w:tcPr>
            <w:tcW w:w="269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Купівля обладнання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C7" w:rsidRPr="007C29D6" w:rsidRDefault="002517C7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517C7" w:rsidRPr="007C29D6" w:rsidRDefault="002517C7" w:rsidP="00F1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+ 592 335,00</w:t>
            </w:r>
          </w:p>
          <w:p w:rsidR="002517C7" w:rsidRPr="007C29D6" w:rsidRDefault="002517C7" w:rsidP="00F153D1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Перерозподіл коштів</w:t>
            </w:r>
          </w:p>
        </w:tc>
        <w:tc>
          <w:tcPr>
            <w:tcW w:w="1984" w:type="dxa"/>
            <w:shd w:val="clear" w:color="auto" w:fill="auto"/>
          </w:tcPr>
          <w:p w:rsidR="002517C7" w:rsidRPr="007C29D6" w:rsidRDefault="002517C7" w:rsidP="0025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7C29D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592 335,00</w:t>
            </w:r>
          </w:p>
        </w:tc>
      </w:tr>
      <w:tr w:rsidR="001767DF" w:rsidRPr="007C29D6" w:rsidTr="009E0AAF">
        <w:trPr>
          <w:trHeight w:val="886"/>
          <w:jc w:val="center"/>
        </w:trPr>
        <w:tc>
          <w:tcPr>
            <w:tcW w:w="3823" w:type="dxa"/>
            <w:gridSpan w:val="2"/>
            <w:shd w:val="clear" w:color="auto" w:fill="auto"/>
          </w:tcPr>
          <w:p w:rsidR="001767DF" w:rsidRDefault="001767DF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1767DF" w:rsidRPr="00F153D1" w:rsidRDefault="001767DF" w:rsidP="0025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7DF" w:rsidRDefault="001767DF" w:rsidP="00FC7E9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1767DF" w:rsidRPr="005167A6" w:rsidRDefault="001767DF" w:rsidP="001767DF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 w:rsidRPr="0051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52 000 000,00</w:t>
            </w:r>
          </w:p>
          <w:p w:rsidR="001767DF" w:rsidRPr="00FC7E97" w:rsidRDefault="001767DF" w:rsidP="002517C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(ЗФ)</w:t>
            </w:r>
          </w:p>
        </w:tc>
        <w:tc>
          <w:tcPr>
            <w:tcW w:w="2268" w:type="dxa"/>
            <w:shd w:val="clear" w:color="auto" w:fill="auto"/>
          </w:tcPr>
          <w:p w:rsidR="00AD3D85" w:rsidRDefault="00AD3D85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DB493C" w:rsidRPr="005167A6" w:rsidRDefault="00DB493C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Додаткові кошти:</w:t>
            </w:r>
          </w:p>
          <w:p w:rsidR="005167A6" w:rsidRPr="005167A6" w:rsidRDefault="005167A6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:rsidR="00DB493C" w:rsidRPr="00E54638" w:rsidRDefault="00DB493C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+ 1 500 000,00</w:t>
            </w:r>
            <w:r w:rsidR="00FC7E97"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(ЗФ)</w:t>
            </w:r>
          </w:p>
          <w:p w:rsidR="00DB493C" w:rsidRPr="00E54638" w:rsidRDefault="00DB493C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1767DF" w:rsidRPr="00E54638" w:rsidRDefault="001767DF" w:rsidP="0017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Перерозподіл коштів</w:t>
            </w:r>
            <w:r w:rsidR="00DB493C"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:rsidR="005167A6" w:rsidRPr="00E54638" w:rsidRDefault="005167A6" w:rsidP="00A21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1767DF" w:rsidRPr="00E54638" w:rsidRDefault="001767DF" w:rsidP="00176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- 592 335,00 (ЗФ)</w:t>
            </w:r>
          </w:p>
          <w:p w:rsidR="001767DF" w:rsidRPr="007C29D6" w:rsidRDefault="001767DF" w:rsidP="00176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E54638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+ 592 335,00 (</w:t>
            </w:r>
            <w:r w:rsidRPr="00DB493C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СФ)</w:t>
            </w:r>
          </w:p>
        </w:tc>
        <w:tc>
          <w:tcPr>
            <w:tcW w:w="1984" w:type="dxa"/>
            <w:shd w:val="clear" w:color="auto" w:fill="auto"/>
          </w:tcPr>
          <w:p w:rsidR="005167A6" w:rsidRDefault="005167A6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FC7E97" w:rsidRP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5167A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53 500 000, 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з них:</w:t>
            </w:r>
          </w:p>
          <w:p w:rsid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DB493C" w:rsidRP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ЗФ -</w:t>
            </w:r>
          </w:p>
          <w:p w:rsidR="001767DF" w:rsidRPr="00FC7E97" w:rsidRDefault="00DB493C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52 907 665,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00</w:t>
            </w:r>
          </w:p>
          <w:p w:rsidR="00FC7E97" w:rsidRPr="00E54638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:rsidR="00FC7E97" w:rsidRPr="00FC7E97" w:rsidRDefault="001767DF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С</w:t>
            </w:r>
            <w:r w:rsidR="00DB493C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Ф</w:t>
            </w:r>
            <w:r w:rsidR="00FC7E97"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-</w:t>
            </w:r>
          </w:p>
          <w:p w:rsidR="001767DF" w:rsidRP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592</w:t>
            </w:r>
            <w:r w:rsidRPr="00FC7E9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335,00</w:t>
            </w:r>
          </w:p>
          <w:p w:rsidR="00FC7E97" w:rsidRDefault="00FC7E97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AD3D85" w:rsidRDefault="00AD3D85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:rsidR="00AD3D85" w:rsidRPr="001767DF" w:rsidRDefault="00AD3D85" w:rsidP="00FC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</w:tbl>
    <w:p w:rsidR="007C29D6" w:rsidRPr="007C29D6" w:rsidRDefault="007C29D6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DB459A" w:rsidRPr="00DB459A" w:rsidRDefault="00DB459A" w:rsidP="004B3D55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Виконуюча обов’язки</w:t>
      </w:r>
    </w:p>
    <w:p w:rsidR="00DB459A" w:rsidRPr="00DB459A" w:rsidRDefault="00DB459A" w:rsidP="004B3D55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відділу                                                  Маргарита</w:t>
      </w:r>
      <w:r w:rsidR="00533BA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</w:t>
      </w:r>
      <w:r w:rsidRPr="00DB459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СТАНІШЕВСЬКА</w:t>
      </w:r>
    </w:p>
    <w:p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9B42A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3B7D"/>
    <w:rsid w:val="000B76A5"/>
    <w:rsid w:val="000C48C5"/>
    <w:rsid w:val="000D2CB4"/>
    <w:rsid w:val="000D3801"/>
    <w:rsid w:val="000D445A"/>
    <w:rsid w:val="000D54B9"/>
    <w:rsid w:val="000D788F"/>
    <w:rsid w:val="000E23C2"/>
    <w:rsid w:val="000E38A2"/>
    <w:rsid w:val="000E4192"/>
    <w:rsid w:val="000F3384"/>
    <w:rsid w:val="000F36F3"/>
    <w:rsid w:val="00101B6F"/>
    <w:rsid w:val="001101E6"/>
    <w:rsid w:val="00110BF3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6D75"/>
    <w:rsid w:val="00167286"/>
    <w:rsid w:val="001767DF"/>
    <w:rsid w:val="00181859"/>
    <w:rsid w:val="00185B8A"/>
    <w:rsid w:val="001A1CD5"/>
    <w:rsid w:val="001A3FF0"/>
    <w:rsid w:val="001A657D"/>
    <w:rsid w:val="001B7342"/>
    <w:rsid w:val="001C504A"/>
    <w:rsid w:val="001D0CBE"/>
    <w:rsid w:val="001D57CA"/>
    <w:rsid w:val="001E2735"/>
    <w:rsid w:val="001F21F8"/>
    <w:rsid w:val="001F3F01"/>
    <w:rsid w:val="001F6225"/>
    <w:rsid w:val="001F7804"/>
    <w:rsid w:val="0020415D"/>
    <w:rsid w:val="00207238"/>
    <w:rsid w:val="00210061"/>
    <w:rsid w:val="00221370"/>
    <w:rsid w:val="00221D47"/>
    <w:rsid w:val="0022272A"/>
    <w:rsid w:val="00223919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F8F"/>
    <w:rsid w:val="0029600C"/>
    <w:rsid w:val="002A2907"/>
    <w:rsid w:val="002A66AA"/>
    <w:rsid w:val="002A6D09"/>
    <w:rsid w:val="002A7E8A"/>
    <w:rsid w:val="002B2634"/>
    <w:rsid w:val="002C1561"/>
    <w:rsid w:val="002C1908"/>
    <w:rsid w:val="002C5952"/>
    <w:rsid w:val="002D7FA8"/>
    <w:rsid w:val="002E3EC7"/>
    <w:rsid w:val="002E62D8"/>
    <w:rsid w:val="002F6497"/>
    <w:rsid w:val="00303D07"/>
    <w:rsid w:val="00320BA1"/>
    <w:rsid w:val="00320F3C"/>
    <w:rsid w:val="00321331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E13B2"/>
    <w:rsid w:val="003E1D33"/>
    <w:rsid w:val="003F1643"/>
    <w:rsid w:val="003F7CCA"/>
    <w:rsid w:val="00404064"/>
    <w:rsid w:val="0040732C"/>
    <w:rsid w:val="00407706"/>
    <w:rsid w:val="00410011"/>
    <w:rsid w:val="0044053B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F652C"/>
    <w:rsid w:val="00510490"/>
    <w:rsid w:val="005167A6"/>
    <w:rsid w:val="00517C52"/>
    <w:rsid w:val="00523932"/>
    <w:rsid w:val="00525C68"/>
    <w:rsid w:val="00533142"/>
    <w:rsid w:val="00533BA0"/>
    <w:rsid w:val="005357B7"/>
    <w:rsid w:val="005507F9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373C2"/>
    <w:rsid w:val="0065151E"/>
    <w:rsid w:val="006671CE"/>
    <w:rsid w:val="006725DA"/>
    <w:rsid w:val="00674B6B"/>
    <w:rsid w:val="00675353"/>
    <w:rsid w:val="00682A41"/>
    <w:rsid w:val="0068775C"/>
    <w:rsid w:val="00692A50"/>
    <w:rsid w:val="00694987"/>
    <w:rsid w:val="00696599"/>
    <w:rsid w:val="006C2A46"/>
    <w:rsid w:val="006C396C"/>
    <w:rsid w:val="006D5724"/>
    <w:rsid w:val="006E27DF"/>
    <w:rsid w:val="006E36FF"/>
    <w:rsid w:val="006F1675"/>
    <w:rsid w:val="006F5AB1"/>
    <w:rsid w:val="006F60C4"/>
    <w:rsid w:val="006F66D9"/>
    <w:rsid w:val="00700F71"/>
    <w:rsid w:val="00703030"/>
    <w:rsid w:val="00703ABA"/>
    <w:rsid w:val="00704587"/>
    <w:rsid w:val="00721EF1"/>
    <w:rsid w:val="00723818"/>
    <w:rsid w:val="0074644B"/>
    <w:rsid w:val="00755296"/>
    <w:rsid w:val="00755E14"/>
    <w:rsid w:val="00756267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B36D2"/>
    <w:rsid w:val="007C0BFC"/>
    <w:rsid w:val="007C2042"/>
    <w:rsid w:val="007C29D6"/>
    <w:rsid w:val="007C3F52"/>
    <w:rsid w:val="007D225B"/>
    <w:rsid w:val="007D2C1D"/>
    <w:rsid w:val="007D4369"/>
    <w:rsid w:val="007E7F2B"/>
    <w:rsid w:val="007F1A0A"/>
    <w:rsid w:val="00804A70"/>
    <w:rsid w:val="0081067E"/>
    <w:rsid w:val="008250A3"/>
    <w:rsid w:val="00827775"/>
    <w:rsid w:val="00827797"/>
    <w:rsid w:val="0083440A"/>
    <w:rsid w:val="00852981"/>
    <w:rsid w:val="008542D5"/>
    <w:rsid w:val="00854966"/>
    <w:rsid w:val="008611F0"/>
    <w:rsid w:val="0087680D"/>
    <w:rsid w:val="00885844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E1C52"/>
    <w:rsid w:val="008F65DF"/>
    <w:rsid w:val="00904862"/>
    <w:rsid w:val="009101BC"/>
    <w:rsid w:val="009127B6"/>
    <w:rsid w:val="00920C79"/>
    <w:rsid w:val="00924279"/>
    <w:rsid w:val="009307AF"/>
    <w:rsid w:val="00934FDD"/>
    <w:rsid w:val="009460EE"/>
    <w:rsid w:val="00957B2B"/>
    <w:rsid w:val="00972213"/>
    <w:rsid w:val="0097236B"/>
    <w:rsid w:val="00991877"/>
    <w:rsid w:val="00993E83"/>
    <w:rsid w:val="00997AC3"/>
    <w:rsid w:val="009A1072"/>
    <w:rsid w:val="009A1EF8"/>
    <w:rsid w:val="009A45B5"/>
    <w:rsid w:val="009A74AC"/>
    <w:rsid w:val="009B0847"/>
    <w:rsid w:val="009B3C55"/>
    <w:rsid w:val="009B42A5"/>
    <w:rsid w:val="009B57E5"/>
    <w:rsid w:val="009C2B33"/>
    <w:rsid w:val="009C3662"/>
    <w:rsid w:val="009C76F6"/>
    <w:rsid w:val="009D7902"/>
    <w:rsid w:val="009E0AAF"/>
    <w:rsid w:val="009E1DD9"/>
    <w:rsid w:val="009E2878"/>
    <w:rsid w:val="009E7544"/>
    <w:rsid w:val="009F107A"/>
    <w:rsid w:val="009F1686"/>
    <w:rsid w:val="00A1684D"/>
    <w:rsid w:val="00A17C3F"/>
    <w:rsid w:val="00A21070"/>
    <w:rsid w:val="00A218AE"/>
    <w:rsid w:val="00A21C24"/>
    <w:rsid w:val="00A26AB0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C2E84"/>
    <w:rsid w:val="00AD222F"/>
    <w:rsid w:val="00AD3D85"/>
    <w:rsid w:val="00AD4F73"/>
    <w:rsid w:val="00AD74F9"/>
    <w:rsid w:val="00AE1046"/>
    <w:rsid w:val="00AE2661"/>
    <w:rsid w:val="00AF390A"/>
    <w:rsid w:val="00AF39AC"/>
    <w:rsid w:val="00B0485D"/>
    <w:rsid w:val="00B0742E"/>
    <w:rsid w:val="00B100E2"/>
    <w:rsid w:val="00B110EB"/>
    <w:rsid w:val="00B12410"/>
    <w:rsid w:val="00B1706D"/>
    <w:rsid w:val="00B2138B"/>
    <w:rsid w:val="00B241C6"/>
    <w:rsid w:val="00B248EF"/>
    <w:rsid w:val="00B34CF0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52E3"/>
    <w:rsid w:val="00BC6A61"/>
    <w:rsid w:val="00BD4201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25C8"/>
    <w:rsid w:val="00C6480E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54D"/>
    <w:rsid w:val="00D24774"/>
    <w:rsid w:val="00D252FA"/>
    <w:rsid w:val="00D31536"/>
    <w:rsid w:val="00D323EB"/>
    <w:rsid w:val="00D32909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459A"/>
    <w:rsid w:val="00DB493C"/>
    <w:rsid w:val="00DB56E2"/>
    <w:rsid w:val="00DB7D67"/>
    <w:rsid w:val="00DC4E14"/>
    <w:rsid w:val="00DC7194"/>
    <w:rsid w:val="00DC7F48"/>
    <w:rsid w:val="00DE118D"/>
    <w:rsid w:val="00DE4674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5386D"/>
    <w:rsid w:val="00E54638"/>
    <w:rsid w:val="00E606BA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EF76A3"/>
    <w:rsid w:val="00F01732"/>
    <w:rsid w:val="00F06587"/>
    <w:rsid w:val="00F153D1"/>
    <w:rsid w:val="00F16414"/>
    <w:rsid w:val="00F21A69"/>
    <w:rsid w:val="00F31AF8"/>
    <w:rsid w:val="00F72E3F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008C-CE6D-4085-B76B-CC688CE4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5428</Words>
  <Characters>3095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28</cp:revision>
  <cp:lastPrinted>2024-03-11T12:07:00Z</cp:lastPrinted>
  <dcterms:created xsi:type="dcterms:W3CDTF">2024-03-07T14:58:00Z</dcterms:created>
  <dcterms:modified xsi:type="dcterms:W3CDTF">2024-03-11T12:27:00Z</dcterms:modified>
</cp:coreProperties>
</file>