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>
      <w:pPr>
        <w:tabs>
          <w:tab w:val="left" w:pos="5610"/>
          <w:tab w:val="left" w:pos="6358"/>
        </w:tabs>
        <w:spacing w:beforeAutospacing="0" w:after="0" w:afterAutospacing="0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ab/>
        <w:tab/>
        <w:tab/>
        <w:t>ПРОЕКТ</w:t>
        <w:tab/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ПВ-297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b/>
          <w:bCs/>
          <w:sz w:val="24"/>
          <w:szCs w:val="24"/>
        </w:rPr>
      </w:pPr>
    </w:p>
    <w:p>
      <w:pPr>
        <w:spacing w:beforeAutospacing="0" w:after="0" w:afterAutospacing="0" w:line="240" w:lineRule="auto"/>
        <w:ind w:left="4956" w:right="567" w:firstLine="708"/>
        <w:jc w:val="center"/>
        <w:rPr>
          <w:rFonts w:ascii="Times New Roman" w:hAnsi="Times New Roman"/>
          <w:sz w:val="28"/>
          <w:szCs w:val="28"/>
          <w:lang w:eastAsia="ru-RU"/>
        </w:rPr>
      </w:pPr>
      <w:permStart w:id="0" w:edGrp="everyone"/>
      <w:r>
        <w:rPr>
          <w:rFonts w:ascii="Times New Roman" w:hAnsi="Times New Roman"/>
          <w:sz w:val="28"/>
          <w:szCs w:val="28"/>
          <w:lang w:eastAsia="ru-RU"/>
        </w:rPr>
        <w:t>Додаток 1</w:t>
      </w:r>
    </w:p>
    <w:p>
      <w:pPr>
        <w:spacing w:beforeAutospacing="0" w:after="0" w:afterAutospacing="0" w:line="240" w:lineRule="auto"/>
        <w:ind w:left="4956" w:right="567" w:firstLine="708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ЗАТВЕРДЖЕНО</w:t>
      </w:r>
    </w:p>
    <w:p>
      <w:pPr>
        <w:spacing w:beforeAutospacing="0" w:after="0" w:afterAutospacing="0" w:line="240" w:lineRule="auto"/>
        <w:ind w:left="5670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Рішення виконавчого комітету Броварської міської ради Броварського району </w:t>
      </w:r>
    </w:p>
    <w:p>
      <w:pPr>
        <w:spacing w:beforeAutospacing="0" w:after="0" w:afterAutospacing="0" w:line="240" w:lineRule="auto"/>
        <w:ind w:left="5670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Київської області</w:t>
      </w:r>
    </w:p>
    <w:p>
      <w:pPr>
        <w:spacing w:beforeAutospacing="0" w:after="0" w:afterAutospacing="0" w:line="240" w:lineRule="auto"/>
        <w:ind w:left="5670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від ____.___20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eastAsia="ru-RU"/>
        </w:rPr>
        <w:t>24</w:t>
      </w:r>
      <w:r>
        <w:rPr>
          <w:rFonts w:ascii="Times New Roman" w:hAnsi="Times New Roman"/>
          <w:sz w:val="28"/>
          <w:szCs w:val="28"/>
          <w:lang w:eastAsia="ru-RU"/>
        </w:rPr>
        <w:t xml:space="preserve"> року №</w:t>
      </w:r>
    </w:p>
    <w:p>
      <w:pPr>
        <w:keepNext/>
        <w:spacing w:beforeAutospacing="0" w:after="0" w:afterAutospacing="0" w:line="240" w:lineRule="auto"/>
        <w:jc w:val="center"/>
        <w:outlineLvl w:val="0"/>
        <w:rPr>
          <w:rFonts w:ascii="Times New Roman" w:hAnsi="Times New Roman"/>
          <w:bCs/>
          <w:i/>
          <w:sz w:val="24"/>
          <w:szCs w:val="24"/>
          <w:u w:val="single"/>
          <w:lang w:eastAsia="ru-RU"/>
        </w:rPr>
      </w:pPr>
    </w:p>
    <w:p>
      <w:pPr>
        <w:spacing w:beforeAutospacing="0" w:after="0" w:afterAutospacing="0" w:line="240" w:lineRule="auto"/>
        <w:jc w:val="both"/>
        <w:rPr>
          <w:rFonts w:ascii="Times New Roman" w:hAnsi="Times New Roman"/>
          <w:b/>
          <w:i/>
          <w:sz w:val="24"/>
          <w:szCs w:val="24"/>
          <w:lang w:eastAsia="ru-RU"/>
        </w:rPr>
      </w:pPr>
    </w:p>
    <w:p>
      <w:pPr>
        <w:spacing w:beforeAutospacing="0" w:after="0" w:afterAutospacing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СКЛАД</w:t>
      </w:r>
    </w:p>
    <w:p>
      <w:pPr>
        <w:widowControl w:val="0"/>
        <w:suppressAutoHyphens/>
        <w:spacing w:beforeAutospacing="0" w:after="0" w:afterAutospacing="0" w:line="240" w:lineRule="auto"/>
        <w:jc w:val="center"/>
        <w:outlineLvl w:val="8"/>
        <w:rPr>
          <w:rFonts w:ascii="Times New Roman" w:hAnsi="Times New Roman"/>
          <w:b/>
          <w:bCs/>
          <w:iCs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lang w:eastAsia="zh-CN"/>
        </w:rPr>
        <w:t>Координаційної ради з питань запобігання та протидії домашньому насильству, насильству</w:t>
      </w:r>
      <w:r>
        <w:rPr>
          <w:rFonts w:ascii="Times New Roman" w:hAnsi="Times New Roman"/>
          <w:b/>
          <w:bCs/>
          <w:iCs/>
          <w:sz w:val="28"/>
          <w:szCs w:val="28"/>
          <w:lang w:eastAsia="ru-RU"/>
        </w:rPr>
        <w:t xml:space="preserve"> за ознакою статі та торгівлі людьми</w:t>
      </w:r>
    </w:p>
    <w:p>
      <w:pPr>
        <w:spacing w:beforeAutospacing="0" w:after="0" w:afterAutospacing="0" w:line="240" w:lineRule="auto"/>
        <w:rPr>
          <w:rFonts w:ascii="Times New Roman" w:hAnsi="Times New Roman"/>
          <w:sz w:val="28"/>
          <w:szCs w:val="28"/>
          <w:lang w:eastAsia="ru-RU"/>
        </w:rPr>
      </w:pPr>
    </w:p>
    <w:p>
      <w:pPr>
        <w:spacing w:beforeAutospacing="0" w:after="0" w:afterAutospacing="0" w:line="240" w:lineRule="auto"/>
        <w:rPr>
          <w:rFonts w:ascii="Times New Roman" w:hAnsi="Times New Roman"/>
          <w:sz w:val="28"/>
          <w:szCs w:val="28"/>
          <w:lang w:eastAsia="ru-RU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48"/>
        <w:gridCol w:w="4750"/>
      </w:tblGrid>
      <w:tr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927" w:type="dxa"/>
          </w:tcPr>
          <w:p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Лариса ВИНОГРАДОВА</w:t>
            </w:r>
          </w:p>
        </w:tc>
        <w:tc>
          <w:tcPr>
            <w:tcW w:w="4928" w:type="dxa"/>
          </w:tcPr>
          <w:p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 заступник міського голови з питань</w:t>
            </w:r>
          </w:p>
          <w:p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діяльності виконавчих органів ради, голова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eastAsia="ru-RU"/>
              </w:rPr>
              <w:t>К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оординаційної ради</w:t>
            </w:r>
          </w:p>
          <w:p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>
        <w:tblPrEx>
          <w:tblW w:w="0" w:type="auto"/>
          <w:tblLook w:val="04A0"/>
        </w:tblPrEx>
        <w:tc>
          <w:tcPr>
            <w:tcW w:w="4927" w:type="dxa"/>
          </w:tcPr>
          <w:p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Аліна ЯРМОЛЕНКО</w:t>
            </w:r>
          </w:p>
          <w:p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928" w:type="dxa"/>
          </w:tcPr>
          <w:p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– начальник управління культури, сім’ї та молоді Броварської міської ради Броварського району Київської області, заступник голови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eastAsia="ru-RU"/>
              </w:rPr>
              <w:t>К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оординаційної ради</w:t>
            </w:r>
          </w:p>
        </w:tc>
      </w:tr>
      <w:tr>
        <w:tblPrEx>
          <w:tblW w:w="0" w:type="auto"/>
          <w:tblLook w:val="04A0"/>
        </w:tblPrEx>
        <w:tc>
          <w:tcPr>
            <w:tcW w:w="4927" w:type="dxa"/>
          </w:tcPr>
          <w:p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928" w:type="dxa"/>
          </w:tcPr>
          <w:p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>
        <w:tblPrEx>
          <w:tblW w:w="0" w:type="auto"/>
          <w:tblLook w:val="04A0"/>
        </w:tblPrEx>
        <w:tc>
          <w:tcPr>
            <w:tcW w:w="4927" w:type="dxa"/>
          </w:tcPr>
          <w:p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Людмила МАРДАР</w:t>
            </w:r>
          </w:p>
          <w:p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928" w:type="dxa"/>
          </w:tcPr>
          <w:p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– директор  центру соціальних служб Броварської міської ради Броварського району Київської області, секретар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eastAsia="ru-RU"/>
              </w:rPr>
              <w:t>К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оординаційної ради </w:t>
            </w:r>
          </w:p>
        </w:tc>
      </w:tr>
      <w:tr>
        <w:tblPrEx>
          <w:tblW w:w="0" w:type="auto"/>
          <w:tblLook w:val="04A0"/>
        </w:tblPrEx>
        <w:tc>
          <w:tcPr>
            <w:tcW w:w="4927" w:type="dxa"/>
          </w:tcPr>
          <w:p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928" w:type="dxa"/>
          </w:tcPr>
          <w:p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>
        <w:tblPrEx>
          <w:tblW w:w="0" w:type="auto"/>
          <w:tblLook w:val="04A0"/>
        </w:tblPrEx>
        <w:tc>
          <w:tcPr>
            <w:tcW w:w="4927" w:type="dxa"/>
          </w:tcPr>
          <w:p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члени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eastAsia="ru-RU"/>
              </w:rPr>
              <w:t>К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оординаційної ради:</w:t>
            </w:r>
          </w:p>
        </w:tc>
        <w:tc>
          <w:tcPr>
            <w:tcW w:w="4928" w:type="dxa"/>
          </w:tcPr>
          <w:p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>
        <w:tblPrEx>
          <w:tblW w:w="0" w:type="auto"/>
          <w:tblLook w:val="04A0"/>
        </w:tblPrEx>
        <w:tc>
          <w:tcPr>
            <w:tcW w:w="4927" w:type="dxa"/>
          </w:tcPr>
          <w:p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928" w:type="dxa"/>
          </w:tcPr>
          <w:p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>
        <w:tblPrEx>
          <w:tblW w:w="0" w:type="auto"/>
          <w:tblLook w:val="04A0"/>
        </w:tblPrEx>
        <w:tc>
          <w:tcPr>
            <w:tcW w:w="4927" w:type="dxa"/>
          </w:tcPr>
          <w:p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Валентин БАГНЮК</w:t>
            </w:r>
          </w:p>
          <w:p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Людмила МАРТИНКО</w:t>
            </w:r>
          </w:p>
          <w:p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Оксана МЕЛЬНИК</w:t>
            </w:r>
          </w:p>
          <w:p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Тетяна МИРОНЕНКО</w:t>
            </w:r>
          </w:p>
          <w:p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Алла ПЕТРЕНКО</w:t>
            </w:r>
          </w:p>
          <w:p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Лариса ТЕПЛЮК</w:t>
            </w:r>
          </w:p>
          <w:p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Анна  ШИТА</w:t>
            </w:r>
          </w:p>
          <w:p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Людмила ЯРИЧ</w:t>
            </w:r>
          </w:p>
          <w:p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928" w:type="dxa"/>
          </w:tcPr>
          <w:p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– директор КНП «Броварська багатопрофільна клінічна лікарня» територіальних громад Броварського району Київської області (за згодою)</w:t>
            </w:r>
          </w:p>
          <w:p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– начальник сектору протидії домашньому насильству відділу превенції Броварського районного управління поліції ГУНП  в Київській області, лейтенант поліції (за згодою)</w:t>
            </w:r>
          </w:p>
          <w:p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– начальник управління освіти і науки Броварської міської ради Броварського району Київської області</w:t>
            </w:r>
          </w:p>
          <w:p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– начальник сектору ювенальної превенції відділу Броварського районного управління поліції ГУНП в Київській області, підполковник поліції (за згодою)</w:t>
            </w:r>
          </w:p>
          <w:p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– начальник управління соціального захисту населення Броварської міської ради Броварського району Київської області</w:t>
            </w:r>
          </w:p>
          <w:p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– начальник служби у справах дітей</w:t>
            </w:r>
          </w:p>
          <w:p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Броварської міської ради Броварського району Київської області</w:t>
            </w:r>
          </w:p>
          <w:p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 т.в.о. начальника Броварського  районного відділу № 2 філії Державної установи «Центр пробації» у  Києві та Київській  області (за згодою)</w:t>
            </w:r>
          </w:p>
          <w:p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>
            <w:pPr>
              <w:numPr>
                <w:ilvl w:val="0"/>
                <w:numId w:val="1"/>
              </w:numPr>
              <w:ind w:left="35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голова  Броварської міськрайонної організації Товариства Червоного Хреста України (за згодою)</w:t>
            </w:r>
          </w:p>
        </w:tc>
      </w:tr>
    </w:tbl>
    <w:p>
      <w:pPr>
        <w:spacing w:beforeAutospacing="0" w:after="0" w:afterAutospacing="0" w:line="240" w:lineRule="auto"/>
        <w:rPr>
          <w:rFonts w:ascii="Times New Roman" w:hAnsi="Times New Roman"/>
          <w:sz w:val="28"/>
          <w:szCs w:val="28"/>
          <w:lang w:eastAsia="ru-RU"/>
        </w:rPr>
      </w:pPr>
    </w:p>
    <w:p>
      <w:pPr>
        <w:spacing w:beforeAutospacing="0" w:after="0" w:afterAutospacing="0" w:line="240" w:lineRule="auto"/>
        <w:rPr>
          <w:rFonts w:ascii="Times New Roman" w:hAnsi="Times New Roman"/>
          <w:sz w:val="28"/>
          <w:szCs w:val="28"/>
          <w:lang w:eastAsia="ru-RU"/>
        </w:rPr>
      </w:pPr>
    </w:p>
    <w:p>
      <w:pPr>
        <w:spacing w:beforeAutospacing="0" w:after="0" w:afterAutospacing="0" w:line="240" w:lineRule="auto"/>
        <w:rPr>
          <w:rFonts w:ascii="Times New Roman" w:hAnsi="Times New Roman"/>
          <w:sz w:val="28"/>
          <w:szCs w:val="28"/>
          <w:lang w:eastAsia="ru-RU"/>
        </w:rPr>
      </w:pPr>
      <w:bookmarkStart w:id="1" w:name="_GoBack"/>
      <w:bookmarkEnd w:id="1"/>
      <w:r>
        <w:rPr>
          <w:rFonts w:ascii="Times New Roman" w:hAnsi="Times New Roman"/>
          <w:sz w:val="28"/>
          <w:szCs w:val="28"/>
          <w:lang w:eastAsia="ru-RU"/>
        </w:rPr>
        <w:t>Міський голова</w:t>
        <w:tab/>
        <w:tab/>
        <w:tab/>
        <w:tab/>
        <w:tab/>
        <w:tab/>
        <w:tab/>
        <w:t>Ігор  САПОЖКО</w:t>
      </w:r>
    </w:p>
    <w:p>
      <w:pPr>
        <w:spacing w:beforeAutospacing="0" w:after="0" w:afterAutospacing="0"/>
        <w:ind w:left="142"/>
        <w:jc w:val="both"/>
        <w:rPr>
          <w:rFonts w:ascii="Times New Roman" w:hAnsi="Times New Roman"/>
          <w:iCs/>
          <w:sz w:val="28"/>
          <w:szCs w:val="28"/>
        </w:rPr>
      </w:pPr>
      <w:permEnd w:id="0"/>
    </w:p>
    <w:sectPr>
      <w:headerReference w:type="default" r:id="rId4"/>
      <w:footerReference w:type="default" r:id="rId5"/>
      <w:type w:val="nextPage"/>
      <w:pgSz w:w="11906" w:h="16838" w:code="0"/>
      <w:pgMar w:top="1135" w:right="707" w:bottom="993" w:left="1701" w:header="708" w:footer="708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noProof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tabs>
        <w:tab w:val="center" w:pos="4819"/>
        <w:tab w:val="right" w:pos="9639"/>
      </w:tabs>
      <w:spacing w:beforeAutospacing="0" w:after="0" w:afterAutospacing="0" w:line="240" w:lineRule="auto"/>
      <w:jc w:val="right"/>
      <w:rPr>
        <w:rFonts w:ascii="Times New Roman" w:hAnsi="Times New Roman"/>
        <w:color w:val="7F7F7F"/>
        <w:sz w:val="24"/>
        <w:szCs w:val="24"/>
        <w:lang w:val="hr-HR" w:eastAsia="ru-RU"/>
      </w:rPr>
    </w:pPr>
    <w:bookmarkStart w:id="2" w:name="_Hlk109737539"/>
    <w:r>
      <w:rPr>
        <w:rFonts w:ascii="Times New Roman" w:hAnsi="Times New Roman"/>
        <w:color w:val="7F7F7F" w:themeColor="text1" w:themeTint="80"/>
        <w:sz w:val="24"/>
        <w:szCs w:val="24"/>
        <w:lang w:eastAsia="ru-RU"/>
      </w:rPr>
      <w:t>Продовження додатку</w:t>
    </w:r>
  </w:p>
  <w:p>
    <w:pPr>
      <w:pStyle w:val="Header"/>
      <w:rPr>
        <w:rFonts w:ascii="Times New Roman" w:hAnsi="Times New Roman"/>
        <w:sz w:val="24"/>
        <w:szCs w:val="24"/>
      </w:rPr>
    </w:pPr>
    <w:bookmarkEnd w:id="2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7C2D2C96"/>
    <w:multiLevelType w:val="hybridMultilevel"/>
    <w:tmpl w:val="00000000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uk-UA" w:eastAsia="uk-UA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200" w:afterAutospacing="0" w:line="276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BalloonText">
    <w:name w:val="Balloon Text"/>
    <w:basedOn w:val="Normal"/>
    <w:link w:val="a1"/>
    <w:semiHidden/>
    <w:pPr>
      <w:spacing w:beforeAutospacing="0" w:after="0" w:afterAutospacing="0" w:line="240" w:lineRule="auto"/>
    </w:pPr>
    <w:rPr>
      <w:rFonts w:ascii="Tahoma" w:hAnsi="Tahoma"/>
      <w:sz w:val="16"/>
      <w:szCs w:val="16"/>
    </w:rPr>
  </w:style>
  <w:style w:type="paragraph" w:styleId="FootnoteText">
    <w:name w:val="footnote text"/>
    <w:link w:val="FootnoteTextChar"/>
    <w:semiHidden/>
    <w:pPr>
      <w:spacing w:after="0" w:line="240" w:lineRule="auto"/>
    </w:pPr>
    <w:rPr>
      <w:sz w:val="20"/>
      <w:szCs w:val="20"/>
    </w:rPr>
  </w:style>
  <w:style w:type="paragraph" w:styleId="EndnoteText">
    <w:name w:val="endnote text"/>
    <w:link w:val="EndnoteTextChar"/>
    <w:semiHidden/>
    <w:pPr>
      <w:spacing w:after="0" w:line="240" w:lineRule="auto"/>
    </w:pPr>
    <w:rPr>
      <w:sz w:val="20"/>
      <w:szCs w:val="20"/>
    </w:r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character" w:customStyle="1" w:styleId="a1">
    <w:name w:val="Текст выноски Знак"/>
    <w:basedOn w:val="DefaultParagraphFont"/>
    <w:link w:val="BalloonText"/>
    <w:semiHidden/>
    <w:rPr>
      <w:rFonts w:ascii="Tahoma" w:hAnsi="Tahoma"/>
      <w:sz w:val="16"/>
      <w:szCs w:val="16"/>
    </w:rPr>
  </w:style>
  <w:style w:type="character" w:styleId="FootnoteReference">
    <w:name w:val="footnote reference"/>
    <w:semiHidden/>
    <w:rPr>
      <w:vertAlign w:val="superscript"/>
    </w:rPr>
  </w:style>
  <w:style w:type="character" w:customStyle="1" w:styleId="FootnoteTextChar">
    <w:name w:val="Footnote Text Char"/>
    <w:link w:val="FootnoteText"/>
    <w:semiHidden/>
    <w:rPr>
      <w:sz w:val="20"/>
      <w:szCs w:val="20"/>
    </w:rPr>
  </w:style>
  <w:style w:type="character" w:styleId="EndnoteReference">
    <w:name w:val="endnote reference"/>
    <w:semiHidden/>
    <w:rPr>
      <w:vertAlign w:val="superscript"/>
    </w:rPr>
  </w:style>
  <w:style w:type="character" w:customStyle="1" w:styleId="EndnoteTextChar">
    <w:name w:val="Endnote Text Char"/>
    <w:link w:val="EndnoteText"/>
    <w:semiHidden/>
    <w:rPr>
      <w:sz w:val="20"/>
      <w:szCs w:val="20"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pPr>
      <w:spacing w:beforeAutospacing="0" w:after="0" w:afterAutospacing="0" w:line="240" w:lineRule="auto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21.0001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ASKOD</cp:lastModifiedBy>
  <cp:revision>25</cp:revision>
  <dcterms:created xsi:type="dcterms:W3CDTF">2021-08-31T06:42:00Z</dcterms:created>
  <dcterms:modified xsi:type="dcterms:W3CDTF">2024-03-21T09:58:24Z</dcterms:modified>
</cp:coreProperties>
</file>