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ПВ-484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 w:line="240" w:lineRule="auto"/>
        <w:ind w:left="4113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spacing w:beforeAutospacing="0" w:after="0" w:afterAutospacing="0" w:line="240" w:lineRule="auto"/>
        <w:ind w:left="4821" w:firstLine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>
      <w:pPr>
        <w:spacing w:beforeAutospacing="0" w:after="0" w:afterAutospacing="0" w:line="240" w:lineRule="auto"/>
        <w:ind w:left="4821" w:firstLine="424"/>
        <w:jc w:val="center"/>
        <w:rPr>
          <w:rFonts w:ascii="Times New Roman" w:hAnsi="Times New Roman"/>
          <w:sz w:val="28"/>
          <w:szCs w:val="28"/>
        </w:rPr>
      </w:pPr>
      <w:bookmarkStart w:id="1" w:name="_Hlk165279996"/>
      <w:r>
        <w:rPr>
          <w:rFonts w:ascii="Times New Roman" w:hAnsi="Times New Roman"/>
          <w:sz w:val="28"/>
          <w:szCs w:val="28"/>
        </w:rPr>
        <w:t>Броварської міської ради Броварського</w:t>
      </w:r>
    </w:p>
    <w:p>
      <w:pPr>
        <w:spacing w:beforeAutospacing="0" w:after="0" w:afterAutospacing="0" w:line="240" w:lineRule="auto"/>
        <w:ind w:left="4821" w:firstLine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Київської області</w:t>
      </w:r>
      <w:bookmarkEnd w:id="1"/>
    </w:p>
    <w:p>
      <w:pPr>
        <w:spacing w:beforeAutospacing="0" w:after="0" w:afterAutospacing="0" w:line="240" w:lineRule="auto"/>
        <w:ind w:left="4821" w:firstLine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04.04.2022 № 165</w:t>
      </w:r>
    </w:p>
    <w:p>
      <w:pPr>
        <w:spacing w:beforeAutospacing="0" w:after="0" w:afterAutospacing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редакції рішення виконавчого комітету Броварської міської ради Броварського</w:t>
      </w:r>
    </w:p>
    <w:p>
      <w:pPr>
        <w:spacing w:beforeAutospacing="0" w:after="0" w:afterAutospacing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Київської області</w:t>
      </w:r>
    </w:p>
    <w:p>
      <w:pPr>
        <w:spacing w:beforeAutospacing="0" w:after="0" w:afterAutospacing="0" w:line="240" w:lineRule="auto"/>
        <w:ind w:left="4821" w:firstLine="4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 року № _____</w:t>
      </w:r>
    </w:p>
    <w:p>
      <w:pPr>
        <w:pStyle w:val="a"/>
        <w:spacing w:before="360" w:beforeAutospacing="0" w:afterAutospacing="0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ЗАТВЕРДЖЕНО</w:t>
      </w:r>
    </w:p>
    <w:p>
      <w:pPr>
        <w:pStyle w:val="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комісії</w:t>
      </w:r>
    </w:p>
    <w:p>
      <w:pPr>
        <w:pStyle w:val="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___  _______  р. №___________</w:t>
      </w:r>
    </w:p>
    <w:p>
      <w:pPr>
        <w:pStyle w:val="a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a"/>
        <w:spacing w:before="360" w:beforeAutospacing="0" w:after="240" w:afterAutospacing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"/>
        <w:spacing w:before="360" w:beforeAutospacing="0" w:after="240" w:afterAutospacing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</w:t>
        <w:br/>
      </w:r>
      <w:r>
        <w:rPr>
          <w:rFonts w:ascii="Times New Roman" w:hAnsi="Times New Roman"/>
          <w:b/>
          <w:sz w:val="24"/>
          <w:szCs w:val="24"/>
          <w:highlight w:val="white"/>
        </w:rPr>
        <w:t>комісійного обстеженн</w:t>
      </w:r>
      <w:bookmarkStart w:id="2" w:name="_GoBack"/>
      <w:bookmarkEnd w:id="2"/>
      <w:r>
        <w:rPr>
          <w:rFonts w:ascii="Times New Roman" w:hAnsi="Times New Roman"/>
          <w:b/>
          <w:sz w:val="24"/>
          <w:szCs w:val="24"/>
          <w:highlight w:val="white"/>
        </w:rPr>
        <w:t>я об’єкта, пошкодженого внаслідок</w:t>
      </w:r>
      <w:r>
        <w:rPr>
          <w:rFonts w:ascii="Times New Roman" w:hAnsi="Times New Roman"/>
          <w:b/>
          <w:sz w:val="24"/>
          <w:szCs w:val="24"/>
        </w:rPr>
        <w:br/>
        <w:t>збройної агресії Російської Федерації</w:t>
      </w:r>
    </w:p>
    <w:tbl>
      <w:tblPr>
        <w:tblW w:w="5000" w:type="pct"/>
        <w:tblLook w:val="04A0"/>
      </w:tblPr>
      <w:tblGrid>
        <w:gridCol w:w="4815"/>
        <w:gridCol w:w="4683"/>
      </w:tblGrid>
      <w:tr>
        <w:tblPrEx>
          <w:tblW w:w="5000" w:type="pct"/>
          <w:tblLook w:val="04A0"/>
        </w:tblPrEx>
        <w:tc>
          <w:tcPr>
            <w:tcW w:w="25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>
            <w:pPr>
              <w:pStyle w:val="a"/>
              <w:spacing w:before="0" w:beforeAutospacing="0" w:afterAutospacing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  </w:t>
            </w:r>
            <w:r>
              <w:rPr>
                <w:rFonts w:ascii="Times New Roman" w:hAnsi="Times New Roman"/>
                <w:sz w:val="20"/>
              </w:rPr>
              <w:t>(назва адміністративно-територіальної одиниці)</w:t>
            </w:r>
          </w:p>
        </w:tc>
        <w:tc>
          <w:tcPr>
            <w:tcW w:w="2465" w:type="pct"/>
          </w:tcPr>
          <w:p>
            <w:pPr>
              <w:pStyle w:val="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___  ___________ 20__ р.</w:t>
            </w:r>
          </w:p>
        </w:tc>
      </w:tr>
    </w:tbl>
    <w:p>
      <w:pPr>
        <w:pStyle w:val="a"/>
        <w:tabs>
          <w:tab w:val="left" w:pos="9072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Назва об’єкта, що обстежувався, код згідно з ДК 018-2000: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Адреса розташування: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Кадастровий номер земельної ділянки (у разі присвоєння) </w:t>
      </w:r>
      <w:r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Форма власності: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spacing w:before="0" w:beforeAutospacing="0" w:afterAutospacing="0"/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Власник (управитель)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spacing w:before="0" w:beforeAutospacing="0" w:afterAutospacing="0"/>
        <w:ind w:firstLine="326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(прізвище, власне ім’я, паспортні дані,</w:t>
      </w:r>
    </w:p>
    <w:p>
      <w:pPr>
        <w:pStyle w:val="a"/>
        <w:spacing w:before="0" w:beforeAutospacing="0" w:afterAutospacing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реєстраційний номер облікової картки платника податків;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>назва юридичної особи, ЄДРПОУ)</w:t>
      </w:r>
    </w:p>
    <w:p>
      <w:pPr>
        <w:pStyle w:val="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 з обстеження об’єкта, пошкодженого внаслідок збройної агресії Російської Федерації (далі - комісія) у складі: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голови комісії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заступника голови комісії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членів комісії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a"/>
        <w:tabs>
          <w:tab w:val="left" w:pos="9071"/>
        </w:tabs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що діють на підставі рішення органу місцевого самоврядування, а у разі його відсутності - розпорядження начальника військової адміністрації населеного пункту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spacing w:before="0" w:beforeAutospacing="0" w:afterAutospacing="0"/>
        <w:ind w:left="2410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(дата, номер рішення/розпорядження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>_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та назва рішення/розпорядження)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у присутності (власника, співвласників, представника)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spacing w:before="0" w:beforeAutospacing="0" w:afterAutospacing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(прізвище, власне ім’я)</w:t>
      </w:r>
    </w:p>
    <w:p>
      <w:pPr>
        <w:pStyle w:val="a"/>
        <w:tabs>
          <w:tab w:val="left" w:pos="9071"/>
        </w:tabs>
        <w:ind w:right="-1" w:firstLine="0"/>
        <w:rPr>
          <w:rFonts w:ascii="Times New Roman" w:hAnsi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на підставі заяви (за наявності) </w:t>
      </w:r>
      <w:r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(прізвище, власне ім’я із зазначенням дати звернення)</w:t>
      </w:r>
    </w:p>
    <w:p>
      <w:pPr>
        <w:pStyle w:val="a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 за результатами обстеження, а також результатів аналізу наявної інформації комісія встановила:</w:t>
      </w:r>
    </w:p>
    <w:p>
      <w:pPr>
        <w:pStyle w:val="a"/>
        <w:spacing w:before="240" w:beforeAutospacing="0" w:after="12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. Загальні характеристики об’єкта: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дані про віднесення об’єкта до пам’яток культурної спадщини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рік будівництва (останнього капітального ремонту, реконструкції)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загальна площа, кв. метрів: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кількість поверхів: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підземних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наземних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мансардних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кількість секцій: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загальна кількість квартир: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площа вбудованих нежитлових приміщень, кв. метрів: </w:t>
      </w: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>
      <w:pPr>
        <w:pStyle w:val="a"/>
        <w:tabs>
          <w:tab w:val="left" w:pos="9071"/>
        </w:tabs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__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(зазначається перелік наявних документів та місце їх зберігання)</w:t>
      </w:r>
    </w:p>
    <w:p>
      <w:pPr>
        <w:pStyle w:val="a"/>
        <w:spacing w:beforeAutospacing="0" w:after="12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Характеристика основних конструктивних елементів та інженерних систем об’єкта</w:t>
      </w:r>
    </w:p>
    <w:tbl>
      <w:tblPr>
        <w:tblW w:w="5000" w:type="pct"/>
        <w:tblLook w:val="04A0"/>
      </w:tblPr>
      <w:tblGrid>
        <w:gridCol w:w="5765"/>
        <w:gridCol w:w="3733"/>
      </w:tblGrid>
      <w:tr>
        <w:tblPrEx>
          <w:tblW w:w="5000" w:type="pct"/>
          <w:tblLook w:val="04A0"/>
        </w:tblPrEx>
        <w:trPr>
          <w:trHeight w:val="617"/>
        </w:trPr>
        <w:tc>
          <w:tcPr>
            <w:tcW w:w="30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Основні конструктивні елементи та інженерні системи об’єкта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характеристика (основний тип, конструкція, матеріал тощо)</w:t>
            </w:r>
          </w:p>
        </w:tc>
      </w:tr>
      <w:tr>
        <w:tblPrEx>
          <w:tblW w:w="5000" w:type="pct"/>
          <w:tblLook w:val="04A0"/>
        </w:tblPrEx>
        <w:tc>
          <w:tcPr>
            <w:tcW w:w="3035" w:type="pct"/>
            <w:tcBorders>
              <w:top w:val="single" w:sz="4" w:space="0" w:color="auto"/>
            </w:tcBorders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Фундаменти</w:t>
            </w:r>
          </w:p>
        </w:tc>
        <w:tc>
          <w:tcPr>
            <w:tcW w:w="1965" w:type="pct"/>
            <w:tcBorders>
              <w:top w:val="single" w:sz="4" w:space="0" w:color="auto"/>
            </w:tcBorders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rPr>
          <w:trHeight w:val="645"/>
        </w:trPr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Вертикальні зовнішні огороджувальні конструкції (стіни)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Перекриття: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першого поверху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міжповерхові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горища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Покриття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Покрівлі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Заповнення віконних прорізів (вікна)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Заповнення дверних прорізів (вхідні двері)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Опорядження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фасад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підлоги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стіни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Внутрішні інженерні системи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газопостачання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каналізація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Look w:val="04A0"/>
        </w:tblPrEx>
        <w:tc>
          <w:tcPr>
            <w:tcW w:w="303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опалення</w:t>
            </w:r>
          </w:p>
        </w:tc>
        <w:tc>
          <w:tcPr>
            <w:tcW w:w="1965" w:type="pct"/>
          </w:tcPr>
          <w:p>
            <w:pPr>
              <w:pStyle w:val="a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t>___________</w:t>
      </w:r>
    </w:p>
    <w:p>
      <w:pPr>
        <w:pStyle w:val="a"/>
        <w:ind w:left="1078" w:hanging="1078"/>
        <w:jc w:val="both"/>
        <w:rPr>
          <w:rFonts w:ascii="Times New Roman" w:hAnsi="Times New Roman"/>
          <w:sz w:val="20"/>
        </w:rPr>
      </w:pPr>
    </w:p>
    <w:p>
      <w:pPr>
        <w:pStyle w:val="a"/>
        <w:ind w:left="1078" w:hanging="107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Примітка. 1. Інформація щодо основних конструктивних елементів та інженерних систем  об’єкта зазначається за 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>
      <w:pPr>
        <w:pStyle w:val="a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2. Загальна характеристика пошкоджень об’єкта: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орієнтовна дата пошкодження об’єкта: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2"/>
        </w:tabs>
        <w:ind w:right="-1"/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ймовірні причини пошкодження об’єкта: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rPr>
          <w:rFonts w:ascii="Times New Roman" w:hAnsi="Times New Roman"/>
          <w:color w:val="0D0D0D"/>
          <w:sz w:val="24"/>
          <w:szCs w:val="24"/>
          <w:highlight w:val="whit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>характеристика пошкоджень (з орієнтовним обсягом пошкоджень):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фундамент: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зовнішні стіни, фасад: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дах/покрівля: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внутрішні стіни/перегородки: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підлоги: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заповнення віконних та дверних прорізів: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інженерні мережі та обладнання: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інші конструкції та елементи будівлі: </w:t>
      </w:r>
      <w:r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jc w:val="both"/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Інформація щодо виконаних на дату обстеження ремонтно-відновлювальних робіт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</w:p>
    <w:p>
      <w:pPr>
        <w:pStyle w:val="a"/>
        <w:tabs>
          <w:tab w:val="left" w:pos="9071"/>
        </w:tabs>
        <w:ind w:right="-1" w:firstLine="0"/>
        <w:rPr>
          <w:rFonts w:ascii="Times New Roman" w:hAnsi="Times New Roman"/>
          <w:color w:val="0D0D0D"/>
          <w:sz w:val="24"/>
          <w:szCs w:val="24"/>
          <w:u w:val="single"/>
        </w:rPr>
      </w:pPr>
      <w:bookmarkStart w:id="3" w:name="_heading=h.gjdgxs"/>
      <w:bookmarkEnd w:id="3"/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Інша додаткова інформація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Висновки:  </w:t>
      </w:r>
    </w:p>
    <w:p>
      <w:pPr>
        <w:pStyle w:val="a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До акта комісійного обстеження додаються:</w:t>
      </w:r>
    </w:p>
    <w:p>
      <w:pPr>
        <w:pStyle w:val="a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color w:val="0D0D0D"/>
          <w:sz w:val="20"/>
        </w:rPr>
      </w:pPr>
      <w:r>
        <w:rPr>
          <w:rFonts w:ascii="Times New Roman" w:hAnsi="Times New Roman"/>
          <w:color w:val="0D0D0D"/>
          <w:sz w:val="20"/>
        </w:rPr>
        <w:t>(перелік документів, у тому числі результати фотофіксації пошкодженого об’єкта)</w:t>
      </w:r>
    </w:p>
    <w:p>
      <w:pPr>
        <w:pStyle w:val="a"/>
        <w:spacing w:before="0" w:beforeAutospacing="0" w:afterAutospacing="0"/>
        <w:ind w:firstLine="0"/>
        <w:jc w:val="center"/>
        <w:rPr>
          <w:rFonts w:ascii="Times New Roman" w:hAnsi="Times New Roman"/>
          <w:color w:val="0D0D0D"/>
          <w:sz w:val="20"/>
        </w:rPr>
      </w:pPr>
    </w:p>
    <w:tbl>
      <w:tblPr>
        <w:tblW w:w="0" w:type="auto"/>
        <w:tblLook w:val="04A0"/>
      </w:tblPr>
      <w:tblGrid>
        <w:gridCol w:w="3110"/>
        <w:gridCol w:w="2655"/>
        <w:gridCol w:w="3733"/>
      </w:tblGrid>
      <w:tr>
        <w:tblPrEx>
          <w:tblW w:w="0" w:type="auto"/>
          <w:tblLook w:val="04A0"/>
        </w:tblPrEx>
        <w:tc>
          <w:tcPr>
            <w:tcW w:w="3095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Заступник голови</w:t>
            </w:r>
          </w:p>
        </w:tc>
        <w:tc>
          <w:tcPr>
            <w:tcW w:w="2542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>
        <w:tblPrEx>
          <w:tblW w:w="0" w:type="auto"/>
          <w:tblLook w:val="04A0"/>
        </w:tblPrEx>
        <w:trPr>
          <w:trHeight w:val="186"/>
        </w:trPr>
        <w:tc>
          <w:tcPr>
            <w:tcW w:w="3095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50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095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Члени комісії</w:t>
            </w:r>
          </w:p>
        </w:tc>
        <w:tc>
          <w:tcPr>
            <w:tcW w:w="2542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>
        <w:tblPrEx>
          <w:tblW w:w="0" w:type="auto"/>
          <w:tblLook w:val="04A0"/>
        </w:tblPrEx>
        <w:tc>
          <w:tcPr>
            <w:tcW w:w="3095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>
        <w:tblPrEx>
          <w:tblW w:w="0" w:type="auto"/>
          <w:tblLook w:val="04A0"/>
        </w:tblPrEx>
        <w:tc>
          <w:tcPr>
            <w:tcW w:w="3095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742"/>
        <w:gridCol w:w="2196"/>
        <w:gridCol w:w="3561"/>
      </w:tblGrid>
      <w:tr>
        <w:tblPrEx>
          <w:tblW w:w="0" w:type="auto"/>
          <w:tblLook w:val="04A0"/>
        </w:tblPrEx>
        <w:trPr>
          <w:trHeight w:val="1002"/>
        </w:trPr>
        <w:tc>
          <w:tcPr>
            <w:tcW w:w="3678" w:type="dxa"/>
          </w:tcPr>
          <w:p>
            <w:pPr>
              <w:pStyle w:val="a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Власник</w:t>
              <w:br/>
              <w:t>(управитель/представник)</w:t>
              <w:br/>
              <w:t>(у разі участі в обстеженні)</w:t>
            </w:r>
          </w:p>
        </w:tc>
        <w:tc>
          <w:tcPr>
            <w:tcW w:w="2097" w:type="dxa"/>
            <w:vAlign w:val="bottom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512" w:type="dxa"/>
            <w:vAlign w:val="bottom"/>
          </w:tcPr>
          <w:p>
            <w:pPr>
              <w:pStyle w:val="a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____________________</w:t>
            </w:r>
          </w:p>
          <w:p>
            <w:pPr>
              <w:pStyle w:val="a"/>
              <w:spacing w:before="0" w:beforeAutospacing="0" w:afterAutospacing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/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4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1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a">
    <w:name w:val="Нормальний текст"/>
    <w:basedOn w:val="Normal"/>
    <w:pPr>
      <w:spacing w:before="120" w:beforeAutospacing="0" w:after="0" w:afterAutospacing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0">
    <w:name w:val="Верхний колонтитул Знак"/>
    <w:basedOn w:val="DefaultParagraphFont"/>
    <w:link w:val="Header"/>
  </w:style>
  <w:style w:type="character" w:customStyle="1" w:styleId="a1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2024-05-08T10:46:19Z</dcterms:modified>
</cp:coreProperties>
</file>