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1C08" w:rsidRDefault="00083CC7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90B7C" w:rsidRDefault="00083CC7" w:rsidP="00B90B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>
        <w:rPr>
          <w:rFonts w:ascii="Times New Roman" w:hAnsi="Times New Roman"/>
          <w:b/>
          <w:sz w:val="28"/>
          <w:szCs w:val="28"/>
          <w:lang w:val="uk-UA"/>
        </w:rPr>
        <w:t>«</w:t>
      </w:r>
      <w:r w:rsidR="00B90B7C" w:rsidRPr="00A11EB5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="00B90B7C" w:rsidRPr="00A11EB5">
        <w:rPr>
          <w:rFonts w:ascii="Times New Roman" w:hAnsi="Times New Roman" w:cs="Times New Roman"/>
          <w:b/>
          <w:sz w:val="28"/>
          <w:szCs w:val="28"/>
        </w:rPr>
        <w:t>внесення</w:t>
      </w:r>
      <w:proofErr w:type="spellEnd"/>
      <w:r w:rsidR="00B90B7C" w:rsidRPr="00A11E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90B7C" w:rsidRPr="00A11EB5">
        <w:rPr>
          <w:rFonts w:ascii="Times New Roman" w:hAnsi="Times New Roman" w:cs="Times New Roman"/>
          <w:b/>
          <w:sz w:val="28"/>
          <w:szCs w:val="28"/>
        </w:rPr>
        <w:t>змін</w:t>
      </w:r>
      <w:proofErr w:type="spellEnd"/>
      <w:r w:rsidR="00B90B7C" w:rsidRPr="00A11EB5">
        <w:rPr>
          <w:rFonts w:ascii="Times New Roman" w:hAnsi="Times New Roman" w:cs="Times New Roman"/>
          <w:b/>
          <w:sz w:val="28"/>
          <w:szCs w:val="28"/>
        </w:rPr>
        <w:t xml:space="preserve"> до «</w:t>
      </w:r>
      <w:proofErr w:type="spellStart"/>
      <w:r w:rsidR="00B90B7C" w:rsidRPr="00A11EB5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="00B90B7C" w:rsidRPr="00A11E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B90B7C" w:rsidRPr="00A11EB5">
        <w:rPr>
          <w:rFonts w:ascii="Times New Roman" w:hAnsi="Times New Roman" w:cs="Times New Roman"/>
          <w:b/>
          <w:sz w:val="28"/>
          <w:szCs w:val="28"/>
        </w:rPr>
        <w:t>будівництва</w:t>
      </w:r>
      <w:proofErr w:type="spellEnd"/>
      <w:r w:rsidR="00B90B7C" w:rsidRPr="00A11EB5">
        <w:rPr>
          <w:rFonts w:ascii="Times New Roman" w:hAnsi="Times New Roman" w:cs="Times New Roman"/>
          <w:b/>
          <w:sz w:val="28"/>
          <w:szCs w:val="28"/>
        </w:rPr>
        <w:t>,</w:t>
      </w:r>
    </w:p>
    <w:p w:rsidR="00B90B7C" w:rsidRDefault="00B90B7C" w:rsidP="00B90B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капітального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ремонту,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утримання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об’єктів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житлового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фонду,</w:t>
      </w:r>
    </w:p>
    <w:p w:rsidR="00B90B7C" w:rsidRDefault="00B90B7C" w:rsidP="00B90B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1EB5">
        <w:rPr>
          <w:rFonts w:ascii="Times New Roman" w:hAnsi="Times New Roman" w:cs="Times New Roman"/>
          <w:b/>
          <w:sz w:val="28"/>
          <w:szCs w:val="28"/>
        </w:rPr>
        <w:t xml:space="preserve">благоустрою та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соціально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– культурного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призначення</w:t>
      </w:r>
      <w:proofErr w:type="spellEnd"/>
    </w:p>
    <w:p w:rsidR="00361CD8" w:rsidRDefault="00B90B7C" w:rsidP="00B90B7C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>Броварської міської територіальної громади</w:t>
      </w:r>
      <w:r w:rsidRPr="00A11EB5">
        <w:rPr>
          <w:rFonts w:ascii="Times New Roman" w:hAnsi="Times New Roman" w:cs="Times New Roman"/>
          <w:b/>
          <w:sz w:val="28"/>
          <w:szCs w:val="28"/>
        </w:rPr>
        <w:t xml:space="preserve"> на 2019 – 202</w:t>
      </w:r>
      <w:r w:rsidRPr="005B724A">
        <w:rPr>
          <w:rFonts w:ascii="Times New Roman" w:hAnsi="Times New Roman" w:cs="Times New Roman"/>
          <w:b/>
          <w:sz w:val="28"/>
          <w:szCs w:val="28"/>
        </w:rPr>
        <w:t>4</w:t>
      </w:r>
      <w:r w:rsidRPr="00A11EB5">
        <w:rPr>
          <w:rFonts w:ascii="Times New Roman" w:hAnsi="Times New Roman" w:cs="Times New Roman"/>
          <w:b/>
          <w:sz w:val="28"/>
          <w:szCs w:val="28"/>
        </w:rPr>
        <w:t xml:space="preserve"> роки</w:t>
      </w:r>
      <w:r w:rsidR="0074644B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4644B" w:rsidRDefault="00083CC7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:rsidR="00B90B7C" w:rsidRDefault="00083CC7" w:rsidP="00B90B7C">
      <w:pPr>
        <w:pStyle w:val="a5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r w:rsidR="00B90B7C">
        <w:rPr>
          <w:rFonts w:ascii="Times New Roman" w:hAnsi="Times New Roman" w:cs="Times New Roman"/>
          <w:b/>
          <w:sz w:val="28"/>
          <w:szCs w:val="28"/>
          <w:lang w:val="uk-UA"/>
        </w:rPr>
        <w:t>Обґ</w:t>
      </w:r>
      <w:r w:rsidR="00B90B7C" w:rsidRPr="007B0302">
        <w:rPr>
          <w:rFonts w:ascii="Times New Roman" w:hAnsi="Times New Roman" w:cs="Times New Roman"/>
          <w:b/>
          <w:sz w:val="28"/>
          <w:szCs w:val="28"/>
          <w:lang w:val="uk-UA"/>
        </w:rPr>
        <w:t>рунтування необхідності прийняття рішення</w:t>
      </w:r>
      <w:r w:rsidR="00B90B7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B90B7C" w:rsidRDefault="00B90B7C" w:rsidP="00B90B7C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75FE">
        <w:rPr>
          <w:rFonts w:ascii="Times New Roman" w:hAnsi="Times New Roman" w:cs="Times New Roman"/>
          <w:sz w:val="28"/>
          <w:szCs w:val="28"/>
          <w:lang w:val="uk-UA"/>
        </w:rPr>
        <w:t>Для фінансування у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975FE"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Програми п.1.2.4 «</w:t>
      </w:r>
      <w:r w:rsidRPr="00AE5805">
        <w:rPr>
          <w:rFonts w:ascii="Times New Roman" w:hAnsi="Times New Roman" w:cs="Times New Roman"/>
          <w:sz w:val="28"/>
          <w:szCs w:val="28"/>
          <w:lang w:val="uk-UA"/>
        </w:rPr>
        <w:t xml:space="preserve">Нове будівництво, реконструкція, капітальний та поточний ремонти </w:t>
      </w:r>
      <w:proofErr w:type="spellStart"/>
      <w:r w:rsidRPr="00AE5805">
        <w:rPr>
          <w:rFonts w:ascii="Times New Roman" w:hAnsi="Times New Roman" w:cs="Times New Roman"/>
          <w:sz w:val="28"/>
          <w:szCs w:val="28"/>
          <w:lang w:val="uk-UA"/>
        </w:rPr>
        <w:t>внутрішньоквартальних</w:t>
      </w:r>
      <w:proofErr w:type="spellEnd"/>
      <w:r w:rsidRPr="00AE58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5805">
        <w:rPr>
          <w:rFonts w:ascii="Times New Roman" w:hAnsi="Times New Roman" w:cs="Times New Roman"/>
          <w:sz w:val="28"/>
          <w:szCs w:val="28"/>
          <w:lang w:val="uk-UA"/>
        </w:rPr>
        <w:t>міжбудинкових</w:t>
      </w:r>
      <w:proofErr w:type="spellEnd"/>
      <w:r w:rsidRPr="00AE58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5805">
        <w:rPr>
          <w:rFonts w:ascii="Times New Roman" w:hAnsi="Times New Roman" w:cs="Times New Roman"/>
          <w:sz w:val="28"/>
          <w:szCs w:val="28"/>
          <w:lang w:val="uk-UA"/>
        </w:rPr>
        <w:t>проіздів</w:t>
      </w:r>
      <w:proofErr w:type="spellEnd"/>
      <w:r w:rsidRPr="00AE5805">
        <w:rPr>
          <w:rFonts w:ascii="Times New Roman" w:hAnsi="Times New Roman" w:cs="Times New Roman"/>
          <w:sz w:val="28"/>
          <w:szCs w:val="28"/>
          <w:lang w:val="uk-UA"/>
        </w:rPr>
        <w:t>, тротуарів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суму заходу збільшити на «5000,00»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для здійснення ремонтів дорожнього покриття та відновлення</w:t>
      </w:r>
      <w:r w:rsidRPr="00100C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елементів благоустрою таких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міжбудинкових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проїздів, а саме: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вул.Героїв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України,19 та бульвар Незалежності,2,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вул.Чорних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Запорожців,66,66-А,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вул.Петлюри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Симона,23-А,23-Б; п.1.2.7. «</w:t>
      </w:r>
      <w:r w:rsidRPr="00B23BED">
        <w:rPr>
          <w:rFonts w:ascii="Times New Roman" w:hAnsi="Times New Roman" w:cs="Times New Roman"/>
          <w:sz w:val="28"/>
          <w:szCs w:val="28"/>
          <w:lang w:val="uk-UA"/>
        </w:rPr>
        <w:t>Нове будівництво, реконструкція, капітальний ремонт парків, скверів, зон відпочинку</w:t>
      </w:r>
      <w:r>
        <w:rPr>
          <w:rFonts w:ascii="Times New Roman" w:hAnsi="Times New Roman" w:cs="Times New Roman"/>
          <w:sz w:val="28"/>
          <w:szCs w:val="28"/>
          <w:lang w:val="uk-UA"/>
        </w:rPr>
        <w:t>» з метою оплати виготовленої проектно-кошторисної документації об</w:t>
      </w:r>
      <w:r w:rsidRPr="00B23BED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єкту «Будівництво зони відпочинку в районі будинку №17-А по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вул.Петлюри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Симона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м.Бровари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Броварського району Київської області» та дотримання договірних зобов</w:t>
      </w:r>
      <w:r w:rsidRPr="00B91F72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язань за Договором №23/22ПЕ від 03.02.2022 року збільшуємо обсяг фінансування на «200,00»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B90B7C" w:rsidRPr="00A47506" w:rsidRDefault="00B90B7C" w:rsidP="00B90B7C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проведення поточного ремонту дорожнього покриття по бульвару Незалежності та по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вул.Героїв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України збільшуємо обсяг фінансування КП «Бровари-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Бланоустрій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на «3000,00»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</w:p>
    <w:p w:rsidR="00B90B7C" w:rsidRPr="00B52D9C" w:rsidRDefault="00B90B7C" w:rsidP="00B90B7C">
      <w:pPr>
        <w:spacing w:after="0" w:line="240" w:lineRule="auto"/>
        <w:ind w:left="568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0" w:name="_Hlk141947503"/>
      <w:bookmarkStart w:id="1" w:name="_Hlk134192880"/>
      <w:bookmarkStart w:id="2" w:name="_Hlk131756708"/>
      <w:r>
        <w:rPr>
          <w:rFonts w:ascii="Times New Roman" w:hAnsi="Times New Roman"/>
          <w:b/>
          <w:sz w:val="28"/>
          <w:szCs w:val="28"/>
          <w:lang w:val="uk-UA"/>
        </w:rPr>
        <w:t xml:space="preserve">2. </w:t>
      </w:r>
      <w:r w:rsidRPr="00B52D9C">
        <w:rPr>
          <w:rFonts w:ascii="Times New Roman" w:hAnsi="Times New Roman"/>
          <w:b/>
          <w:sz w:val="28"/>
          <w:szCs w:val="28"/>
          <w:lang w:val="uk-UA"/>
        </w:rPr>
        <w:t>Мета і шляхи її досягнення.</w:t>
      </w:r>
    </w:p>
    <w:p w:rsidR="00B90B7C" w:rsidRDefault="00B90B7C" w:rsidP="00B90B7C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Відновлення дорожнього покриття та благоустрою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внутрішньоквартальних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міжбудинкових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проїздів та тротуарів, шляхом проведення ремонтів.</w:t>
      </w:r>
    </w:p>
    <w:p w:rsidR="00B90B7C" w:rsidRPr="00B11605" w:rsidRDefault="00B90B7C" w:rsidP="00B90B7C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Виконання договірних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зобов</w:t>
      </w:r>
      <w:proofErr w:type="spellEnd"/>
      <w:r w:rsidRPr="006E3BB5"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язань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90B7C" w:rsidRPr="00B52D9C" w:rsidRDefault="00B90B7C" w:rsidP="00B90B7C">
      <w:pPr>
        <w:spacing w:after="0" w:line="240" w:lineRule="auto"/>
        <w:ind w:left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3. </w:t>
      </w:r>
      <w:r w:rsidRPr="00B52D9C">
        <w:rPr>
          <w:rFonts w:ascii="Times New Roman" w:hAnsi="Times New Roman"/>
          <w:b/>
          <w:sz w:val="28"/>
          <w:szCs w:val="28"/>
          <w:lang w:val="uk-UA"/>
        </w:rPr>
        <w:t>Правові аспекти</w:t>
      </w:r>
      <w:r w:rsidRPr="00B52D9C">
        <w:rPr>
          <w:rFonts w:ascii="Times New Roman" w:hAnsi="Times New Roman"/>
          <w:sz w:val="28"/>
          <w:szCs w:val="28"/>
          <w:lang w:val="uk-UA"/>
        </w:rPr>
        <w:t>.</w:t>
      </w:r>
    </w:p>
    <w:p w:rsidR="00B90B7C" w:rsidRDefault="00B90B7C" w:rsidP="00B90B7C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bookmarkStart w:id="3" w:name="_Hlk134192768"/>
      <w:r>
        <w:rPr>
          <w:rFonts w:ascii="Times New Roman" w:hAnsi="Times New Roman"/>
          <w:sz w:val="28"/>
          <w:szCs w:val="28"/>
          <w:lang w:val="uk-UA" w:eastAsia="uk-UA"/>
        </w:rPr>
        <w:t>Розроблено</w:t>
      </w:r>
      <w:r>
        <w:rPr>
          <w:rFonts w:ascii="Times New Roman" w:hAnsi="Times New Roman"/>
          <w:sz w:val="28"/>
          <w:szCs w:val="28"/>
          <w:lang w:val="uk-UA"/>
        </w:rPr>
        <w:t xml:space="preserve"> відповідно до Бюджетного кодексу України, Закону України «Про місцеве самоврядування в Україні», «Про благоустрій населених пунктів», 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постанова КМУ від 09.06.2021р.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bookmarkEnd w:id="3"/>
    <w:p w:rsidR="00B90B7C" w:rsidRDefault="00B90B7C" w:rsidP="00B90B7C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Фінансово -економічне обґрунтування.</w:t>
      </w:r>
    </w:p>
    <w:p w:rsidR="00B90B7C" w:rsidRDefault="00B90B7C" w:rsidP="00B90B7C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4" w:name="_Hlk131756640"/>
      <w:r>
        <w:rPr>
          <w:rFonts w:ascii="Times New Roman" w:hAnsi="Times New Roman"/>
          <w:sz w:val="28"/>
          <w:szCs w:val="28"/>
          <w:lang w:val="uk-UA"/>
        </w:rPr>
        <w:t xml:space="preserve">У 2024 році обсяг фінансування Програми становив «382 369,926»тис.грн., збільшуємо його на «5200,00»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., становитиме з урахуванням змін «387 569,926»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bookmarkEnd w:id="4"/>
    <w:p w:rsidR="00B90B7C" w:rsidRDefault="00B90B7C" w:rsidP="00B90B7C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Прогноз результатів.</w:t>
      </w:r>
    </w:p>
    <w:p w:rsidR="00B90B7C" w:rsidRDefault="00B90B7C" w:rsidP="00B90B7C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_Hlk158369100"/>
      <w:r>
        <w:rPr>
          <w:rFonts w:ascii="Times New Roman" w:hAnsi="Times New Roman"/>
          <w:sz w:val="28"/>
          <w:szCs w:val="28"/>
          <w:lang w:val="uk-UA"/>
        </w:rPr>
        <w:t>Покращення благоустрою міста</w:t>
      </w:r>
    </w:p>
    <w:bookmarkEnd w:id="5"/>
    <w:p w:rsidR="00B90B7C" w:rsidRPr="006B6292" w:rsidRDefault="00B90B7C" w:rsidP="00B90B7C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B6292">
        <w:rPr>
          <w:rFonts w:ascii="Times New Roman" w:hAnsi="Times New Roman"/>
          <w:b/>
          <w:sz w:val="28"/>
          <w:szCs w:val="28"/>
          <w:lang w:val="uk-UA"/>
        </w:rPr>
        <w:t>Суб’єкт подання проекту рішення.</w:t>
      </w:r>
    </w:p>
    <w:p w:rsidR="00B90B7C" w:rsidRDefault="00B90B7C" w:rsidP="00B90B7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_Hlk158369123"/>
      <w:r>
        <w:rPr>
          <w:rFonts w:ascii="Times New Roman" w:hAnsi="Times New Roman"/>
          <w:sz w:val="28"/>
          <w:szCs w:val="28"/>
          <w:lang w:val="uk-UA"/>
        </w:rPr>
        <w:t xml:space="preserve">Управління будівництва, житлово – комунального господарства, інфраструктури та транспорту Броварської міської ради Броварського району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Київської області, начальник управління Світлана РЕШЕТОВА 6-04-13, Олена ДРАНА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 xml:space="preserve"> 4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61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10.</w:t>
      </w:r>
    </w:p>
    <w:bookmarkEnd w:id="0"/>
    <w:bookmarkEnd w:id="1"/>
    <w:bookmarkEnd w:id="2"/>
    <w:bookmarkEnd w:id="6"/>
    <w:p w:rsidR="008F35A5" w:rsidRPr="008F35A5" w:rsidRDefault="008F35A5" w:rsidP="008F35A5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B90B7C" w:rsidRPr="00CF72AF" w:rsidRDefault="00B90B7C" w:rsidP="00B90B7C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26D92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</w:p>
    <w:p w:rsidR="00B90B7C" w:rsidRPr="006B6292" w:rsidRDefault="00B90B7C" w:rsidP="00B90B7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pPr w:leftFromText="180" w:rightFromText="180" w:vertAnchor="text" w:tblpX="-73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1311"/>
        <w:gridCol w:w="1134"/>
        <w:gridCol w:w="1276"/>
        <w:gridCol w:w="3083"/>
      </w:tblGrid>
      <w:tr w:rsidR="00B90B7C" w:rsidRPr="003964C2" w:rsidTr="00D27D9C">
        <w:trPr>
          <w:trHeight w:val="517"/>
        </w:trPr>
        <w:tc>
          <w:tcPr>
            <w:tcW w:w="817" w:type="dxa"/>
            <w:shd w:val="clear" w:color="auto" w:fill="auto"/>
            <w:noWrap/>
            <w:hideMark/>
          </w:tcPr>
          <w:p w:rsidR="00B90B7C" w:rsidRPr="00357B3B" w:rsidRDefault="00B90B7C" w:rsidP="00D27D9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bookmarkStart w:id="7" w:name="_Hlk159225741"/>
            <w:r w:rsidRPr="00357B3B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B90B7C" w:rsidRDefault="00B90B7C" w:rsidP="00D27D9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357B3B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 xml:space="preserve">Заходи </w:t>
            </w:r>
          </w:p>
          <w:p w:rsidR="00B90B7C" w:rsidRDefault="00B90B7C" w:rsidP="00D27D9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357B3B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 xml:space="preserve">реалізації Програми </w:t>
            </w:r>
          </w:p>
          <w:p w:rsidR="00B90B7C" w:rsidRPr="00357B3B" w:rsidRDefault="00B90B7C" w:rsidP="00D27D9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357B3B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2024 рік</w:t>
            </w:r>
          </w:p>
        </w:tc>
        <w:tc>
          <w:tcPr>
            <w:tcW w:w="1311" w:type="dxa"/>
            <w:shd w:val="clear" w:color="auto" w:fill="auto"/>
            <w:noWrap/>
            <w:hideMark/>
          </w:tcPr>
          <w:p w:rsidR="00B90B7C" w:rsidRDefault="00B90B7C" w:rsidP="00D27D9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б</w:t>
            </w:r>
            <w:r w:rsidRPr="003964C2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уло</w:t>
            </w:r>
          </w:p>
          <w:p w:rsidR="00B90B7C" w:rsidRPr="003964C2" w:rsidRDefault="00B90B7C" w:rsidP="00D27D9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60F03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тис.грн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134" w:type="dxa"/>
          </w:tcPr>
          <w:p w:rsidR="00B90B7C" w:rsidRDefault="00B90B7C" w:rsidP="00D27D9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з</w:t>
            </w:r>
            <w:r w:rsidRPr="003964C2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міни</w:t>
            </w:r>
          </w:p>
          <w:p w:rsidR="00B90B7C" w:rsidRPr="003964C2" w:rsidRDefault="00B90B7C" w:rsidP="00D27D9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60F03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тис.грн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276" w:type="dxa"/>
          </w:tcPr>
          <w:p w:rsidR="00B90B7C" w:rsidRDefault="00B90B7C" w:rsidP="00D27D9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с</w:t>
            </w:r>
            <w:r w:rsidRPr="003964C2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тало</w:t>
            </w:r>
          </w:p>
          <w:p w:rsidR="00B90B7C" w:rsidRPr="00C60F03" w:rsidRDefault="00B90B7C" w:rsidP="00D27D9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C60F03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тис.грн</w:t>
            </w:r>
            <w:proofErr w:type="spellEnd"/>
          </w:p>
        </w:tc>
        <w:tc>
          <w:tcPr>
            <w:tcW w:w="3083" w:type="dxa"/>
          </w:tcPr>
          <w:p w:rsidR="00B90B7C" w:rsidRPr="003964C2" w:rsidRDefault="00B90B7C" w:rsidP="00D27D9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3964C2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примітки</w:t>
            </w:r>
          </w:p>
        </w:tc>
      </w:tr>
      <w:tr w:rsidR="00B90B7C" w:rsidRPr="003964C2" w:rsidTr="00D27D9C">
        <w:trPr>
          <w:trHeight w:val="242"/>
        </w:trPr>
        <w:tc>
          <w:tcPr>
            <w:tcW w:w="817" w:type="dxa"/>
            <w:shd w:val="clear" w:color="auto" w:fill="auto"/>
            <w:noWrap/>
          </w:tcPr>
          <w:p w:rsidR="00B90B7C" w:rsidRPr="00357B3B" w:rsidRDefault="00B90B7C" w:rsidP="00D27D9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B90B7C" w:rsidRPr="00357B3B" w:rsidRDefault="00B90B7C" w:rsidP="00D27D9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357B3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Всього</w:t>
            </w:r>
          </w:p>
        </w:tc>
        <w:tc>
          <w:tcPr>
            <w:tcW w:w="1311" w:type="dxa"/>
            <w:shd w:val="clear" w:color="auto" w:fill="auto"/>
            <w:noWrap/>
          </w:tcPr>
          <w:p w:rsidR="00B90B7C" w:rsidRPr="005A753D" w:rsidRDefault="00B90B7C" w:rsidP="00D27D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382 369,926</w:t>
            </w:r>
          </w:p>
        </w:tc>
        <w:tc>
          <w:tcPr>
            <w:tcW w:w="1134" w:type="dxa"/>
          </w:tcPr>
          <w:p w:rsidR="00B90B7C" w:rsidRPr="005A753D" w:rsidRDefault="00B90B7C" w:rsidP="00D27D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8 200,00</w:t>
            </w:r>
          </w:p>
        </w:tc>
        <w:tc>
          <w:tcPr>
            <w:tcW w:w="1276" w:type="dxa"/>
          </w:tcPr>
          <w:p w:rsidR="00B90B7C" w:rsidRPr="00F46D01" w:rsidRDefault="00B90B7C" w:rsidP="00D27D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390 569,926</w:t>
            </w:r>
          </w:p>
        </w:tc>
        <w:tc>
          <w:tcPr>
            <w:tcW w:w="3083" w:type="dxa"/>
          </w:tcPr>
          <w:p w:rsidR="00B90B7C" w:rsidRPr="003964C2" w:rsidRDefault="00B90B7C" w:rsidP="00D27D9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B90B7C" w:rsidRPr="003964C2" w:rsidTr="00D27D9C">
        <w:trPr>
          <w:trHeight w:val="388"/>
        </w:trPr>
        <w:tc>
          <w:tcPr>
            <w:tcW w:w="817" w:type="dxa"/>
            <w:shd w:val="clear" w:color="auto" w:fill="auto"/>
            <w:noWrap/>
          </w:tcPr>
          <w:p w:rsidR="00B90B7C" w:rsidRPr="00A51089" w:rsidRDefault="00B90B7C" w:rsidP="00D27D9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A5108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1.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2</w:t>
            </w:r>
            <w:r w:rsidRPr="00A5108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B90B7C" w:rsidRPr="006E3BB5" w:rsidRDefault="00B90B7C" w:rsidP="00D27D9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6E3BB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Вулично</w:t>
            </w:r>
            <w:proofErr w:type="spellEnd"/>
            <w:r w:rsidRPr="006E3BB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-шляхова інфраструктура та благоустрій території</w:t>
            </w:r>
          </w:p>
        </w:tc>
        <w:tc>
          <w:tcPr>
            <w:tcW w:w="1311" w:type="dxa"/>
            <w:shd w:val="clear" w:color="auto" w:fill="auto"/>
            <w:noWrap/>
          </w:tcPr>
          <w:p w:rsidR="00B90B7C" w:rsidRDefault="00B90B7C" w:rsidP="00D27D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233 154,906</w:t>
            </w:r>
          </w:p>
        </w:tc>
        <w:tc>
          <w:tcPr>
            <w:tcW w:w="1134" w:type="dxa"/>
          </w:tcPr>
          <w:p w:rsidR="00B90B7C" w:rsidRPr="005A753D" w:rsidRDefault="00B90B7C" w:rsidP="00D27D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8 200,00</w:t>
            </w:r>
          </w:p>
        </w:tc>
        <w:tc>
          <w:tcPr>
            <w:tcW w:w="1276" w:type="dxa"/>
          </w:tcPr>
          <w:p w:rsidR="00B90B7C" w:rsidRDefault="00B90B7C" w:rsidP="00D27D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241 354,906</w:t>
            </w:r>
          </w:p>
        </w:tc>
        <w:tc>
          <w:tcPr>
            <w:tcW w:w="3083" w:type="dxa"/>
          </w:tcPr>
          <w:p w:rsidR="00B90B7C" w:rsidRPr="003964C2" w:rsidRDefault="00B90B7C" w:rsidP="00D27D9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B90B7C" w:rsidRPr="00A27B11" w:rsidTr="00D27D9C">
        <w:trPr>
          <w:trHeight w:val="517"/>
        </w:trPr>
        <w:tc>
          <w:tcPr>
            <w:tcW w:w="817" w:type="dxa"/>
            <w:shd w:val="clear" w:color="auto" w:fill="auto"/>
            <w:noWrap/>
          </w:tcPr>
          <w:p w:rsidR="00B90B7C" w:rsidRPr="00A51089" w:rsidRDefault="00B90B7C" w:rsidP="00D27D9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1.2.4.</w:t>
            </w:r>
          </w:p>
        </w:tc>
        <w:tc>
          <w:tcPr>
            <w:tcW w:w="2126" w:type="dxa"/>
            <w:shd w:val="clear" w:color="auto" w:fill="auto"/>
            <w:noWrap/>
          </w:tcPr>
          <w:p w:rsidR="00B90B7C" w:rsidRPr="006E3BB5" w:rsidRDefault="00B90B7C" w:rsidP="00D27D9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6E3B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«Нове будівництво, реконструкція, капітальний та поточний ремонти </w:t>
            </w:r>
            <w:proofErr w:type="spellStart"/>
            <w:r w:rsidRPr="006E3B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внутрішньоквартальних</w:t>
            </w:r>
            <w:proofErr w:type="spellEnd"/>
            <w:r w:rsidRPr="006E3B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E3B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міжбудинкових</w:t>
            </w:r>
            <w:proofErr w:type="spellEnd"/>
            <w:r w:rsidRPr="006E3B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E3B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проіздів</w:t>
            </w:r>
            <w:proofErr w:type="spellEnd"/>
            <w:r w:rsidRPr="006E3B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тротуарів»</w:t>
            </w:r>
          </w:p>
        </w:tc>
        <w:tc>
          <w:tcPr>
            <w:tcW w:w="1311" w:type="dxa"/>
            <w:shd w:val="clear" w:color="auto" w:fill="auto"/>
            <w:noWrap/>
          </w:tcPr>
          <w:p w:rsidR="00B90B7C" w:rsidRPr="00A51089" w:rsidRDefault="00B90B7C" w:rsidP="00D27D9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5 000,00</w:t>
            </w:r>
          </w:p>
        </w:tc>
        <w:tc>
          <w:tcPr>
            <w:tcW w:w="1134" w:type="dxa"/>
          </w:tcPr>
          <w:p w:rsidR="00B90B7C" w:rsidRPr="00A51089" w:rsidRDefault="00B90B7C" w:rsidP="00D27D9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5 000,00</w:t>
            </w:r>
          </w:p>
        </w:tc>
        <w:tc>
          <w:tcPr>
            <w:tcW w:w="1276" w:type="dxa"/>
          </w:tcPr>
          <w:p w:rsidR="00B90B7C" w:rsidRPr="00A51089" w:rsidRDefault="00B90B7C" w:rsidP="00D27D9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10 000,00</w:t>
            </w:r>
          </w:p>
        </w:tc>
        <w:tc>
          <w:tcPr>
            <w:tcW w:w="3083" w:type="dxa"/>
          </w:tcPr>
          <w:p w:rsidR="00B90B7C" w:rsidRPr="006E3BB5" w:rsidRDefault="00B90B7C" w:rsidP="00D27D9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6E3BB5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Внутрішньоквартальні</w:t>
            </w:r>
            <w:proofErr w:type="spellEnd"/>
            <w:r w:rsidRPr="006E3BB5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6E3BB5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міжбудинкові</w:t>
            </w:r>
            <w:proofErr w:type="spellEnd"/>
            <w:r w:rsidRPr="006E3BB5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 xml:space="preserve"> </w:t>
            </w:r>
          </w:p>
          <w:p w:rsidR="00B90B7C" w:rsidRPr="00845DE4" w:rsidRDefault="00B90B7C" w:rsidP="00D27D9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6E3BB5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проїзди та тротуари:</w:t>
            </w:r>
            <w:r w:rsidRPr="006E3B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E3B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вул.Героїв</w:t>
            </w:r>
            <w:proofErr w:type="spellEnd"/>
            <w:r w:rsidRPr="006E3B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України,19 та бульвар Незалежності,2, </w:t>
            </w:r>
            <w:proofErr w:type="spellStart"/>
            <w:r w:rsidRPr="006E3B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вул.Чорних</w:t>
            </w:r>
            <w:proofErr w:type="spellEnd"/>
            <w:r w:rsidRPr="006E3B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Запорожців,66,66-А, </w:t>
            </w:r>
            <w:proofErr w:type="spellStart"/>
            <w:r w:rsidRPr="006E3B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вул.Петлюри</w:t>
            </w:r>
            <w:proofErr w:type="spellEnd"/>
            <w:r w:rsidRPr="006E3B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Симона,23-А,23-Б;</w:t>
            </w:r>
          </w:p>
        </w:tc>
      </w:tr>
      <w:tr w:rsidR="00B90B7C" w:rsidRPr="00A00BC7" w:rsidTr="00D27D9C">
        <w:trPr>
          <w:trHeight w:val="517"/>
        </w:trPr>
        <w:tc>
          <w:tcPr>
            <w:tcW w:w="817" w:type="dxa"/>
            <w:shd w:val="clear" w:color="auto" w:fill="auto"/>
            <w:noWrap/>
          </w:tcPr>
          <w:p w:rsidR="00B90B7C" w:rsidRDefault="00B90B7C" w:rsidP="00D27D9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1.2.7.</w:t>
            </w:r>
          </w:p>
        </w:tc>
        <w:tc>
          <w:tcPr>
            <w:tcW w:w="2126" w:type="dxa"/>
            <w:shd w:val="clear" w:color="auto" w:fill="auto"/>
            <w:noWrap/>
          </w:tcPr>
          <w:p w:rsidR="00B90B7C" w:rsidRPr="006E3BB5" w:rsidRDefault="00B90B7C" w:rsidP="00D27D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3B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311" w:type="dxa"/>
            <w:shd w:val="clear" w:color="auto" w:fill="auto"/>
            <w:noWrap/>
          </w:tcPr>
          <w:p w:rsidR="00B90B7C" w:rsidRDefault="00B90B7C" w:rsidP="00D27D9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34" w:type="dxa"/>
          </w:tcPr>
          <w:p w:rsidR="00B90B7C" w:rsidRDefault="00B90B7C" w:rsidP="00D27D9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200,00</w:t>
            </w:r>
          </w:p>
        </w:tc>
        <w:tc>
          <w:tcPr>
            <w:tcW w:w="1276" w:type="dxa"/>
          </w:tcPr>
          <w:p w:rsidR="00B90B7C" w:rsidRDefault="00B90B7C" w:rsidP="00D27D9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200,00</w:t>
            </w:r>
          </w:p>
        </w:tc>
        <w:tc>
          <w:tcPr>
            <w:tcW w:w="3083" w:type="dxa"/>
          </w:tcPr>
          <w:p w:rsidR="00B90B7C" w:rsidRPr="006E3BB5" w:rsidRDefault="00B90B7C" w:rsidP="00D27D9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6E3B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Будівництво зони відпочинку в районі будинку №17-А по </w:t>
            </w:r>
            <w:proofErr w:type="spellStart"/>
            <w:r w:rsidRPr="006E3B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вул.Петлюри</w:t>
            </w:r>
            <w:proofErr w:type="spellEnd"/>
            <w:r w:rsidRPr="006E3B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Симона в </w:t>
            </w:r>
            <w:proofErr w:type="spellStart"/>
            <w:r w:rsidRPr="006E3B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м.Бровари</w:t>
            </w:r>
            <w:proofErr w:type="spellEnd"/>
            <w:r w:rsidRPr="006E3B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Броварського району Київської області</w:t>
            </w:r>
          </w:p>
        </w:tc>
      </w:tr>
      <w:tr w:rsidR="00B90B7C" w:rsidRPr="00A00BC7" w:rsidTr="00D27D9C">
        <w:trPr>
          <w:trHeight w:val="517"/>
        </w:trPr>
        <w:tc>
          <w:tcPr>
            <w:tcW w:w="817" w:type="dxa"/>
            <w:shd w:val="clear" w:color="auto" w:fill="auto"/>
            <w:noWrap/>
          </w:tcPr>
          <w:p w:rsidR="00B90B7C" w:rsidRDefault="00B90B7C" w:rsidP="00D27D9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1.2.15</w:t>
            </w:r>
          </w:p>
        </w:tc>
        <w:tc>
          <w:tcPr>
            <w:tcW w:w="2126" w:type="dxa"/>
            <w:shd w:val="clear" w:color="auto" w:fill="auto"/>
            <w:noWrap/>
          </w:tcPr>
          <w:p w:rsidR="00B90B7C" w:rsidRPr="006E3BB5" w:rsidRDefault="00B90B7C" w:rsidP="00D27D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0F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"Бровари - Благоустрій" благоустрій міської територіальної громади</w:t>
            </w:r>
          </w:p>
        </w:tc>
        <w:tc>
          <w:tcPr>
            <w:tcW w:w="1311" w:type="dxa"/>
            <w:shd w:val="clear" w:color="auto" w:fill="auto"/>
            <w:noWrap/>
          </w:tcPr>
          <w:p w:rsidR="00B90B7C" w:rsidRDefault="00B90B7C" w:rsidP="00D27D9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161750,66</w:t>
            </w:r>
          </w:p>
        </w:tc>
        <w:tc>
          <w:tcPr>
            <w:tcW w:w="1134" w:type="dxa"/>
          </w:tcPr>
          <w:p w:rsidR="00B90B7C" w:rsidRDefault="00B90B7C" w:rsidP="00D27D9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3000,00</w:t>
            </w:r>
          </w:p>
        </w:tc>
        <w:tc>
          <w:tcPr>
            <w:tcW w:w="1276" w:type="dxa"/>
          </w:tcPr>
          <w:p w:rsidR="00B90B7C" w:rsidRDefault="00B90B7C" w:rsidP="00D27D9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164750,66</w:t>
            </w:r>
          </w:p>
        </w:tc>
        <w:tc>
          <w:tcPr>
            <w:tcW w:w="3083" w:type="dxa"/>
          </w:tcPr>
          <w:p w:rsidR="00B90B7C" w:rsidRPr="003E0F5D" w:rsidRDefault="00B90B7C" w:rsidP="00D27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0F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проведення поточного ремонту дорожнього покриття по бульвару Незалежності та по </w:t>
            </w:r>
            <w:proofErr w:type="spellStart"/>
            <w:r w:rsidRPr="003E0F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вул.Героїв</w:t>
            </w:r>
            <w:proofErr w:type="spellEnd"/>
            <w:r w:rsidRPr="003E0F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України</w:t>
            </w:r>
          </w:p>
        </w:tc>
      </w:tr>
      <w:bookmarkEnd w:id="7"/>
    </w:tbl>
    <w:p w:rsidR="009B7D79" w:rsidRDefault="009B7D79" w:rsidP="00083CC7">
      <w:pPr>
        <w:keepNext/>
        <w:suppressAutoHyphens/>
        <w:spacing w:after="0" w:line="240" w:lineRule="auto"/>
        <w:outlineLvl w:val="1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083CC7" w:rsidRDefault="00083CC7" w:rsidP="00083CC7">
      <w:pPr>
        <w:keepNext/>
        <w:suppressAutoHyphens/>
        <w:spacing w:after="0" w:line="240" w:lineRule="auto"/>
        <w:outlineLvl w:val="1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083CC7" w:rsidRPr="00E56120" w:rsidRDefault="00083CC7" w:rsidP="00083C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bookmarkStart w:id="8" w:name="_Hlk158369183"/>
      <w:r>
        <w:rPr>
          <w:rFonts w:ascii="Times New Roman" w:hAnsi="Times New Roman" w:cs="Times New Roman"/>
          <w:sz w:val="27"/>
          <w:szCs w:val="27"/>
          <w:lang w:val="uk-UA"/>
        </w:rPr>
        <w:t>Н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>ачальник управління</w:t>
      </w:r>
    </w:p>
    <w:p w:rsidR="00083CC7" w:rsidRPr="00E56120" w:rsidRDefault="00083CC7" w:rsidP="00083C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56120">
        <w:rPr>
          <w:rFonts w:ascii="Times New Roman" w:hAnsi="Times New Roman" w:cs="Times New Roman"/>
          <w:sz w:val="27"/>
          <w:szCs w:val="27"/>
          <w:lang w:val="uk-UA"/>
        </w:rPr>
        <w:t>будівництва, житлово</w:t>
      </w:r>
      <w:r>
        <w:rPr>
          <w:rFonts w:ascii="Times New Roman" w:hAnsi="Times New Roman" w:cs="Times New Roman"/>
          <w:sz w:val="27"/>
          <w:szCs w:val="27"/>
          <w:lang w:val="uk-UA"/>
        </w:rPr>
        <w:t>-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комунального господарства, </w:t>
      </w:r>
    </w:p>
    <w:p w:rsidR="00083CC7" w:rsidRPr="0064241B" w:rsidRDefault="00083CC7" w:rsidP="00083C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120">
        <w:rPr>
          <w:rFonts w:ascii="Times New Roman" w:hAnsi="Times New Roman" w:cs="Times New Roman"/>
          <w:sz w:val="27"/>
          <w:szCs w:val="27"/>
          <w:lang w:val="uk-UA"/>
        </w:rPr>
        <w:t>інфраструктури та транспорту</w:t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bookmarkStart w:id="9" w:name="_GoBack"/>
      <w:bookmarkEnd w:id="9"/>
      <w:r>
        <w:rPr>
          <w:rFonts w:ascii="Times New Roman" w:hAnsi="Times New Roman" w:cs="Times New Roman"/>
          <w:sz w:val="27"/>
          <w:szCs w:val="27"/>
          <w:lang w:val="uk-UA"/>
        </w:rPr>
        <w:t xml:space="preserve">      Світлана РЕШЕТОВА</w:t>
      </w:r>
    </w:p>
    <w:bookmarkEnd w:id="8"/>
    <w:p w:rsidR="00083CC7" w:rsidRPr="00244FF9" w:rsidRDefault="00083CC7" w:rsidP="00083CC7">
      <w:pPr>
        <w:keepNext/>
        <w:suppressAutoHyphens/>
        <w:spacing w:after="0" w:line="240" w:lineRule="auto"/>
        <w:outlineLvl w:val="1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083CC7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852B71"/>
    <w:multiLevelType w:val="hybridMultilevel"/>
    <w:tmpl w:val="8D2EBF94"/>
    <w:lvl w:ilvl="0" w:tplc="322650D2">
      <w:start w:val="4"/>
      <w:numFmt w:val="decimal"/>
      <w:lvlText w:val="%1."/>
      <w:lvlJc w:val="left"/>
      <w:pPr>
        <w:ind w:left="1068" w:hanging="360"/>
      </w:pPr>
      <w:rPr>
        <w:rFonts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2290" w:hanging="360"/>
      </w:pPr>
    </w:lvl>
    <w:lvl w:ilvl="2" w:tplc="0422001B" w:tentative="1">
      <w:start w:val="1"/>
      <w:numFmt w:val="lowerRoman"/>
      <w:lvlText w:val="%3."/>
      <w:lvlJc w:val="right"/>
      <w:pPr>
        <w:ind w:left="3010" w:hanging="180"/>
      </w:pPr>
    </w:lvl>
    <w:lvl w:ilvl="3" w:tplc="0422000F" w:tentative="1">
      <w:start w:val="1"/>
      <w:numFmt w:val="decimal"/>
      <w:lvlText w:val="%4."/>
      <w:lvlJc w:val="left"/>
      <w:pPr>
        <w:ind w:left="3730" w:hanging="360"/>
      </w:pPr>
    </w:lvl>
    <w:lvl w:ilvl="4" w:tplc="04220019" w:tentative="1">
      <w:start w:val="1"/>
      <w:numFmt w:val="lowerLetter"/>
      <w:lvlText w:val="%5."/>
      <w:lvlJc w:val="left"/>
      <w:pPr>
        <w:ind w:left="4450" w:hanging="360"/>
      </w:pPr>
    </w:lvl>
    <w:lvl w:ilvl="5" w:tplc="0422001B" w:tentative="1">
      <w:start w:val="1"/>
      <w:numFmt w:val="lowerRoman"/>
      <w:lvlText w:val="%6."/>
      <w:lvlJc w:val="right"/>
      <w:pPr>
        <w:ind w:left="5170" w:hanging="180"/>
      </w:pPr>
    </w:lvl>
    <w:lvl w:ilvl="6" w:tplc="0422000F" w:tentative="1">
      <w:start w:val="1"/>
      <w:numFmt w:val="decimal"/>
      <w:lvlText w:val="%7."/>
      <w:lvlJc w:val="left"/>
      <w:pPr>
        <w:ind w:left="5890" w:hanging="360"/>
      </w:pPr>
    </w:lvl>
    <w:lvl w:ilvl="7" w:tplc="04220019" w:tentative="1">
      <w:start w:val="1"/>
      <w:numFmt w:val="lowerLetter"/>
      <w:lvlText w:val="%8."/>
      <w:lvlJc w:val="left"/>
      <w:pPr>
        <w:ind w:left="6610" w:hanging="360"/>
      </w:pPr>
    </w:lvl>
    <w:lvl w:ilvl="8" w:tplc="0422001B" w:tentative="1">
      <w:start w:val="1"/>
      <w:numFmt w:val="lowerRoman"/>
      <w:lvlText w:val="%9."/>
      <w:lvlJc w:val="right"/>
      <w:pPr>
        <w:ind w:left="73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83CC7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8F35A5"/>
    <w:rsid w:val="009B7D79"/>
    <w:rsid w:val="009C0EEF"/>
    <w:rsid w:val="00A218AE"/>
    <w:rsid w:val="00A7320F"/>
    <w:rsid w:val="00B35D4C"/>
    <w:rsid w:val="00B46089"/>
    <w:rsid w:val="00B80167"/>
    <w:rsid w:val="00B90B7C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20CF6"/>
  <w15:docId w15:val="{A3BF9F26-261E-4207-817B-B177A561B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qFormat/>
    <w:rsid w:val="00B90B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2344</Words>
  <Characters>1337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18</cp:revision>
  <dcterms:created xsi:type="dcterms:W3CDTF">2021-03-03T14:03:00Z</dcterms:created>
  <dcterms:modified xsi:type="dcterms:W3CDTF">2024-06-06T06:24:00Z</dcterms:modified>
</cp:coreProperties>
</file>