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10080"/>
        </w:tabs>
        <w:spacing w:beforeAutospacing="0" w:afterAutospacing="0" w:line="280" w:lineRule="exact"/>
        <w:ind w:firstLine="9923"/>
        <w:rPr>
          <w:rFonts w:ascii="Times New Roman" w:hAnsi="Times New Roman"/>
          <w:szCs w:val="28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Cs w:val="22"/>
          <w:cs w:val="0"/>
          <w:lang w:val="uk-UA"/>
        </w:rPr>
        <w:tab/>
        <w:tab/>
        <w:tab/>
      </w:r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>
      <w:pPr>
        <w:tabs>
          <w:tab w:val="left" w:pos="10080"/>
        </w:tabs>
        <w:spacing w:beforeAutospacing="0" w:afterAutospacing="0" w:line="280" w:lineRule="exact"/>
        <w:ind w:firstLine="992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Cs w:val="22"/>
          <w:cs w:val="0"/>
        </w:rPr>
        <w:t xml:space="preserve">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Cs w:val="22"/>
          <w:cs w:val="0"/>
        </w:rPr>
        <w:t>ЗАТВЕРДЖУЮ</w:t>
      </w:r>
    </w:p>
    <w:p>
      <w:pPr>
        <w:tabs>
          <w:tab w:val="left" w:pos="10080"/>
        </w:tabs>
        <w:spacing w:beforeAutospacing="0" w:afterAutospacing="0" w:line="280" w:lineRule="exact"/>
        <w:ind w:left="10080" w:hanging="18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permEnd w:id="0"/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11.04.2024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46-ОД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>
      <w:pPr>
        <w:tabs>
          <w:tab w:val="left" w:pos="10080"/>
        </w:tabs>
        <w:spacing w:beforeAutospacing="0" w:afterAutospacing="0"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>
      <w:pPr>
        <w:spacing w:beforeAutospacing="0" w:afterAutospacing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>
      <w:pPr>
        <w:spacing w:beforeAutospacing="0" w:after="0" w:afterAutospacing="0" w:line="240" w:lineRule="auto"/>
        <w:ind w:firstLine="142"/>
        <w:jc w:val="center"/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permStart w:id="1" w:edGrp="everyone"/>
      <w:r>
        <w:rPr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32"/>
          <w:szCs w:val="22"/>
          <w:cs w:val="0"/>
          <w:lang w:val="uk-UA"/>
        </w:rPr>
        <w:t xml:space="preserve">    </w:t>
      </w:r>
      <w:r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План </w:t>
      </w:r>
    </w:p>
    <w:p>
      <w:pPr>
        <w:spacing w:beforeAutospacing="0" w:after="0" w:afterAutospacing="0" w:line="240" w:lineRule="auto"/>
        <w:ind w:firstLine="142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заходів з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відзнач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ення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Всесвітнього дня охорони праці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на території Броварської міської територіальної громади</w:t>
      </w:r>
    </w:p>
    <w:p>
      <w:pPr>
        <w:spacing w:beforeAutospacing="0" w:after="0" w:afterAutospacing="0" w:line="240" w:lineRule="auto"/>
        <w:ind w:firstLine="142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під девізом </w:t>
      </w: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«</w:t>
      </w: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shd w:val="clear" w:color="auto" w:fill="auto"/>
          <w:cs w:val="0"/>
          <w:lang w:val="x-none"/>
        </w:rPr>
        <w:t>Забезпечуємо безпечну та здорову працю вже зараз в умовах зміни клімату</w:t>
      </w: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» </w:t>
      </w:r>
    </w:p>
    <w:p>
      <w:pPr>
        <w:spacing w:beforeAutospacing="0" w:afterAutospacing="0" w:line="240" w:lineRule="auto"/>
        <w:rPr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tbl>
      <w:tblPr>
        <w:tblW w:w="0" w:type="auto"/>
        <w:tblInd w:w="0" w:type="dxa"/>
        <w:shd w:val="clear" w:color="auto" w:fill="FFFFFF"/>
        <w:tblLook w:val="0000"/>
      </w:tblPr>
      <w:tblGrid>
        <w:gridCol w:w="1118"/>
        <w:gridCol w:w="6149"/>
        <w:gridCol w:w="2891"/>
        <w:gridCol w:w="4980"/>
      </w:tblGrid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Найменування   заходів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Термін виконання</w:t>
            </w:r>
          </w:p>
        </w:tc>
        <w:tc>
          <w:tcPr>
            <w:tcW w:w="51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Виконавець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1.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Доведення до   підприємств, установ та організацій Плану заходів із відзначення у 2024 році Всесвітнього   дня охорони праці в Україні під девізом </w:t>
            </w:r>
            <w:r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«</w:t>
            </w: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shd w:val="clear" w:color="auto" w:fill="FFFFFF"/>
                <w:cs w:val="0"/>
                <w:lang w:val="uk-UA"/>
              </w:rPr>
              <w:t>Забезпечуємо   безпечну та здорову працю вже зараз в умовах зміни клімату</w:t>
            </w:r>
            <w:r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»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(далі – План заходів)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квітень 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Відділ з питань соціально-трудових відносин та охорони праці   Управління інспекції та контролю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shd w:val="clear" w:color="auto" w:fill="FFFFFF"/>
                <w:cs w:val="0"/>
                <w:lang w:val="uk-UA"/>
              </w:rPr>
              <w:t>Броварської міської ради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Броварського району Київської   області (далі – відділ соціально-трудових відносин)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2.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Розміщення на   сайті Броварської міської ради Броварського району Київської області анонсів   про підготовку до відзначення у 2024 році Всесвітнього дня охорони праці на території   Броварської міської територіальної громади, інформаційних матеріалів про хід   акції та її результатів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квітень 2024року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відділ соціально-трудових   відносин та охорони праці,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відділ   інформаційної політики управління забезпечення діяльності виконавчого   комітету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3.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Організація та проведення на   виробничих рівнях заходів з відзначення у 2024 році  Дня охорони праці в   Україні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квітень 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керівники   підприємств,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профспілкові   організації на території Броварської міської територіальної громади,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Броварське   відділення Пенсійного Фонду України у Київській області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4.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Розробка та   реалізація спеціальних інформаційних заходів для покращення обізнаності та   стимулювання діалогу щодо важливості створення стійких систем безпеки   здоров’я працівників на роботі (далі - БЗР) та інвестування коштів у них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квітень-червень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Броварське   відділення управління Пенсійного Фонду України у Київській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5.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Залучення зацікавлених громадських організацій, професійних спілок та інших об’єднань до процесу формування політики   щодо покращення БЗР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квітень - грудень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Професійні   спілки  та громадські організації Броварської   міської територіальної громади Броварського району Київської області,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Броварське   відділення Пенсійного Фонду  України у   Київській області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6.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Проведення   відкритих уроків (тренінгів, семінарів,   конкурсів) «28 квітня   – День охорони праці» для здобувачів освіти закладів освіти усіх рівнів для   формування у дітей розуміння сутності безпечної праці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квітень - червень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управління   освіти і науки Броварської міської ради Броварського району Київської   області,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керівники   навчальних закладів Броварської міської територіальної громади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7.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Проведення   конкурсів (малюнку, літературних творів, віршів, тощо...)  до Всесвітнього дня охорони праці  з врахуванням  девізу 2024 року для здобувачів освіти   закладів освіти усіх рівнів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квітень - червень  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управління   освіти і науки Броварської міської ради Броварського району Київської   області,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керівники   навчальних закладів Броварської міської територіальної громади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8.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Організація та проведення на   підприємствах конкурсів на безпечне робоче місце, виробничу дільницю   (бригаду)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квітень - червень 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керівники   підприємств та первинних профспілкових організацій на території Броварської   міської територіальної громади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9.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Проведення   консультацій та надання роз’яснень роботодавцям та працівникам, іншим   зацікавленим особам, щодо важливості застосування нових форм організації безпечної   роботи, зокрема – переходу на дистанційну та віддалену роботу, а також - щодо   виникнення потенційних ризиків щодо БЗР, зокрема психосоціальних ризиків та ризиків насильства, не   допускаючи порушень трудового законодавства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.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квітень – грудень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відділ   соціально-трудових відносин та охорони праці,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Броварське   районне відділення Пенсійного України у Київській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10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Проведення інформаційно-роз’яснювальної роботи з   суб’єктами господарювання щодо безпеки праці на робочих місцях неповнолітніх   у різних сферах, в тому числі: - торгівлі, сфери послуг (служба доставки,   автомийки, станції технічного обслуговування тощо);  будівництва та виробництва будматеріалів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квітень - грудень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відділ з питань соціально-трудових відносин ;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служба у   справах дітей;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11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Проведення постійної роботи із   залучення громадських   організацій та профспілок до процесу   формування стійких систем безпеки та здоров’я працівників на роботі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квітень - грудень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керівники   підприємств,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первинні   профспілкові організації Броварської міської територіальної громади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12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Роз’яснення   керівникам підприємств, установ та організацій (незалежно від форми   власності)  положень статті  19 Закону України «Про охорону праці» щодо   фінансування втілення стійких систем БЗР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квітень - грудень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відділ з питань соціально-трудових відносин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13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Забезпечення працівникам вільного доступу до належних   засобів правового захисту і справедливих та дієвих механізмів повідомлення та   урегулювання спорів,  у разі настання   випадків порушення законодавства з питань охорони праці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квітень - грудень 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керівники   підприємств,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первинні   профспілкові організації Броварської міської територіальної громади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14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Ушанування   пам’яті загиблих на виробництві: проведення панахид, поминальних заходів,   надання родичам загиблих на виробництві допомоги в облаштуванні могил,   надання матеріальної допомоги сім’ям загиблих та інвалідам праці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spacing w:val="0"/>
                <w:w w:val="100"/>
                <w:position w:val="0"/>
                <w:sz w:val="32"/>
                <w:szCs w:val="22"/>
                <w:cs w:val="0"/>
                <w:lang w:val="uk-UA"/>
              </w:rPr>
              <w:t xml:space="preserve">   </w:t>
            </w: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квітень 2024 року</w:t>
            </w:r>
          </w:p>
        </w:tc>
        <w:tc>
          <w:tcPr>
            <w:tcW w:w="510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керівники   підприємств,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громадські   організації, 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" w:hAnsi="Times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первинні   профспілкові організації Броварської міської територіальної громади</w:t>
            </w:r>
          </w:p>
        </w:tc>
      </w:tr>
    </w:tbl>
    <w:p>
      <w:pPr>
        <w:spacing w:beforeAutospacing="0" w:afterAutospacing="0" w:line="240" w:lineRule="auto"/>
        <w:rPr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32"/>
          <w:szCs w:val="22"/>
          <w:cs w:val="0"/>
          <w:lang w:val="uk-UA"/>
        </w:rPr>
      </w:pPr>
      <w:r>
        <w:rPr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32"/>
          <w:szCs w:val="22"/>
          <w:cs w:val="0"/>
          <w:lang w:val="uk-UA"/>
        </w:rPr>
        <w:t xml:space="preserve">  </w:t>
      </w:r>
    </w:p>
    <w:p>
      <w:pPr>
        <w:spacing w:beforeAutospacing="0" w:afterAutospacing="0" w:line="240" w:lineRule="auto"/>
        <w:rPr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32"/>
          <w:szCs w:val="22"/>
          <w:cs w:val="0"/>
          <w:lang w:val="uk-UA"/>
        </w:rPr>
      </w:pPr>
      <w:r>
        <w:rPr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32"/>
          <w:szCs w:val="22"/>
          <w:cs w:val="0"/>
          <w:lang w:val="uk-UA"/>
        </w:rPr>
        <w:t xml:space="preserve">  </w:t>
      </w:r>
    </w:p>
    <w:p>
      <w:pPr>
        <w:spacing w:beforeAutospacing="0" w:afterAutospacing="0" w:line="240" w:lineRule="auto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Cs w:val="22"/>
          <w:cs w:val="0"/>
          <w:lang w:val="uk-UA"/>
        </w:rPr>
        <w:t>Міс</w:t>
      </w:r>
      <w:r>
        <w:rPr>
          <w:rFonts w:ascii="Times New Roman" w:hAnsi="Times New Roman"/>
          <w:szCs w:val="28"/>
          <w:lang w:val="uk-UA"/>
        </w:rPr>
        <w:t xml:space="preserve">ький голова                  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Cs w:val="22"/>
          <w:cs w:val="0"/>
          <w:lang w:val="uk-UA"/>
        </w:rPr>
        <w:tab/>
        <w:tab/>
        <w:tab/>
        <w:tab/>
      </w:r>
      <w:r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Cs w:val="22"/>
          <w:cs w:val="0"/>
          <w:lang w:val="uk-UA"/>
        </w:rPr>
        <w:tab/>
        <w:tab/>
      </w:r>
      <w:r>
        <w:rPr>
          <w:rFonts w:ascii="Times New Roman" w:hAnsi="Times New Roman"/>
          <w:szCs w:val="28"/>
          <w:lang w:val="uk-UA"/>
        </w:rPr>
        <w:t xml:space="preserve"> Ігор САПОЖКО</w:t>
      </w:r>
      <w:permEnd w:id="1"/>
    </w:p>
    <w:sectPr>
      <w:headerReference w:type="default" r:id="rId4"/>
      <w:footerReference w:type="default" r:id="rId5"/>
      <w:type w:val="nextPage"/>
      <w:pgSz w:w="16838" w:h="11906" w:orient="landscape" w:code="0"/>
      <w:pgMar w:top="1417" w:right="850" w:bottom="850" w:left="850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Autospacing="0" w:after="0" w:afterAutospacing="0" w:line="240" w:lineRule="auto"/>
    </w:pPr>
    <w:rPr>
      <w:rFonts w:ascii="Antiqua" w:hAnsi="Antiqua"/>
      <w:sz w:val="28"/>
      <w:szCs w:val="20"/>
      <w:lang w:val="hr-HR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  <w:rPr>
      <w:rFonts w:ascii="Times New Roman" w:hAnsi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Pr>
      <w:rFonts w:ascii="Times New Roman" w:hAnsi="Times New Roman"/>
      <w:sz w:val="24"/>
      <w:szCs w:val="24"/>
      <w:lang w:eastAsia="ru-RU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ASKOD</cp:lastModifiedBy>
  <cp:revision>49</cp:revision>
  <dcterms:created xsi:type="dcterms:W3CDTF">2022-02-03T09:43:00Z</dcterms:created>
  <dcterms:modified xsi:type="dcterms:W3CDTF">2024-04-10T10:41:14Z</dcterms:modified>
</cp:coreProperties>
</file>