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06.12.2023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181-ОД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Склад робочої групи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робочої групи: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Юрій ЖИМАЙЛОВ – </w:t>
      </w:r>
      <w:r>
        <w:rPr>
          <w:rFonts w:ascii="Times New Roman" w:hAnsi="Times New Roman"/>
          <w:color w:val="000000"/>
          <w:sz w:val="28"/>
          <w:szCs w:val="28"/>
        </w:rPr>
        <w:t>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Віктор КАСЯНЕНКО – </w:t>
      </w:r>
      <w:r>
        <w:rPr>
          <w:rFonts w:ascii="Times New Roman" w:hAnsi="Times New Roman"/>
          <w:sz w:val="28"/>
          <w:lang w:val="uk-UA"/>
        </w:rPr>
        <w:t>директор комунального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підприємства Броварської міської ради Броварського району Київської області «Житлово-експлуатаційна контора – 1»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Ольга НЕТЕСА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Броварського районного управління Головного управління Держпродспоживслужби в Київській області (за згодою);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Броварської районної філії ДУ «Київський обласний центр контролю та профілактики хвороб Міністерства охорони здоров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України» (за згодою);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Броварського районного управління Головного управління ДСНС України в Київській області (за згодою).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2023-12-05T11:38:42Z</dcterms:modified>
</cp:coreProperties>
</file>