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 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24.07.2023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113-ОД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</w:pPr>
      <w:permStart w:id="1" w:edGrp="everyone"/>
      <w:r>
        <w:rPr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  <w:t>СКЛАД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робочої групи для опрацювання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документів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які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подаються на комісію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К</w:t>
      </w: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иївської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обласної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державної адміністрації з визначення даних  про заробітну плату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працівників за роботу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в зоні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відчудження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1986-1990 </w:t>
      </w: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роках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Лариса ВИНОГРАДОВА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- </w:t>
      </w:r>
      <w:r>
        <w:rPr>
          <w:rFonts w:ascii="Times New Roman" w:hAnsi="Times New Roman"/>
          <w:sz w:val="28"/>
          <w:szCs w:val="28"/>
          <w:lang w:val="uk-UA"/>
        </w:rPr>
        <w:t>заступник міського голови з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питань діяльності виконавчих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органів ради,  голова робочої групи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Алла ПЕТРЕНКО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- начальник управління 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соціального захисту населення, </w:t>
      </w:r>
    </w:p>
    <w:p>
      <w:pPr>
        <w:tabs>
          <w:tab w:val="left" w:pos="3969"/>
          <w:tab w:val="left" w:pos="4536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заступник голови робочої групи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>
      <w:pPr>
        <w:tabs>
          <w:tab w:val="left" w:pos="3984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Катерина СИРАЙ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- начальник відділу у справах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захисту населення від наслідків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аварїї   на    ЧАЕС та оздоровлення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пільгових категорій громадян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управління соціального захисту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населення, секретар робочої групи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комісії: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>
      <w:pPr>
        <w:tabs>
          <w:tab w:val="left" w:pos="3699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Аліна МОКОСІЙ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-головний спеціаліст відділу нормативного                                          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забезпечення та аналізу юридичного    </w:t>
      </w:r>
    </w:p>
    <w:p>
      <w:pPr>
        <w:tabs>
          <w:tab w:val="left" w:pos="3714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tabs>
          <w:tab w:val="left" w:pos="3699"/>
          <w:tab w:val="left" w:pos="4253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Ірина СИТЮК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-головний спеціаліст відділу управління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перерахунків пенсій №2 управління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пенсійного забезпечення, надання 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страхових виплат, соціальних послуг,    </w:t>
      </w:r>
    </w:p>
    <w:p>
      <w:pPr>
        <w:tabs>
          <w:tab w:val="left" w:pos="4253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житлових субсидій та пільг Головного    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управління Пенсійного фонду України                                      </w:t>
      </w:r>
    </w:p>
    <w:p>
      <w:pPr>
        <w:tabs>
          <w:tab w:val="left" w:pos="3684"/>
          <w:tab w:val="left" w:pos="3714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у Київській області   (за згодою)     </w:t>
      </w:r>
    </w:p>
    <w:p>
      <w:pPr>
        <w:tabs>
          <w:tab w:val="left" w:pos="4253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</w:p>
    <w:p>
      <w:pPr>
        <w:tabs>
          <w:tab w:val="left" w:pos="3684"/>
          <w:tab w:val="left" w:pos="3699"/>
          <w:tab w:val="left" w:pos="4253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Лідія САПАК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-начальник відділу обліково- економічної</w:t>
      </w:r>
    </w:p>
    <w:p>
      <w:pPr>
        <w:tabs>
          <w:tab w:val="left" w:pos="3714"/>
          <w:tab w:val="left" w:pos="3729"/>
          <w:tab w:val="left" w:pos="4253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роботи –головний бухгалтер управління</w:t>
      </w:r>
    </w:p>
    <w:p>
      <w:pPr>
        <w:tabs>
          <w:tab w:val="left" w:pos="3714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соціального захисту населення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tabs>
          <w:tab w:val="left" w:pos="3699"/>
          <w:tab w:val="left" w:pos="3744"/>
          <w:tab w:val="left" w:pos="4253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Світлана НІКОЛАЙЧУК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-начальник архівного відділу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tabs>
          <w:tab w:val="left" w:pos="4253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Людмила БУРЛАЧЕНКО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-головний спеціаліст відділу соціальних</w:t>
      </w:r>
    </w:p>
    <w:p>
      <w:pPr>
        <w:tabs>
          <w:tab w:val="left" w:pos="3669"/>
          <w:tab w:val="left" w:pos="3714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гарантій  управління      соціального</w:t>
      </w:r>
    </w:p>
    <w:p>
      <w:pPr>
        <w:tabs>
          <w:tab w:val="left" w:pos="3684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захисту населення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</w:t>
      </w:r>
    </w:p>
    <w:p>
      <w:pPr>
        <w:tabs>
          <w:tab w:val="left" w:pos="4253"/>
          <w:tab w:val="left" w:pos="4500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Дмитро ЯНУШКЕВИЧ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-голова Броварської міськрайонної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  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організації   всеукраїнської громадської  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організації інвалідів  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«Союз Чорнобиль України»(за згодою)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BalloonText">
    <w:name w:val="Balloon Text"/>
    <w:basedOn w:val="Normal"/>
    <w:link w:val="a1"/>
    <w:semiHidden/>
    <w:pPr>
      <w:spacing w:beforeAutospacing="0" w:after="0" w:afterAutospacing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23</cp:revision>
  <dcterms:created xsi:type="dcterms:W3CDTF">2021-12-31T08:10:00Z</dcterms:created>
  <dcterms:modified xsi:type="dcterms:W3CDTF">2023-07-21T11:25:54Z</dcterms:modified>
</cp:coreProperties>
</file>