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784324"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784324" w:rsidRPr="005313DC" w:rsidRDefault="00784324" w:rsidP="00784324">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74644B">
        <w:rPr>
          <w:rFonts w:ascii="Times New Roman" w:hAnsi="Times New Roman"/>
          <w:b/>
          <w:sz w:val="28"/>
          <w:szCs w:val="28"/>
          <w:lang w:val="uk-UA"/>
        </w:rPr>
        <w:t>«</w:t>
      </w:r>
      <w:r w:rsidRPr="005313DC">
        <w:rPr>
          <w:rFonts w:ascii="Times New Roman" w:eastAsia="Calibri" w:hAnsi="Times New Roman" w:cs="Times New Roman"/>
          <w:b/>
          <w:bCs/>
          <w:color w:val="000000"/>
          <w:sz w:val="28"/>
          <w:szCs w:val="28"/>
          <w:lang w:val="uk-UA" w:eastAsia="en-US"/>
        </w:rPr>
        <w:t xml:space="preserve">«Про внесення змін до </w:t>
      </w:r>
      <w:r w:rsidRPr="005313DC">
        <w:rPr>
          <w:rFonts w:ascii="Times New Roman" w:eastAsia="Calibri" w:hAnsi="Times New Roman" w:cs="Times New Roman"/>
          <w:b/>
          <w:color w:val="000000"/>
          <w:sz w:val="28"/>
          <w:szCs w:val="28"/>
          <w:lang w:val="uk-UA" w:eastAsia="en-US"/>
        </w:rPr>
        <w:t xml:space="preserve">Програми підтримки </w:t>
      </w:r>
    </w:p>
    <w:p w:rsidR="00784324" w:rsidRPr="005313DC" w:rsidRDefault="00784324" w:rsidP="00784324">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rsidR="00784324" w:rsidRPr="005313DC" w:rsidRDefault="00784324" w:rsidP="00784324">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загиблих на 2024- 2026 роки»</w:t>
      </w:r>
    </w:p>
    <w:p w:rsidR="00361CD8" w:rsidRDefault="00361CD8" w:rsidP="009B7D79">
      <w:pPr>
        <w:spacing w:after="0"/>
        <w:ind w:right="-284"/>
        <w:jc w:val="center"/>
        <w:rPr>
          <w:rFonts w:ascii="Times New Roman" w:hAnsi="Times New Roman"/>
          <w:b/>
          <w:sz w:val="28"/>
          <w:szCs w:val="28"/>
          <w:lang w:val="uk-UA"/>
        </w:rPr>
      </w:pPr>
    </w:p>
    <w:p w:rsidR="0074644B" w:rsidRPr="0074644B" w:rsidRDefault="0074644B" w:rsidP="009B7D79">
      <w:pPr>
        <w:spacing w:after="0"/>
        <w:ind w:right="-284"/>
        <w:jc w:val="center"/>
        <w:rPr>
          <w:rFonts w:ascii="Times New Roman" w:hAnsi="Times New Roman"/>
          <w:b/>
          <w:sz w:val="28"/>
          <w:szCs w:val="28"/>
          <w:lang w:val="uk-UA"/>
        </w:rPr>
      </w:pPr>
    </w:p>
    <w:p w:rsidR="00784324" w:rsidRPr="00784324" w:rsidRDefault="00784324" w:rsidP="00784324">
      <w:pPr>
        <w:suppressAutoHyphens/>
        <w:spacing w:after="0" w:line="240" w:lineRule="auto"/>
        <w:jc w:val="both"/>
        <w:rPr>
          <w:rFonts w:ascii="Times New Roman" w:hAnsi="Times New Roman"/>
          <w:bCs/>
          <w:sz w:val="28"/>
          <w:szCs w:val="28"/>
          <w:lang w:val="uk-UA"/>
        </w:rPr>
      </w:pPr>
      <w:r w:rsidRPr="00784324">
        <w:rPr>
          <w:rFonts w:ascii="Times New Roman" w:hAnsi="Times New Roman"/>
          <w:bCs/>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b/>
          <w:sz w:val="28"/>
          <w:szCs w:val="28"/>
          <w:lang w:val="uk-UA"/>
        </w:rPr>
        <w:t>1. Обґрунтування необхідності прийняття рішення.</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З метою матеріальної та соціальної підтримки Захисників і Захисниць України, їх сімей, родин загиблих героїв, підтримки у вирішенні ряду питань соціально –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сумі </w:t>
      </w:r>
      <w:r w:rsidRPr="00784324">
        <w:rPr>
          <w:rFonts w:ascii="Times New Roman" w:hAnsi="Times New Roman"/>
          <w:b/>
          <w:sz w:val="28"/>
          <w:szCs w:val="28"/>
          <w:lang w:val="uk-UA"/>
        </w:rPr>
        <w:t>1000,0 тис. грн</w:t>
      </w:r>
      <w:r w:rsidRPr="00784324">
        <w:rPr>
          <w:rFonts w:ascii="Times New Roman" w:hAnsi="Times New Roman"/>
          <w:sz w:val="28"/>
          <w:szCs w:val="28"/>
          <w:lang w:val="uk-UA"/>
        </w:rPr>
        <w:t>., у тому числі:</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b/>
          <w:bCs/>
          <w:sz w:val="28"/>
          <w:szCs w:val="28"/>
          <w:lang w:val="uk-UA"/>
        </w:rPr>
      </w:pPr>
      <w:r w:rsidRPr="00784324">
        <w:rPr>
          <w:rFonts w:ascii="Times New Roman" w:hAnsi="Times New Roman"/>
          <w:sz w:val="28"/>
          <w:szCs w:val="28"/>
          <w:lang w:val="uk-UA"/>
        </w:rPr>
        <w:t xml:space="preserve">-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у розмірі 50,0 тис. грн.» - збільшити обсяг фінансування на </w:t>
      </w:r>
      <w:r w:rsidRPr="00784324">
        <w:rPr>
          <w:rFonts w:ascii="Times New Roman" w:hAnsi="Times New Roman"/>
          <w:b/>
          <w:sz w:val="28"/>
          <w:szCs w:val="28"/>
          <w:lang w:val="uk-UA"/>
        </w:rPr>
        <w:t>200,0</w:t>
      </w:r>
      <w:r w:rsidRPr="00784324">
        <w:rPr>
          <w:rFonts w:ascii="Times New Roman" w:hAnsi="Times New Roman"/>
          <w:sz w:val="28"/>
          <w:szCs w:val="28"/>
          <w:lang w:val="uk-UA"/>
        </w:rPr>
        <w:t xml:space="preserve"> </w:t>
      </w:r>
      <w:r w:rsidRPr="00784324">
        <w:rPr>
          <w:rFonts w:ascii="Times New Roman" w:hAnsi="Times New Roman"/>
          <w:b/>
          <w:bCs/>
          <w:sz w:val="28"/>
          <w:szCs w:val="28"/>
          <w:lang w:val="uk-UA"/>
        </w:rPr>
        <w:t>тис. грн.</w:t>
      </w:r>
      <w:r w:rsidRPr="00784324">
        <w:rPr>
          <w:rFonts w:ascii="Times New Roman" w:hAnsi="Times New Roman"/>
          <w:sz w:val="28"/>
          <w:szCs w:val="28"/>
          <w:lang w:val="uk-UA"/>
        </w:rPr>
        <w:t>;</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збільшити обсяг фінансування на </w:t>
      </w:r>
      <w:r w:rsidRPr="00784324">
        <w:rPr>
          <w:rFonts w:ascii="Times New Roman" w:hAnsi="Times New Roman"/>
          <w:b/>
          <w:bCs/>
          <w:sz w:val="28"/>
          <w:szCs w:val="28"/>
          <w:lang w:val="uk-UA"/>
        </w:rPr>
        <w:t>600,0 тис. грн.</w:t>
      </w:r>
      <w:r w:rsidRPr="00784324">
        <w:rPr>
          <w:rFonts w:ascii="Times New Roman" w:hAnsi="Times New Roman"/>
          <w:sz w:val="28"/>
          <w:szCs w:val="28"/>
          <w:lang w:val="uk-UA"/>
        </w:rPr>
        <w:t>;</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b/>
          <w:bCs/>
          <w:sz w:val="28"/>
          <w:szCs w:val="28"/>
          <w:lang w:val="uk-UA"/>
        </w:rPr>
      </w:pPr>
      <w:r w:rsidRPr="00784324">
        <w:rPr>
          <w:rFonts w:ascii="Times New Roman" w:hAnsi="Times New Roman"/>
          <w:sz w:val="28"/>
          <w:szCs w:val="28"/>
          <w:lang w:val="uk-UA"/>
        </w:rPr>
        <w:t xml:space="preserve">-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 - збільшити обсяг фінансування на </w:t>
      </w:r>
      <w:r w:rsidRPr="00784324">
        <w:rPr>
          <w:rFonts w:ascii="Times New Roman" w:hAnsi="Times New Roman"/>
          <w:b/>
          <w:bCs/>
          <w:sz w:val="28"/>
          <w:szCs w:val="28"/>
          <w:lang w:val="uk-UA"/>
        </w:rPr>
        <w:t>200,0 тис. грн.</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Згідно службової записки Служби у справах дітей Броварської міської  ради Броварського району Київської області пропонується зменшити обсяги фінансування заходу: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 на </w:t>
      </w:r>
      <w:r w:rsidRPr="00784324">
        <w:rPr>
          <w:rFonts w:ascii="Times New Roman" w:hAnsi="Times New Roman"/>
          <w:b/>
          <w:sz w:val="28"/>
          <w:szCs w:val="28"/>
          <w:lang w:val="uk-UA"/>
        </w:rPr>
        <w:t xml:space="preserve">510,0 </w:t>
      </w:r>
      <w:proofErr w:type="spellStart"/>
      <w:r w:rsidRPr="00784324">
        <w:rPr>
          <w:rFonts w:ascii="Times New Roman" w:hAnsi="Times New Roman"/>
          <w:b/>
          <w:sz w:val="28"/>
          <w:szCs w:val="28"/>
          <w:lang w:val="uk-UA"/>
        </w:rPr>
        <w:t>тис.грн</w:t>
      </w:r>
      <w:proofErr w:type="spellEnd"/>
      <w:r w:rsidRPr="00784324">
        <w:rPr>
          <w:rFonts w:ascii="Times New Roman" w:hAnsi="Times New Roman"/>
          <w:b/>
          <w:sz w:val="28"/>
          <w:szCs w:val="28"/>
          <w:lang w:val="uk-UA"/>
        </w:rPr>
        <w:t xml:space="preserve">., </w:t>
      </w:r>
      <w:r w:rsidRPr="00784324">
        <w:rPr>
          <w:rFonts w:ascii="Times New Roman" w:hAnsi="Times New Roman"/>
          <w:sz w:val="28"/>
          <w:szCs w:val="28"/>
          <w:lang w:val="uk-UA"/>
        </w:rPr>
        <w:t xml:space="preserve">з подальшим перерозподілом коштів на Програму відпочинку та оздоровлення дітей на 2022-2026 роки, затвердженою </w:t>
      </w:r>
      <w:r w:rsidRPr="00784324">
        <w:rPr>
          <w:rFonts w:ascii="Times New Roman" w:hAnsi="Times New Roman"/>
          <w:sz w:val="28"/>
          <w:szCs w:val="28"/>
          <w:lang w:val="uk-UA"/>
        </w:rPr>
        <w:lastRenderedPageBreak/>
        <w:t>рішенням  Броварської міської ради Броварського району Київської області від 23.12.2021 № 601-19-08.</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b/>
          <w:sz w:val="28"/>
          <w:szCs w:val="28"/>
          <w:lang w:val="uk-UA"/>
        </w:rPr>
        <w:t>2. Мета і шляхи її досягнення.</w:t>
      </w:r>
    </w:p>
    <w:p w:rsidR="00784324" w:rsidRPr="00784324" w:rsidRDefault="00784324" w:rsidP="00784324">
      <w:pPr>
        <w:suppressAutoHyphens/>
        <w:spacing w:after="0" w:line="240" w:lineRule="auto"/>
        <w:jc w:val="both"/>
        <w:rPr>
          <w:rFonts w:ascii="Times New Roman" w:hAnsi="Times New Roman"/>
          <w:b/>
          <w:bCs/>
          <w:sz w:val="28"/>
          <w:szCs w:val="28"/>
          <w:lang w:val="x-none"/>
        </w:rPr>
      </w:pPr>
      <w:r w:rsidRPr="00784324">
        <w:rPr>
          <w:rFonts w:ascii="Times New Roman" w:hAnsi="Times New Roman"/>
          <w:bCs/>
          <w:sz w:val="28"/>
          <w:szCs w:val="28"/>
          <w:lang w:val="x-none"/>
        </w:rPr>
        <w:t xml:space="preserve">Метою здійснення заходів Програми є фінансова підтримка </w:t>
      </w:r>
      <w:r w:rsidRPr="00784324">
        <w:rPr>
          <w:rFonts w:ascii="Times New Roman" w:hAnsi="Times New Roman"/>
          <w:bCs/>
          <w:sz w:val="28"/>
          <w:szCs w:val="28"/>
          <w:lang w:val="uk-UA"/>
        </w:rPr>
        <w:t xml:space="preserve">Захисників і Захисниць України, які </w:t>
      </w:r>
      <w:r w:rsidRPr="00784324">
        <w:rPr>
          <w:rFonts w:ascii="Times New Roman" w:hAnsi="Times New Roman"/>
          <w:sz w:val="28"/>
          <w:szCs w:val="28"/>
          <w:lang w:val="x-none"/>
        </w:rPr>
        <w:t>отримали поранення при виконанні заходів по забезпеченню відсічі збройної агресії російської федерації</w:t>
      </w:r>
      <w:r w:rsidRPr="00784324">
        <w:rPr>
          <w:rFonts w:ascii="Times New Roman" w:hAnsi="Times New Roman"/>
          <w:sz w:val="28"/>
          <w:szCs w:val="28"/>
          <w:lang w:val="uk-UA"/>
        </w:rPr>
        <w:t xml:space="preserve">; </w:t>
      </w:r>
      <w:r w:rsidRPr="00784324">
        <w:rPr>
          <w:rFonts w:ascii="Times New Roman" w:hAnsi="Times New Roman"/>
          <w:sz w:val="28"/>
          <w:szCs w:val="28"/>
          <w:lang w:val="x-none"/>
        </w:rPr>
        <w:t>ос</w:t>
      </w:r>
      <w:r w:rsidRPr="00784324">
        <w:rPr>
          <w:rFonts w:ascii="Times New Roman" w:hAnsi="Times New Roman"/>
          <w:sz w:val="28"/>
          <w:szCs w:val="28"/>
          <w:lang w:val="uk-UA"/>
        </w:rPr>
        <w:t>іб</w:t>
      </w:r>
      <w:r w:rsidRPr="00784324">
        <w:rPr>
          <w:rFonts w:ascii="Times New Roman" w:hAnsi="Times New Roman"/>
          <w:sz w:val="28"/>
          <w:szCs w:val="28"/>
          <w:lang w:val="x-none"/>
        </w:rPr>
        <w:t>, які призиваються  на військову службу по мобілізації під час дії військового стану</w:t>
      </w:r>
      <w:r w:rsidRPr="00784324">
        <w:rPr>
          <w:rFonts w:ascii="Times New Roman" w:hAnsi="Times New Roman"/>
          <w:sz w:val="28"/>
          <w:szCs w:val="28"/>
          <w:lang w:val="uk-UA"/>
        </w:rPr>
        <w:t xml:space="preserve"> та</w:t>
      </w:r>
      <w:r w:rsidRPr="00784324">
        <w:rPr>
          <w:rFonts w:ascii="Times New Roman" w:hAnsi="Times New Roman"/>
          <w:bCs/>
          <w:sz w:val="28"/>
          <w:szCs w:val="28"/>
          <w:lang w:val="uk-UA"/>
        </w:rPr>
        <w:t xml:space="preserve"> членів сімей загиблих Захисників і Захисниць України, </w:t>
      </w:r>
      <w:r w:rsidRPr="00784324">
        <w:rPr>
          <w:rFonts w:ascii="Times New Roman" w:hAnsi="Times New Roman"/>
          <w:sz w:val="28"/>
          <w:szCs w:val="28"/>
          <w:lang w:val="x-none"/>
        </w:rPr>
        <w:t>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одному із членів родини загиблого Захисника чи Захисниці України</w:t>
      </w:r>
      <w:r w:rsidRPr="00784324">
        <w:rPr>
          <w:rFonts w:ascii="Times New Roman" w:hAnsi="Times New Roman"/>
          <w:sz w:val="28"/>
          <w:szCs w:val="28"/>
          <w:lang w:val="uk-UA"/>
        </w:rPr>
        <w:t xml:space="preserve">. </w:t>
      </w:r>
      <w:r w:rsidRPr="00784324">
        <w:rPr>
          <w:rFonts w:ascii="Times New Roman" w:hAnsi="Times New Roman"/>
          <w:sz w:val="28"/>
          <w:szCs w:val="28"/>
          <w:lang w:val="x-none"/>
        </w:rPr>
        <w:t>Досягнення мети – виділення додаткових коштів на фінансування заход</w:t>
      </w:r>
      <w:r w:rsidRPr="00784324">
        <w:rPr>
          <w:rFonts w:ascii="Times New Roman" w:hAnsi="Times New Roman"/>
          <w:sz w:val="28"/>
          <w:szCs w:val="28"/>
          <w:lang w:val="uk-UA"/>
        </w:rPr>
        <w:t>ів</w:t>
      </w:r>
      <w:r w:rsidRPr="00784324">
        <w:rPr>
          <w:rFonts w:ascii="Times New Roman" w:hAnsi="Times New Roman"/>
          <w:sz w:val="28"/>
          <w:szCs w:val="28"/>
          <w:lang w:val="x-none"/>
        </w:rPr>
        <w:t xml:space="preserve"> Програми</w:t>
      </w:r>
      <w:r w:rsidRPr="00784324">
        <w:rPr>
          <w:rFonts w:ascii="Times New Roman" w:hAnsi="Times New Roman"/>
          <w:sz w:val="28"/>
          <w:szCs w:val="28"/>
          <w:lang w:val="uk-UA"/>
        </w:rPr>
        <w:t>.</w:t>
      </w:r>
      <w:r w:rsidRPr="00784324">
        <w:rPr>
          <w:rFonts w:ascii="Times New Roman" w:hAnsi="Times New Roman"/>
          <w:sz w:val="28"/>
          <w:szCs w:val="28"/>
          <w:lang w:val="x-none"/>
        </w:rPr>
        <w:t xml:space="preserve"> </w:t>
      </w:r>
    </w:p>
    <w:p w:rsidR="00784324" w:rsidRPr="00784324" w:rsidRDefault="00784324" w:rsidP="00784324">
      <w:pPr>
        <w:suppressAutoHyphens/>
        <w:spacing w:after="0" w:line="240" w:lineRule="auto"/>
        <w:jc w:val="both"/>
        <w:rPr>
          <w:rFonts w:ascii="Times New Roman" w:hAnsi="Times New Roman"/>
          <w:b/>
          <w:bCs/>
          <w:sz w:val="28"/>
          <w:szCs w:val="28"/>
          <w:lang w:val="uk-UA"/>
        </w:rPr>
      </w:pPr>
    </w:p>
    <w:p w:rsidR="00784324" w:rsidRPr="00784324" w:rsidRDefault="00784324" w:rsidP="00784324">
      <w:pPr>
        <w:suppressAutoHyphens/>
        <w:spacing w:after="0" w:line="240" w:lineRule="auto"/>
        <w:jc w:val="both"/>
        <w:rPr>
          <w:rFonts w:ascii="Times New Roman" w:hAnsi="Times New Roman"/>
          <w:b/>
          <w:bCs/>
          <w:sz w:val="28"/>
          <w:szCs w:val="28"/>
          <w:lang w:val="uk-UA"/>
        </w:rPr>
      </w:pPr>
      <w:r w:rsidRPr="00784324">
        <w:rPr>
          <w:rFonts w:ascii="Times New Roman" w:hAnsi="Times New Roman"/>
          <w:b/>
          <w:bCs/>
          <w:sz w:val="28"/>
          <w:szCs w:val="28"/>
          <w:lang w:val="uk-UA"/>
        </w:rPr>
        <w:t>3. Правові аспекти.</w:t>
      </w: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Пункт 22 статті 26 Закону України «Про місцеве самоврядування в Україні», рішення Броварської міської ради Київської області від 21.12.2023 р. № 1438-61-08 «Про затвердження Програми підтримки Захисників і Захисниць України, членів сімей загиблих на 2024-2026 роки». </w:t>
      </w:r>
    </w:p>
    <w:p w:rsidR="00784324" w:rsidRPr="00784324" w:rsidRDefault="00784324" w:rsidP="00784324">
      <w:pPr>
        <w:suppressAutoHyphens/>
        <w:spacing w:after="0" w:line="240" w:lineRule="auto"/>
        <w:jc w:val="both"/>
        <w:rPr>
          <w:rFonts w:ascii="Times New Roman" w:hAnsi="Times New Roman"/>
          <w:b/>
          <w:sz w:val="28"/>
          <w:szCs w:val="28"/>
          <w:lang w:val="uk-UA"/>
        </w:rPr>
      </w:pP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b/>
          <w:sz w:val="28"/>
          <w:szCs w:val="28"/>
          <w:lang w:val="uk-UA"/>
        </w:rPr>
        <w:t>4. Фінансово-економічне обґрунтування.</w:t>
      </w: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Станом на 04.04.2024 року на обліку в управлінні соціального захисту населення перебуває 262 членів сімей загиблих Захисників чи Захисниць України. Відповідно до п.6.20. заходу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r w:rsidR="005135D8">
        <w:rPr>
          <w:rFonts w:ascii="Times New Roman" w:hAnsi="Times New Roman"/>
          <w:sz w:val="28"/>
          <w:szCs w:val="28"/>
          <w:lang w:val="uk-UA"/>
        </w:rPr>
        <w:t>»</w:t>
      </w:r>
      <w:r w:rsidRPr="00784324">
        <w:rPr>
          <w:rFonts w:ascii="Times New Roman" w:hAnsi="Times New Roman"/>
          <w:sz w:val="28"/>
          <w:szCs w:val="28"/>
          <w:lang w:val="uk-UA"/>
        </w:rPr>
        <w:t xml:space="preserve"> отримали одноразову допомогу 125 членів сімей загиблих. Відповідно до звернень членів сімей загиблих Захисників чи Захи</w:t>
      </w:r>
      <w:r w:rsidR="005135D8">
        <w:rPr>
          <w:rFonts w:ascii="Times New Roman" w:hAnsi="Times New Roman"/>
          <w:sz w:val="28"/>
          <w:szCs w:val="28"/>
          <w:lang w:val="uk-UA"/>
        </w:rPr>
        <w:t>сниць України</w:t>
      </w:r>
      <w:r w:rsidRPr="00784324">
        <w:rPr>
          <w:rFonts w:ascii="Times New Roman" w:hAnsi="Times New Roman"/>
          <w:sz w:val="28"/>
          <w:szCs w:val="28"/>
          <w:lang w:val="uk-UA"/>
        </w:rPr>
        <w:t xml:space="preserve"> </w:t>
      </w:r>
      <w:r w:rsidR="005135D8">
        <w:rPr>
          <w:rFonts w:ascii="Times New Roman" w:hAnsi="Times New Roman"/>
          <w:sz w:val="28"/>
          <w:szCs w:val="28"/>
          <w:lang w:val="uk-UA"/>
        </w:rPr>
        <w:t xml:space="preserve">дана </w:t>
      </w:r>
      <w:r w:rsidR="005135D8" w:rsidRPr="00784324">
        <w:rPr>
          <w:rFonts w:ascii="Times New Roman" w:hAnsi="Times New Roman"/>
          <w:sz w:val="28"/>
          <w:szCs w:val="28"/>
          <w:lang w:val="uk-UA"/>
        </w:rPr>
        <w:t>одноразова допомога</w:t>
      </w:r>
      <w:r w:rsidR="005135D8">
        <w:rPr>
          <w:rFonts w:ascii="Times New Roman" w:hAnsi="Times New Roman"/>
          <w:sz w:val="28"/>
          <w:szCs w:val="28"/>
          <w:lang w:val="uk-UA"/>
        </w:rPr>
        <w:t xml:space="preserve"> буде </w:t>
      </w:r>
      <w:r w:rsidR="00B70851">
        <w:rPr>
          <w:rFonts w:ascii="Times New Roman" w:hAnsi="Times New Roman"/>
          <w:sz w:val="28"/>
          <w:szCs w:val="28"/>
          <w:lang w:val="uk-UA"/>
        </w:rPr>
        <w:t xml:space="preserve">й </w:t>
      </w:r>
      <w:bookmarkStart w:id="0" w:name="_GoBack"/>
      <w:bookmarkEnd w:id="0"/>
      <w:r w:rsidR="00B70851">
        <w:rPr>
          <w:rFonts w:ascii="Times New Roman" w:hAnsi="Times New Roman"/>
          <w:sz w:val="28"/>
          <w:szCs w:val="28"/>
          <w:lang w:val="uk-UA"/>
        </w:rPr>
        <w:t xml:space="preserve">надалі </w:t>
      </w:r>
      <w:r w:rsidR="005135D8">
        <w:rPr>
          <w:rFonts w:ascii="Times New Roman" w:hAnsi="Times New Roman"/>
          <w:sz w:val="28"/>
          <w:szCs w:val="28"/>
          <w:lang w:val="uk-UA"/>
        </w:rPr>
        <w:t>надаватись протягом року</w:t>
      </w:r>
      <w:r w:rsidRPr="00784324">
        <w:rPr>
          <w:rFonts w:ascii="Times New Roman" w:hAnsi="Times New Roman"/>
          <w:sz w:val="28"/>
          <w:szCs w:val="28"/>
          <w:lang w:val="uk-UA"/>
        </w:rPr>
        <w:t xml:space="preserve">. Тому, для виконання заходу, передбаченого п.6.20.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 пропонується збільшити обсяг фінансування на </w:t>
      </w:r>
      <w:r w:rsidRPr="00784324">
        <w:rPr>
          <w:rFonts w:ascii="Times New Roman" w:hAnsi="Times New Roman"/>
          <w:b/>
          <w:sz w:val="28"/>
          <w:szCs w:val="28"/>
          <w:lang w:val="uk-UA"/>
        </w:rPr>
        <w:t xml:space="preserve">200,0 тис. грн. </w:t>
      </w:r>
      <w:r w:rsidRPr="00784324">
        <w:rPr>
          <w:rFonts w:ascii="Times New Roman" w:hAnsi="Times New Roman"/>
          <w:sz w:val="28"/>
          <w:szCs w:val="28"/>
          <w:lang w:val="uk-UA"/>
        </w:rPr>
        <w:t xml:space="preserve">та встановити загальний обсяг фінансування заходу, необхідного для реалізації Програми на 2024 рік – </w:t>
      </w:r>
      <w:r w:rsidRPr="00784324">
        <w:rPr>
          <w:rFonts w:ascii="Times New Roman" w:hAnsi="Times New Roman"/>
          <w:b/>
          <w:sz w:val="28"/>
          <w:szCs w:val="28"/>
          <w:lang w:val="uk-UA"/>
        </w:rPr>
        <w:t xml:space="preserve">1700,0 тис. грн. </w:t>
      </w: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З початку року за наданням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звернулося 164 особи. Сума виплаченої та отриманої допомоги становить 1640,0 тис. грн. 164 особам. Станом на 04.04.2024 року залишок кошторисних призначень </w:t>
      </w:r>
      <w:r w:rsidRPr="00784324">
        <w:rPr>
          <w:rFonts w:ascii="Times New Roman" w:hAnsi="Times New Roman"/>
          <w:sz w:val="28"/>
          <w:szCs w:val="28"/>
          <w:lang w:val="uk-UA"/>
        </w:rPr>
        <w:lastRenderedPageBreak/>
        <w:t>становить – 10,0 тис. грн. Тому пропонується  збільшити обсяг фінансування на захід Програми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r w:rsidRPr="00784324">
        <w:rPr>
          <w:rFonts w:ascii="Times New Roman" w:hAnsi="Times New Roman"/>
          <w:b/>
          <w:sz w:val="28"/>
          <w:szCs w:val="28"/>
          <w:lang w:val="uk-UA"/>
        </w:rPr>
        <w:t>.» на 600,0 тис. грн.</w:t>
      </w:r>
      <w:r w:rsidRPr="00784324">
        <w:rPr>
          <w:rFonts w:ascii="Times New Roman" w:hAnsi="Times New Roman"/>
          <w:sz w:val="28"/>
          <w:szCs w:val="28"/>
          <w:lang w:val="uk-UA"/>
        </w:rPr>
        <w:t xml:space="preserve"> та встановити загальний обсяг фінансування заходу, необхідного для реалізації Програми на 2024 рік – </w:t>
      </w:r>
      <w:r w:rsidRPr="00784324">
        <w:rPr>
          <w:rFonts w:ascii="Times New Roman" w:hAnsi="Times New Roman"/>
          <w:b/>
          <w:sz w:val="28"/>
          <w:szCs w:val="28"/>
          <w:lang w:val="uk-UA"/>
        </w:rPr>
        <w:t xml:space="preserve">2250,0 тис. грн. </w:t>
      </w: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sz w:val="28"/>
          <w:szCs w:val="28"/>
          <w:lang w:val="uk-UA"/>
        </w:rPr>
        <w:t xml:space="preserve"> З початку року за наданням грошової одноразової матеріальної допомоги особам, які призиваються  на військову службу по мобілізації під час дії військового стану, у розмірі 10,0 тис. грн. звернулося 100 осіб. Сума виплаченої та отриманої допомоги становить 1000,0 тис. грн. Станом на 04.04.2024 року залишок кошторисних призначень становить – 200,0 тис. грн., але враховуючи, що кількість звернень за одноразовою матеріальною допомогою постійно збільшуватися, пропонується збільшити обсяг фінансування на захід Програми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 </w:t>
      </w:r>
      <w:r w:rsidRPr="00784324">
        <w:rPr>
          <w:rFonts w:ascii="Times New Roman" w:hAnsi="Times New Roman"/>
          <w:b/>
          <w:sz w:val="28"/>
          <w:szCs w:val="28"/>
          <w:lang w:val="uk-UA"/>
        </w:rPr>
        <w:t>на 200,0 тис. грн</w:t>
      </w:r>
      <w:r w:rsidRPr="00784324">
        <w:rPr>
          <w:rFonts w:ascii="Times New Roman" w:hAnsi="Times New Roman"/>
          <w:sz w:val="28"/>
          <w:szCs w:val="28"/>
          <w:lang w:val="uk-UA"/>
        </w:rPr>
        <w:t xml:space="preserve">. та встановити загальний обсяг фінансування заходу, необхідного для реалізації Програми на 2024 рік – </w:t>
      </w:r>
      <w:r w:rsidRPr="00784324">
        <w:rPr>
          <w:rFonts w:ascii="Times New Roman" w:hAnsi="Times New Roman"/>
          <w:b/>
          <w:sz w:val="28"/>
          <w:szCs w:val="28"/>
          <w:lang w:val="uk-UA"/>
        </w:rPr>
        <w:t>1400,0 тис. грн.</w:t>
      </w: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sz w:val="28"/>
          <w:szCs w:val="28"/>
          <w:lang w:val="uk-UA"/>
        </w:rPr>
        <w:t xml:space="preserve">Службою у справах дітей Броварської міської  ради Броварського району Київської області було проведено опитування батьків (матерів, опікунів) 79 дітей шкільного віку, які мають право на отримання путівки згідно Програми, та встановлено, що тільки 35 дітей мають бажання відпочивати в дитячих закладах без батьків, деякі опитані батьки (матері) планують скористатись послугою санаторно–курортного лікування членів сімей загиблих (померлих) Захисників і Захисниць України, які приймали участь у заходах щодо забезпечення відсічі збройної агресії російської федерації або виплату компенсації вартості самостійного санаторно–курортного лікування відповідно до затвердженого Положення, тому враховуючи вищевикладену інформацію пропонується зменшити обсяг фінансування на захід Програми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 </w:t>
      </w:r>
      <w:r w:rsidRPr="00784324">
        <w:rPr>
          <w:rFonts w:ascii="Times New Roman" w:hAnsi="Times New Roman"/>
          <w:b/>
          <w:sz w:val="28"/>
          <w:szCs w:val="28"/>
          <w:lang w:val="uk-UA"/>
        </w:rPr>
        <w:t xml:space="preserve">на 510,0 </w:t>
      </w:r>
      <w:proofErr w:type="spellStart"/>
      <w:r w:rsidRPr="00784324">
        <w:rPr>
          <w:rFonts w:ascii="Times New Roman" w:hAnsi="Times New Roman"/>
          <w:b/>
          <w:sz w:val="28"/>
          <w:szCs w:val="28"/>
          <w:lang w:val="uk-UA"/>
        </w:rPr>
        <w:t>тис.грн</w:t>
      </w:r>
      <w:proofErr w:type="spellEnd"/>
      <w:r w:rsidRPr="00784324">
        <w:rPr>
          <w:rFonts w:ascii="Times New Roman" w:hAnsi="Times New Roman"/>
          <w:b/>
          <w:sz w:val="28"/>
          <w:szCs w:val="28"/>
          <w:lang w:val="uk-UA"/>
        </w:rPr>
        <w:t xml:space="preserve">. </w:t>
      </w:r>
      <w:r w:rsidRPr="00784324">
        <w:rPr>
          <w:rFonts w:ascii="Times New Roman" w:hAnsi="Times New Roman"/>
          <w:sz w:val="28"/>
          <w:szCs w:val="28"/>
          <w:lang w:val="uk-UA"/>
        </w:rPr>
        <w:t xml:space="preserve">та встановити загальний обсяг фінансування заходу, необхідного для реалізації Програми на 2024 рік – </w:t>
      </w:r>
      <w:r w:rsidRPr="00784324">
        <w:rPr>
          <w:rFonts w:ascii="Times New Roman" w:hAnsi="Times New Roman"/>
          <w:b/>
          <w:sz w:val="28"/>
          <w:szCs w:val="28"/>
          <w:lang w:val="uk-UA"/>
        </w:rPr>
        <w:t xml:space="preserve">590 </w:t>
      </w:r>
      <w:proofErr w:type="spellStart"/>
      <w:r w:rsidRPr="00784324">
        <w:rPr>
          <w:rFonts w:ascii="Times New Roman" w:hAnsi="Times New Roman"/>
          <w:b/>
          <w:sz w:val="28"/>
          <w:szCs w:val="28"/>
          <w:lang w:val="uk-UA"/>
        </w:rPr>
        <w:t>тис.грн</w:t>
      </w:r>
      <w:proofErr w:type="spellEnd"/>
      <w:r w:rsidRPr="00784324">
        <w:rPr>
          <w:rFonts w:ascii="Times New Roman" w:hAnsi="Times New Roman"/>
          <w:b/>
          <w:sz w:val="28"/>
          <w:szCs w:val="28"/>
          <w:lang w:val="uk-UA"/>
        </w:rPr>
        <w:t>.</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Загальний обсяг фінансування Програми на 2023 рік становитиме</w:t>
      </w:r>
      <w:r w:rsidRPr="00784324">
        <w:rPr>
          <w:rFonts w:ascii="Times New Roman" w:hAnsi="Times New Roman"/>
          <w:b/>
          <w:sz w:val="28"/>
          <w:szCs w:val="28"/>
          <w:lang w:val="uk-UA"/>
        </w:rPr>
        <w:t xml:space="preserve"> – 11215,4 </w:t>
      </w:r>
      <w:r w:rsidRPr="00784324">
        <w:rPr>
          <w:rFonts w:ascii="Times New Roman" w:hAnsi="Times New Roman"/>
          <w:b/>
          <w:bCs/>
          <w:iCs/>
          <w:sz w:val="28"/>
          <w:szCs w:val="28"/>
          <w:lang w:val="uk-UA"/>
        </w:rPr>
        <w:t>тис. грн.</w:t>
      </w:r>
    </w:p>
    <w:p w:rsidR="00784324" w:rsidRPr="00784324" w:rsidRDefault="00784324" w:rsidP="00784324">
      <w:pPr>
        <w:suppressAutoHyphens/>
        <w:spacing w:after="0" w:line="240" w:lineRule="auto"/>
        <w:jc w:val="both"/>
        <w:rPr>
          <w:rFonts w:ascii="Times New Roman" w:hAnsi="Times New Roman"/>
          <w:b/>
          <w:sz w:val="28"/>
          <w:szCs w:val="28"/>
          <w:lang w:val="uk-UA"/>
        </w:rPr>
      </w:pPr>
    </w:p>
    <w:p w:rsidR="00784324" w:rsidRPr="00784324" w:rsidRDefault="00784324" w:rsidP="00784324">
      <w:pPr>
        <w:numPr>
          <w:ilvl w:val="0"/>
          <w:numId w:val="2"/>
        </w:numPr>
        <w:suppressAutoHyphens/>
        <w:spacing w:after="0" w:line="240" w:lineRule="auto"/>
        <w:jc w:val="both"/>
        <w:rPr>
          <w:rFonts w:ascii="Times New Roman" w:hAnsi="Times New Roman"/>
          <w:b/>
          <w:sz w:val="28"/>
          <w:szCs w:val="28"/>
          <w:lang w:val="uk-UA"/>
        </w:rPr>
      </w:pPr>
      <w:r w:rsidRPr="00784324">
        <w:rPr>
          <w:rFonts w:ascii="Times New Roman" w:hAnsi="Times New Roman"/>
          <w:b/>
          <w:sz w:val="28"/>
          <w:szCs w:val="28"/>
          <w:lang w:val="uk-UA"/>
        </w:rPr>
        <w:t>Прогноз результатів.</w:t>
      </w:r>
    </w:p>
    <w:p w:rsidR="00784324" w:rsidRPr="00784324" w:rsidRDefault="00784324" w:rsidP="00784324">
      <w:pPr>
        <w:suppressAutoHyphens/>
        <w:spacing w:after="0" w:line="240" w:lineRule="auto"/>
        <w:jc w:val="both"/>
        <w:rPr>
          <w:rFonts w:ascii="Times New Roman" w:hAnsi="Times New Roman"/>
          <w:sz w:val="28"/>
          <w:szCs w:val="28"/>
          <w:lang w:val="uk-UA"/>
        </w:rPr>
      </w:pPr>
      <w:r w:rsidRPr="00784324">
        <w:rPr>
          <w:rFonts w:ascii="Times New Roman" w:hAnsi="Times New Roman"/>
          <w:sz w:val="28"/>
          <w:szCs w:val="28"/>
          <w:lang w:val="uk-UA"/>
        </w:rPr>
        <w:t xml:space="preserve">Виділення додаткових коштів на заходи Програми забезпечить підтримку Захисників і Захисниць України, їх сімей, родин загиблих героїв Броварської міської територіальної громади у вирішенні ряду питань соціально – побутового та матеріального характеру. </w:t>
      </w: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bCs/>
          <w:sz w:val="28"/>
          <w:szCs w:val="28"/>
          <w:lang w:val="uk-UA"/>
        </w:rPr>
      </w:pPr>
    </w:p>
    <w:p w:rsidR="00784324" w:rsidRPr="00784324" w:rsidRDefault="00784324" w:rsidP="00784324">
      <w:pPr>
        <w:numPr>
          <w:ilvl w:val="0"/>
          <w:numId w:val="2"/>
        </w:numPr>
        <w:suppressAutoHyphens/>
        <w:spacing w:after="0" w:line="240" w:lineRule="auto"/>
        <w:jc w:val="both"/>
        <w:rPr>
          <w:rFonts w:ascii="Times New Roman" w:hAnsi="Times New Roman"/>
          <w:b/>
          <w:bCs/>
          <w:sz w:val="28"/>
          <w:szCs w:val="28"/>
          <w:lang w:val="uk-UA"/>
        </w:rPr>
      </w:pPr>
      <w:r w:rsidRPr="00784324">
        <w:rPr>
          <w:rFonts w:ascii="Times New Roman" w:hAnsi="Times New Roman"/>
          <w:b/>
          <w:bCs/>
          <w:sz w:val="28"/>
          <w:szCs w:val="28"/>
          <w:lang w:val="uk-UA"/>
        </w:rPr>
        <w:lastRenderedPageBreak/>
        <w:t>Суб’єкт подання проекту рішення.</w:t>
      </w:r>
    </w:p>
    <w:p w:rsidR="00784324" w:rsidRPr="00784324" w:rsidRDefault="00784324" w:rsidP="00784324">
      <w:pPr>
        <w:suppressAutoHyphens/>
        <w:spacing w:after="0" w:line="240" w:lineRule="auto"/>
        <w:jc w:val="both"/>
        <w:rPr>
          <w:rFonts w:ascii="Times New Roman" w:hAnsi="Times New Roman"/>
          <w:iCs/>
          <w:sz w:val="28"/>
          <w:szCs w:val="28"/>
          <w:lang w:val="uk-UA"/>
        </w:rPr>
      </w:pPr>
      <w:r w:rsidRPr="00784324">
        <w:rPr>
          <w:rFonts w:ascii="Times New Roman" w:hAnsi="Times New Roman"/>
          <w:iCs/>
          <w:sz w:val="28"/>
          <w:szCs w:val="28"/>
          <w:lang w:val="uk-UA"/>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784324" w:rsidRPr="00784324" w:rsidRDefault="00784324" w:rsidP="00784324">
      <w:pPr>
        <w:suppressAutoHyphens/>
        <w:spacing w:after="0" w:line="240" w:lineRule="auto"/>
        <w:jc w:val="both"/>
        <w:rPr>
          <w:rFonts w:ascii="Times New Roman" w:hAnsi="Times New Roman"/>
          <w:iCs/>
          <w:sz w:val="28"/>
          <w:szCs w:val="28"/>
          <w:lang w:val="uk-UA"/>
        </w:rPr>
      </w:pPr>
      <w:r w:rsidRPr="00784324">
        <w:rPr>
          <w:rFonts w:ascii="Times New Roman" w:hAnsi="Times New Roman"/>
          <w:iCs/>
          <w:sz w:val="28"/>
          <w:szCs w:val="28"/>
          <w:lang w:val="uk-UA"/>
        </w:rPr>
        <w:t>Доповідач: начальник управління Петренко Алла Іванівна (контактний телефон 6-14-37).</w:t>
      </w:r>
    </w:p>
    <w:p w:rsidR="00784324" w:rsidRPr="00784324" w:rsidRDefault="00784324" w:rsidP="00784324">
      <w:pPr>
        <w:suppressAutoHyphens/>
        <w:spacing w:after="0" w:line="240" w:lineRule="auto"/>
        <w:jc w:val="both"/>
        <w:rPr>
          <w:rFonts w:ascii="Times New Roman" w:hAnsi="Times New Roman"/>
          <w:iCs/>
          <w:sz w:val="28"/>
          <w:szCs w:val="28"/>
          <w:lang w:val="uk-UA"/>
        </w:rPr>
      </w:pPr>
      <w:r w:rsidRPr="00784324">
        <w:rPr>
          <w:rFonts w:ascii="Times New Roman" w:hAnsi="Times New Roman"/>
          <w:iCs/>
          <w:sz w:val="28"/>
          <w:szCs w:val="28"/>
          <w:lang w:val="uk-UA"/>
        </w:rPr>
        <w:t xml:space="preserve">  </w:t>
      </w:r>
    </w:p>
    <w:p w:rsidR="00784324" w:rsidRPr="00784324" w:rsidRDefault="00784324" w:rsidP="00784324">
      <w:pPr>
        <w:suppressAutoHyphens/>
        <w:spacing w:after="0" w:line="240" w:lineRule="auto"/>
        <w:jc w:val="both"/>
        <w:rPr>
          <w:rFonts w:ascii="Times New Roman" w:hAnsi="Times New Roman"/>
          <w:iCs/>
          <w:sz w:val="28"/>
          <w:szCs w:val="28"/>
          <w:lang w:val="uk-UA"/>
        </w:rPr>
      </w:pPr>
      <w:r w:rsidRPr="00784324">
        <w:rPr>
          <w:rFonts w:ascii="Times New Roman" w:hAnsi="Times New Roman"/>
          <w:iCs/>
          <w:sz w:val="28"/>
          <w:szCs w:val="28"/>
          <w:lang w:val="uk-UA"/>
        </w:rPr>
        <w:t xml:space="preserve">Особа, відповідальна за підготовку проекту рішення: </w:t>
      </w:r>
    </w:p>
    <w:p w:rsidR="00784324" w:rsidRPr="00784324" w:rsidRDefault="00784324" w:rsidP="00784324">
      <w:pPr>
        <w:suppressAutoHyphens/>
        <w:spacing w:after="0" w:line="240" w:lineRule="auto"/>
        <w:jc w:val="both"/>
        <w:rPr>
          <w:rFonts w:ascii="Times New Roman" w:hAnsi="Times New Roman"/>
          <w:iCs/>
          <w:sz w:val="28"/>
          <w:szCs w:val="28"/>
          <w:lang w:val="uk-UA"/>
        </w:rPr>
      </w:pPr>
      <w:r w:rsidRPr="00784324">
        <w:rPr>
          <w:rFonts w:ascii="Times New Roman" w:hAnsi="Times New Roman"/>
          <w:iCs/>
          <w:sz w:val="28"/>
          <w:szCs w:val="28"/>
          <w:lang w:val="uk-UA"/>
        </w:rPr>
        <w:t xml:space="preserve">- заступник начальника управління – </w:t>
      </w:r>
      <w:proofErr w:type="spellStart"/>
      <w:r w:rsidRPr="00784324">
        <w:rPr>
          <w:rFonts w:ascii="Times New Roman" w:hAnsi="Times New Roman"/>
          <w:iCs/>
          <w:sz w:val="28"/>
          <w:szCs w:val="28"/>
          <w:lang w:val="uk-UA"/>
        </w:rPr>
        <w:t>Кісліцина</w:t>
      </w:r>
      <w:proofErr w:type="spellEnd"/>
      <w:r w:rsidRPr="00784324">
        <w:rPr>
          <w:rFonts w:ascii="Times New Roman" w:hAnsi="Times New Roman"/>
          <w:iCs/>
          <w:sz w:val="28"/>
          <w:szCs w:val="28"/>
          <w:lang w:val="uk-UA"/>
        </w:rPr>
        <w:t xml:space="preserve"> Марина Сергіївна    (контактний телефон 6-01-47).</w:t>
      </w:r>
    </w:p>
    <w:p w:rsidR="00784324" w:rsidRPr="00784324" w:rsidRDefault="00784324" w:rsidP="00784324">
      <w:pPr>
        <w:suppressAutoHyphens/>
        <w:spacing w:after="0" w:line="240" w:lineRule="auto"/>
        <w:jc w:val="both"/>
        <w:rPr>
          <w:rFonts w:ascii="Times New Roman" w:hAnsi="Times New Roman"/>
          <w:b/>
          <w:sz w:val="28"/>
          <w:szCs w:val="28"/>
          <w:lang w:val="uk-UA"/>
        </w:rPr>
      </w:pPr>
    </w:p>
    <w:p w:rsidR="00784324" w:rsidRPr="00784324" w:rsidRDefault="00784324" w:rsidP="00784324">
      <w:pPr>
        <w:suppressAutoHyphens/>
        <w:spacing w:after="0" w:line="240" w:lineRule="auto"/>
        <w:jc w:val="both"/>
        <w:rPr>
          <w:rFonts w:ascii="Times New Roman" w:hAnsi="Times New Roman"/>
          <w:b/>
          <w:sz w:val="28"/>
          <w:szCs w:val="28"/>
          <w:lang w:val="uk-UA"/>
        </w:rPr>
      </w:pPr>
      <w:r w:rsidRPr="00784324">
        <w:rPr>
          <w:rFonts w:ascii="Times New Roman" w:hAnsi="Times New Roman"/>
          <w:b/>
          <w:sz w:val="28"/>
          <w:szCs w:val="28"/>
          <w:lang w:val="uk-UA"/>
        </w:rPr>
        <w:t>7.Порівняльна таблиця</w:t>
      </w:r>
    </w:p>
    <w:p w:rsidR="00784324" w:rsidRPr="00784324" w:rsidRDefault="00784324" w:rsidP="00784324">
      <w:pPr>
        <w:suppressAutoHyphens/>
        <w:spacing w:after="0" w:line="240" w:lineRule="auto"/>
        <w:jc w:val="both"/>
        <w:rPr>
          <w:rFonts w:ascii="Times New Roman" w:hAnsi="Times New Roman"/>
          <w:b/>
          <w:sz w:val="28"/>
          <w:szCs w:val="28"/>
          <w:lang w:val="uk-UA"/>
        </w:rPr>
      </w:pP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784324" w:rsidRPr="00784324" w:rsidTr="00C84F2C">
        <w:trPr>
          <w:jc w:val="center"/>
        </w:trPr>
        <w:tc>
          <w:tcPr>
            <w:tcW w:w="1265" w:type="dxa"/>
            <w:vMerge w:val="restart"/>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 за порядком</w:t>
            </w:r>
          </w:p>
        </w:tc>
        <w:tc>
          <w:tcPr>
            <w:tcW w:w="3672" w:type="dxa"/>
            <w:vMerge w:val="restart"/>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Заходи Програми</w:t>
            </w:r>
          </w:p>
        </w:tc>
        <w:tc>
          <w:tcPr>
            <w:tcW w:w="4678" w:type="dxa"/>
            <w:gridSpan w:val="3"/>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Обсяг фінансування</w:t>
            </w:r>
          </w:p>
        </w:tc>
      </w:tr>
      <w:tr w:rsidR="00784324" w:rsidRPr="00784324" w:rsidTr="00C84F2C">
        <w:trPr>
          <w:jc w:val="center"/>
        </w:trPr>
        <w:tc>
          <w:tcPr>
            <w:tcW w:w="1265" w:type="dxa"/>
            <w:vMerge/>
          </w:tcPr>
          <w:p w:rsidR="00784324" w:rsidRPr="00784324" w:rsidRDefault="00784324" w:rsidP="00784324">
            <w:pPr>
              <w:suppressAutoHyphens/>
              <w:jc w:val="both"/>
              <w:rPr>
                <w:rFonts w:ascii="Times New Roman" w:hAnsi="Times New Roman"/>
                <w:sz w:val="28"/>
                <w:szCs w:val="28"/>
                <w:lang w:val="uk-UA"/>
              </w:rPr>
            </w:pPr>
          </w:p>
        </w:tc>
        <w:tc>
          <w:tcPr>
            <w:tcW w:w="3672" w:type="dxa"/>
            <w:vMerge/>
          </w:tcPr>
          <w:p w:rsidR="00784324" w:rsidRPr="00784324" w:rsidRDefault="00784324" w:rsidP="00784324">
            <w:pPr>
              <w:suppressAutoHyphens/>
              <w:jc w:val="both"/>
              <w:rPr>
                <w:rFonts w:ascii="Times New Roman" w:hAnsi="Times New Roman"/>
                <w:sz w:val="28"/>
                <w:szCs w:val="28"/>
                <w:lang w:val="uk-UA"/>
              </w:rPr>
            </w:pPr>
          </w:p>
        </w:tc>
        <w:tc>
          <w:tcPr>
            <w:tcW w:w="1430" w:type="dxa"/>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Було, тис. грн.</w:t>
            </w:r>
          </w:p>
        </w:tc>
        <w:tc>
          <w:tcPr>
            <w:tcW w:w="1559" w:type="dxa"/>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Зміни, +/-, тис. грн.</w:t>
            </w:r>
          </w:p>
        </w:tc>
        <w:tc>
          <w:tcPr>
            <w:tcW w:w="1689" w:type="dxa"/>
            <w:vAlign w:val="center"/>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Стало, тис. грн.</w:t>
            </w:r>
          </w:p>
        </w:tc>
      </w:tr>
      <w:tr w:rsidR="00784324" w:rsidRPr="00784324" w:rsidTr="00C84F2C">
        <w:trPr>
          <w:trHeight w:val="1012"/>
          <w:jc w:val="center"/>
        </w:trPr>
        <w:tc>
          <w:tcPr>
            <w:tcW w:w="1265" w:type="dxa"/>
            <w:hideMark/>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w:t>
            </w:r>
          </w:p>
        </w:tc>
        <w:tc>
          <w:tcPr>
            <w:tcW w:w="3672" w:type="dxa"/>
          </w:tcPr>
          <w:p w:rsidR="00784324" w:rsidRPr="00784324" w:rsidRDefault="00784324" w:rsidP="00784324">
            <w:pPr>
              <w:suppressAutoHyphens/>
              <w:jc w:val="both"/>
              <w:rPr>
                <w:rFonts w:ascii="Times New Roman" w:hAnsi="Times New Roman"/>
                <w:bCs/>
                <w:sz w:val="28"/>
                <w:szCs w:val="28"/>
                <w:lang w:val="uk-UA"/>
              </w:rPr>
            </w:pPr>
            <w:r w:rsidRPr="00784324">
              <w:rPr>
                <w:rFonts w:ascii="Times New Roman" w:hAnsi="Times New Roman"/>
                <w:sz w:val="28"/>
                <w:szCs w:val="28"/>
                <w:lang w:val="uk-UA"/>
              </w:rPr>
              <w:t>п.6.20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tc>
        <w:tc>
          <w:tcPr>
            <w:tcW w:w="1430"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1500,0</w:t>
            </w:r>
          </w:p>
        </w:tc>
        <w:tc>
          <w:tcPr>
            <w:tcW w:w="155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+200,0</w:t>
            </w:r>
          </w:p>
        </w:tc>
        <w:tc>
          <w:tcPr>
            <w:tcW w:w="168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1700,0</w:t>
            </w:r>
          </w:p>
        </w:tc>
      </w:tr>
      <w:tr w:rsidR="00784324" w:rsidRPr="00784324" w:rsidTr="00C84F2C">
        <w:trPr>
          <w:trHeight w:val="1012"/>
          <w:jc w:val="center"/>
        </w:trPr>
        <w:tc>
          <w:tcPr>
            <w:tcW w:w="1265"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2.</w:t>
            </w:r>
          </w:p>
        </w:tc>
        <w:tc>
          <w:tcPr>
            <w:tcW w:w="3672"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п.6.21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p>
        </w:tc>
        <w:tc>
          <w:tcPr>
            <w:tcW w:w="1430"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1650,0</w:t>
            </w:r>
          </w:p>
        </w:tc>
        <w:tc>
          <w:tcPr>
            <w:tcW w:w="155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+600,0</w:t>
            </w:r>
          </w:p>
        </w:tc>
        <w:tc>
          <w:tcPr>
            <w:tcW w:w="168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2250,0</w:t>
            </w:r>
          </w:p>
        </w:tc>
      </w:tr>
      <w:tr w:rsidR="00784324" w:rsidRPr="00784324" w:rsidTr="00C84F2C">
        <w:trPr>
          <w:trHeight w:val="1012"/>
          <w:jc w:val="center"/>
        </w:trPr>
        <w:tc>
          <w:tcPr>
            <w:tcW w:w="1265"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3.</w:t>
            </w:r>
          </w:p>
        </w:tc>
        <w:tc>
          <w:tcPr>
            <w:tcW w:w="3672"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 xml:space="preserve">Забезпечення відпочинком дітей, один із батьків яких загинув (пропав безвісти, перебуває у полоні) Захисників та Захисниць </w:t>
            </w:r>
            <w:r w:rsidRPr="00784324">
              <w:rPr>
                <w:rFonts w:ascii="Times New Roman" w:hAnsi="Times New Roman"/>
                <w:sz w:val="28"/>
                <w:szCs w:val="28"/>
                <w:lang w:val="uk-UA"/>
              </w:rPr>
              <w:lastRenderedPageBreak/>
              <w:t xml:space="preserve">України, які брали участь в антитерористичній операції/ </w:t>
            </w:r>
            <w:proofErr w:type="spellStart"/>
            <w:r w:rsidRPr="00784324">
              <w:rPr>
                <w:rFonts w:ascii="Times New Roman" w:hAnsi="Times New Roman"/>
                <w:sz w:val="28"/>
                <w:szCs w:val="28"/>
                <w:lang w:val="uk-UA"/>
              </w:rPr>
              <w:t>операції</w:t>
            </w:r>
            <w:proofErr w:type="spellEnd"/>
            <w:r w:rsidRPr="00784324">
              <w:rPr>
                <w:rFonts w:ascii="Times New Roman" w:hAnsi="Times New Roman"/>
                <w:sz w:val="28"/>
                <w:szCs w:val="28"/>
                <w:lang w:val="uk-UA"/>
              </w:rPr>
              <w:t xml:space="preserve">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tc>
        <w:tc>
          <w:tcPr>
            <w:tcW w:w="1430"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lastRenderedPageBreak/>
              <w:t>1100,0</w:t>
            </w:r>
          </w:p>
        </w:tc>
        <w:tc>
          <w:tcPr>
            <w:tcW w:w="155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-510,0</w:t>
            </w:r>
          </w:p>
        </w:tc>
        <w:tc>
          <w:tcPr>
            <w:tcW w:w="168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590,0</w:t>
            </w:r>
          </w:p>
        </w:tc>
      </w:tr>
      <w:tr w:rsidR="00784324" w:rsidRPr="00784324" w:rsidTr="00C84F2C">
        <w:trPr>
          <w:trHeight w:val="1012"/>
          <w:jc w:val="center"/>
        </w:trPr>
        <w:tc>
          <w:tcPr>
            <w:tcW w:w="1265"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lastRenderedPageBreak/>
              <w:t>4.</w:t>
            </w:r>
          </w:p>
        </w:tc>
        <w:tc>
          <w:tcPr>
            <w:tcW w:w="3672" w:type="dxa"/>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п.6.28. «Надання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w:t>
            </w:r>
          </w:p>
        </w:tc>
        <w:tc>
          <w:tcPr>
            <w:tcW w:w="1430"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1200,0</w:t>
            </w:r>
          </w:p>
        </w:tc>
        <w:tc>
          <w:tcPr>
            <w:tcW w:w="155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+200,0</w:t>
            </w:r>
          </w:p>
        </w:tc>
        <w:tc>
          <w:tcPr>
            <w:tcW w:w="1689" w:type="dxa"/>
            <w:vAlign w:val="center"/>
          </w:tcPr>
          <w:p w:rsidR="00784324" w:rsidRPr="00784324" w:rsidRDefault="00784324" w:rsidP="00784324">
            <w:pPr>
              <w:suppressAutoHyphens/>
              <w:jc w:val="both"/>
              <w:rPr>
                <w:rFonts w:ascii="Times New Roman" w:hAnsi="Times New Roman"/>
                <w:sz w:val="28"/>
                <w:szCs w:val="28"/>
                <w:lang w:val="uk-UA"/>
              </w:rPr>
            </w:pPr>
            <w:r w:rsidRPr="00784324">
              <w:rPr>
                <w:rFonts w:ascii="Times New Roman" w:hAnsi="Times New Roman"/>
                <w:sz w:val="28"/>
                <w:szCs w:val="28"/>
                <w:lang w:val="uk-UA"/>
              </w:rPr>
              <w:t>1400,0</w:t>
            </w:r>
          </w:p>
        </w:tc>
      </w:tr>
      <w:tr w:rsidR="00784324" w:rsidRPr="00784324" w:rsidTr="00C84F2C">
        <w:trPr>
          <w:trHeight w:val="265"/>
          <w:jc w:val="center"/>
        </w:trPr>
        <w:tc>
          <w:tcPr>
            <w:tcW w:w="1265" w:type="dxa"/>
          </w:tcPr>
          <w:p w:rsidR="00784324" w:rsidRPr="00784324" w:rsidRDefault="00784324" w:rsidP="00784324">
            <w:pPr>
              <w:suppressAutoHyphens/>
              <w:jc w:val="both"/>
              <w:rPr>
                <w:rFonts w:ascii="Times New Roman" w:hAnsi="Times New Roman"/>
                <w:sz w:val="28"/>
                <w:szCs w:val="28"/>
                <w:lang w:val="uk-UA"/>
              </w:rPr>
            </w:pPr>
          </w:p>
        </w:tc>
        <w:tc>
          <w:tcPr>
            <w:tcW w:w="3672" w:type="dxa"/>
          </w:tcPr>
          <w:p w:rsidR="00784324" w:rsidRPr="00784324" w:rsidRDefault="00784324" w:rsidP="00784324">
            <w:pPr>
              <w:suppressAutoHyphens/>
              <w:jc w:val="both"/>
              <w:rPr>
                <w:rFonts w:ascii="Times New Roman" w:hAnsi="Times New Roman"/>
                <w:b/>
                <w:sz w:val="28"/>
                <w:szCs w:val="28"/>
                <w:lang w:val="uk-UA"/>
              </w:rPr>
            </w:pPr>
            <w:r w:rsidRPr="00784324">
              <w:rPr>
                <w:rFonts w:ascii="Times New Roman" w:hAnsi="Times New Roman"/>
                <w:b/>
                <w:sz w:val="28"/>
                <w:szCs w:val="28"/>
                <w:lang w:val="uk-UA"/>
              </w:rPr>
              <w:t>Загальний обсяг фінансування Програми:</w:t>
            </w:r>
          </w:p>
        </w:tc>
        <w:tc>
          <w:tcPr>
            <w:tcW w:w="1430" w:type="dxa"/>
          </w:tcPr>
          <w:p w:rsidR="00784324" w:rsidRPr="00784324" w:rsidRDefault="00784324" w:rsidP="00784324">
            <w:pPr>
              <w:suppressAutoHyphens/>
              <w:jc w:val="both"/>
              <w:rPr>
                <w:rFonts w:ascii="Times New Roman" w:hAnsi="Times New Roman"/>
                <w:b/>
                <w:sz w:val="28"/>
                <w:szCs w:val="28"/>
                <w:lang w:val="uk-UA"/>
              </w:rPr>
            </w:pPr>
            <w:r w:rsidRPr="00784324">
              <w:rPr>
                <w:rFonts w:ascii="Times New Roman" w:hAnsi="Times New Roman"/>
                <w:b/>
                <w:sz w:val="28"/>
                <w:szCs w:val="28"/>
                <w:lang w:val="uk-UA"/>
              </w:rPr>
              <w:t>10725,4</w:t>
            </w:r>
          </w:p>
        </w:tc>
        <w:tc>
          <w:tcPr>
            <w:tcW w:w="1559" w:type="dxa"/>
          </w:tcPr>
          <w:p w:rsidR="00784324" w:rsidRPr="00784324" w:rsidRDefault="00784324" w:rsidP="00784324">
            <w:pPr>
              <w:suppressAutoHyphens/>
              <w:jc w:val="both"/>
              <w:rPr>
                <w:rFonts w:ascii="Times New Roman" w:hAnsi="Times New Roman"/>
                <w:b/>
                <w:sz w:val="28"/>
                <w:szCs w:val="28"/>
                <w:lang w:val="uk-UA"/>
              </w:rPr>
            </w:pPr>
            <w:r w:rsidRPr="00784324">
              <w:rPr>
                <w:rFonts w:ascii="Times New Roman" w:hAnsi="Times New Roman"/>
                <w:b/>
                <w:sz w:val="28"/>
                <w:szCs w:val="28"/>
                <w:lang w:val="uk-UA"/>
              </w:rPr>
              <w:t>+490,0</w:t>
            </w:r>
          </w:p>
        </w:tc>
        <w:tc>
          <w:tcPr>
            <w:tcW w:w="1689" w:type="dxa"/>
          </w:tcPr>
          <w:p w:rsidR="00784324" w:rsidRPr="00784324" w:rsidRDefault="00784324" w:rsidP="00784324">
            <w:pPr>
              <w:suppressAutoHyphens/>
              <w:jc w:val="both"/>
              <w:rPr>
                <w:rFonts w:ascii="Times New Roman" w:hAnsi="Times New Roman"/>
                <w:b/>
                <w:sz w:val="28"/>
                <w:szCs w:val="28"/>
                <w:lang w:val="uk-UA"/>
              </w:rPr>
            </w:pPr>
            <w:r w:rsidRPr="00784324">
              <w:rPr>
                <w:rFonts w:ascii="Times New Roman" w:hAnsi="Times New Roman"/>
                <w:b/>
                <w:sz w:val="28"/>
                <w:szCs w:val="28"/>
                <w:lang w:val="uk-UA"/>
              </w:rPr>
              <w:t>11215,4</w:t>
            </w:r>
          </w:p>
        </w:tc>
      </w:tr>
    </w:tbl>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lang w:val="uk-UA"/>
        </w:rPr>
      </w:pPr>
    </w:p>
    <w:p w:rsidR="00784324" w:rsidRPr="00784324" w:rsidRDefault="00784324" w:rsidP="00784324">
      <w:pPr>
        <w:suppressAutoHyphens/>
        <w:spacing w:after="0" w:line="240" w:lineRule="auto"/>
        <w:jc w:val="both"/>
        <w:rPr>
          <w:rFonts w:ascii="Times New Roman" w:hAnsi="Times New Roman"/>
          <w:sz w:val="28"/>
          <w:szCs w:val="28"/>
        </w:rPr>
      </w:pPr>
      <w:r w:rsidRPr="00784324">
        <w:rPr>
          <w:rFonts w:ascii="Times New Roman" w:hAnsi="Times New Roman"/>
          <w:sz w:val="28"/>
          <w:szCs w:val="28"/>
          <w:lang w:val="uk-UA"/>
        </w:rPr>
        <w:t>Начальник управління                                                              Алла ПЕТРЕНКО</w:t>
      </w:r>
    </w:p>
    <w:p w:rsidR="009B7D79" w:rsidRPr="00244FF9" w:rsidRDefault="009B7D79" w:rsidP="00784324">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135D8"/>
    <w:rsid w:val="00525C68"/>
    <w:rsid w:val="005B1C08"/>
    <w:rsid w:val="005F334B"/>
    <w:rsid w:val="00696599"/>
    <w:rsid w:val="006C396C"/>
    <w:rsid w:val="0074644B"/>
    <w:rsid w:val="00784324"/>
    <w:rsid w:val="007E7FBA"/>
    <w:rsid w:val="00827775"/>
    <w:rsid w:val="00881846"/>
    <w:rsid w:val="009B7D79"/>
    <w:rsid w:val="009C0EEF"/>
    <w:rsid w:val="00A218AE"/>
    <w:rsid w:val="00B35D4C"/>
    <w:rsid w:val="00B46089"/>
    <w:rsid w:val="00B70851"/>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784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6667</Words>
  <Characters>3801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Soc-3</cp:lastModifiedBy>
  <cp:revision>17</cp:revision>
  <dcterms:created xsi:type="dcterms:W3CDTF">2021-03-03T14:03:00Z</dcterms:created>
  <dcterms:modified xsi:type="dcterms:W3CDTF">2024-04-04T08:46:00Z</dcterms:modified>
</cp:coreProperties>
</file>