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B607D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07DF" w:rsidRDefault="00B607DF" w:rsidP="00B607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B607DF" w:rsidRDefault="00B607DF" w:rsidP="00B607D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bookmarkStart w:id="0" w:name="_Hlk131690893"/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B607DF" w:rsidRDefault="00B607DF" w:rsidP="00B607DF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B607DF" w:rsidRPr="008A5265" w:rsidRDefault="00B607DF" w:rsidP="00B607D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B607DF" w:rsidRDefault="00B607DF" w:rsidP="00B607D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607DF" w:rsidRPr="008A5265" w:rsidRDefault="00B607DF" w:rsidP="00B607DF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B607DF" w:rsidRDefault="00B607DF" w:rsidP="00B607D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B607DF" w:rsidRPr="00CC14D9" w:rsidRDefault="00B607DF" w:rsidP="00B607D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>Лист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управління централізованого бухгалтерського обліку виконавчого комітету Броварської міської ради Броварського району Київської області від </w:t>
      </w:r>
      <w:r w:rsidRPr="00927526">
        <w:rPr>
          <w:rFonts w:ascii="Times New Roman" w:eastAsia="Times New Roman" w:hAnsi="Times New Roman"/>
          <w:sz w:val="28"/>
          <w:szCs w:val="28"/>
          <w:lang w:val="uk-UA" w:eastAsia="ru-RU"/>
        </w:rPr>
        <w:t>03.05.2024 № 5909/1.4/В.</w:t>
      </w:r>
    </w:p>
    <w:p w:rsidR="00B607DF" w:rsidRDefault="00B607DF" w:rsidP="00B607DF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B607DF" w:rsidRDefault="00B607DF" w:rsidP="00B607DF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 – передача майна (активи для передачі рахунок 1815) з балансу виконавчого комітету Броварської міської ради Броварського району Київської області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на баланс закладу дошкільної освіти (ясел – садка) комбінованого типу «Золотий ключик» Броварської міської ради Броварського району Київської області та комунального підприємства Броварської міської ради Броварського району Київської області «Бровари – Благоустрій»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B607DF" w:rsidRDefault="00B607DF" w:rsidP="00B607D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B607DF" w:rsidRDefault="00B607DF" w:rsidP="00B607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B607DF" w:rsidRDefault="00B607DF" w:rsidP="00B607D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B607DF" w:rsidRDefault="00B607DF" w:rsidP="00B607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B607DF" w:rsidRDefault="00B607DF" w:rsidP="00B607D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B607DF" w:rsidRDefault="00B607DF" w:rsidP="00B607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Ванни, які придбані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), будуть використовуватись закладам дошкільної освіти з метою забезпечення процесу харчування у закладі дошкільної освіти (ясла – садок) комбінованого типу «Золотий ключик» Броварської міської ради Броварського району Київської області.</w:t>
      </w:r>
    </w:p>
    <w:p w:rsidR="00B607DF" w:rsidRDefault="00B607DF" w:rsidP="00B607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Комплекти системи пожежної сигналізації та оповіщення про пожежу, які були придбані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), будуть використовуватись модульним містечком для внутрішньо переміщених осіб для покращення умов пожежної безпеки мешканців містечка для тимчасового проживання.</w:t>
      </w:r>
    </w:p>
    <w:p w:rsidR="00B607DF" w:rsidRPr="008A5265" w:rsidRDefault="00B607DF" w:rsidP="00B607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B607DF" w:rsidRDefault="00B607DF" w:rsidP="00B607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B607DF" w:rsidRPr="00640442" w:rsidRDefault="00B607DF" w:rsidP="00B607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B607DF" w:rsidRDefault="00B607DF" w:rsidP="00B607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607DF" w:rsidRDefault="00B607DF" w:rsidP="00B607D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244FF9" w:rsidRDefault="00B607DF" w:rsidP="00B607DF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9B7D79" w:rsidRPr="00244FF9" w:rsidSect="00B607DF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607DF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607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B607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2024-05-08T08:43:00Z</dcterms:modified>
</cp:coreProperties>
</file>