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3"/>
        <w:spacing w:before="0" w:after="0" w:beforeAutospacing="0" w:afterAutospacing="0"/>
        <w:jc w:val="center"/>
        <w:rPr>
          <w:b w:val="1"/>
          <w:color w:val="000000"/>
          <w:sz w:val="28"/>
          <w:szCs w:val="28"/>
          <w:lang w:val="uk-UA"/>
        </w:rPr>
      </w:pPr>
      <w:r>
        <w:rPr>
          <w:b w:val="1"/>
          <w:color w:val="000000"/>
          <w:sz w:val="28"/>
          <w:szCs w:val="28"/>
          <w:lang w:val="uk-UA"/>
        </w:rPr>
        <w:t>Пояснювальна записка</w:t>
      </w:r>
    </w:p>
    <w:p>
      <w:pPr>
        <w:pStyle w:val="P3"/>
        <w:spacing w:before="0" w:after="0" w:beforeAutospacing="0" w:afterAutospacing="0"/>
        <w:jc w:val="center"/>
        <w:rPr>
          <w:b w:val="1"/>
          <w:color w:val="000000"/>
          <w:sz w:val="28"/>
          <w:szCs w:val="28"/>
          <w:lang w:val="uk-UA"/>
        </w:rPr>
      </w:pPr>
    </w:p>
    <w:p>
      <w:pPr>
        <w:tabs>
          <w:tab w:val="left" w:pos="7655" w:leader="none"/>
        </w:tabs>
        <w:spacing w:lineRule="auto" w:line="240" w:after="0" w:beforeAutospacing="0" w:afterAutospacing="0"/>
        <w:jc w:val="center"/>
        <w:rPr>
          <w:rFonts w:ascii="Times New Roman" w:hAnsi="Times New Roman"/>
          <w:b w:val="1"/>
          <w:sz w:val="28"/>
          <w:szCs w:val="28"/>
          <w:lang w:val="uk-UA"/>
        </w:rPr>
      </w:pPr>
      <w:r>
        <w:rPr>
          <w:rFonts w:ascii="Times New Roman" w:hAnsi="Times New Roman"/>
          <w:b w:val="1"/>
          <w:color w:val="000000"/>
          <w:sz w:val="28"/>
          <w:szCs w:val="28"/>
          <w:lang w:val="uk-UA"/>
        </w:rPr>
        <w:t xml:space="preserve">до проєкту рішення  «</w:t>
      </w:r>
      <w:r>
        <w:rPr>
          <w:rFonts w:ascii="Times New Roman" w:hAnsi="Times New Roman"/>
          <w:b w:val="1"/>
          <w:sz w:val="28"/>
          <w:szCs w:val="28"/>
          <w:lang w:val="uk-UA"/>
        </w:rPr>
        <w:t>Про затвердження мінімального розміру місячної орендної плати за один квадратний метр загальної площі нерухомого майна фізичних осіб на території Броварської міської територіальної громади на 2024 рік</w:t>
      </w:r>
      <w:r>
        <w:rPr>
          <w:rFonts w:ascii="Times New Roman" w:hAnsi="Times New Roman"/>
          <w:b w:val="1"/>
          <w:color w:val="000000"/>
          <w:sz w:val="28"/>
          <w:szCs w:val="28"/>
          <w:lang w:val="uk-UA"/>
        </w:rPr>
        <w:t>»</w:t>
      </w:r>
    </w:p>
    <w:p>
      <w:pPr>
        <w:tabs>
          <w:tab w:val="left" w:pos="7560" w:leader="none"/>
        </w:tabs>
        <w:spacing w:lineRule="auto" w:line="240" w:after="0" w:beforeAutospacing="0" w:afterAutospacing="0"/>
        <w:ind w:left="1680" w:right="2155"/>
        <w:jc w:val="center"/>
        <w:rPr>
          <w:rFonts w:ascii="Times New Roman" w:hAnsi="Times New Roman"/>
          <w:b w:val="1"/>
          <w:bCs w:val="1"/>
          <w:noProof w:val="1"/>
          <w:sz w:val="27"/>
          <w:szCs w:val="27"/>
          <w:lang w:val="uk-UA"/>
        </w:rPr>
      </w:pPr>
      <w:r>
        <w:rPr>
          <w:rFonts w:ascii="Times New Roman" w:hAnsi="Times New Roman"/>
          <w:b w:val="1"/>
          <w:bCs w:val="1"/>
          <w:noProof w:val="1"/>
          <w:sz w:val="27"/>
          <w:szCs w:val="27"/>
          <w:lang w:val="uk-UA"/>
        </w:rPr>
        <w:t xml:space="preserve"> </w:t>
      </w:r>
    </w:p>
    <w:p>
      <w:pPr>
        <w:tabs>
          <w:tab w:val="left" w:pos="7560" w:leader="none"/>
        </w:tabs>
        <w:spacing w:lineRule="auto" w:line="240" w:after="0" w:beforeAutospacing="0" w:afterAutospacing="0"/>
        <w:ind w:left="1680" w:right="2155"/>
        <w:jc w:val="center"/>
        <w:rPr>
          <w:rFonts w:ascii="Times New Roman" w:hAnsi="Times New Roman"/>
          <w:sz w:val="27"/>
          <w:szCs w:val="27"/>
          <w:lang w:val="uk-UA"/>
        </w:rPr>
      </w:pPr>
    </w:p>
    <w:p>
      <w:pPr>
        <w:pStyle w:val="P3"/>
        <w:spacing w:before="0" w:after="0" w:beforeAutospacing="0" w:afterAutospacing="0"/>
        <w:ind w:firstLine="567"/>
        <w:jc w:val="both"/>
        <w:rPr>
          <w:color w:val="000000"/>
          <w:sz w:val="28"/>
          <w:szCs w:val="28"/>
          <w:lang w:val="uk-UA"/>
        </w:rPr>
      </w:pPr>
      <w:r>
        <w:rPr>
          <w:color w:val="000000"/>
          <w:sz w:val="28"/>
          <w:szCs w:val="28"/>
        </w:rPr>
        <w:t>Пояснювальна записка підготовлена</w:t>
      </w:r>
      <w:r>
        <w:rPr>
          <w:color w:val="000000"/>
          <w:sz w:val="28"/>
          <w:szCs w:val="28"/>
          <w:lang w:val="uk-UA"/>
        </w:rPr>
        <w:t xml:space="preserve"> </w:t>
      </w:r>
      <w:r>
        <w:rPr>
          <w:color w:val="000000"/>
          <w:sz w:val="28"/>
          <w:szCs w:val="28"/>
        </w:rPr>
        <w:t xml:space="preserve">відповідно до ст. 20 Регламенту </w:t>
      </w:r>
      <w:bookmarkStart w:id="0" w:name="_Hlk71275076"/>
      <w:r>
        <w:rPr>
          <w:color w:val="000000"/>
          <w:sz w:val="28"/>
          <w:szCs w:val="28"/>
        </w:rPr>
        <w:t>Броварської</w:t>
      </w:r>
      <w:r>
        <w:rPr>
          <w:color w:val="000000"/>
          <w:sz w:val="28"/>
          <w:szCs w:val="28"/>
          <w:lang w:val="uk-UA"/>
        </w:rPr>
        <w:t xml:space="preserve"> </w:t>
      </w:r>
      <w:r>
        <w:rPr>
          <w:color w:val="000000"/>
          <w:sz w:val="28"/>
          <w:szCs w:val="28"/>
        </w:rPr>
        <w:t xml:space="preserve">міської ради </w:t>
      </w:r>
      <w:bookmarkStart w:id="1" w:name="_Hlk68696339"/>
      <w:r>
        <w:rPr>
          <w:color w:val="000000"/>
          <w:sz w:val="28"/>
          <w:szCs w:val="28"/>
        </w:rPr>
        <w:t>Броварського району Київської</w:t>
      </w:r>
      <w:r>
        <w:rPr>
          <w:color w:val="000000"/>
          <w:sz w:val="28"/>
          <w:szCs w:val="28"/>
          <w:lang w:val="uk-UA"/>
        </w:rPr>
        <w:t xml:space="preserve"> </w:t>
      </w:r>
      <w:r>
        <w:rPr>
          <w:color w:val="000000"/>
          <w:sz w:val="28"/>
          <w:szCs w:val="28"/>
        </w:rPr>
        <w:t xml:space="preserve">області </w:t>
      </w:r>
      <w:bookmarkEnd w:id="0"/>
      <w:bookmarkEnd w:id="1"/>
      <w:r>
        <w:rPr>
          <w:color w:val="000000"/>
          <w:sz w:val="28"/>
          <w:szCs w:val="28"/>
        </w:rPr>
        <w:t>VIII скликання.</w:t>
      </w:r>
    </w:p>
    <w:p>
      <w:pPr>
        <w:pStyle w:val="P3"/>
        <w:spacing w:before="0" w:after="0" w:beforeAutospacing="0" w:afterAutospacing="0"/>
        <w:jc w:val="both"/>
        <w:rPr>
          <w:b w:val="1"/>
          <w:color w:val="000000"/>
          <w:sz w:val="28"/>
          <w:szCs w:val="28"/>
          <w:lang w:val="uk-UA"/>
        </w:rPr>
      </w:pPr>
    </w:p>
    <w:p>
      <w:pPr>
        <w:pStyle w:val="P3"/>
        <w:numPr>
          <w:ilvl w:val="0"/>
          <w:numId w:val="2"/>
        </w:numPr>
        <w:spacing w:before="0" w:after="0" w:beforeAutospacing="0" w:afterAutospacing="0"/>
        <w:jc w:val="both"/>
        <w:rPr>
          <w:b w:val="1"/>
          <w:sz w:val="28"/>
          <w:szCs w:val="28"/>
          <w:lang w:val="uk-UA"/>
        </w:rPr>
      </w:pPr>
      <w:r>
        <w:rPr>
          <w:b w:val="1"/>
          <w:sz w:val="28"/>
          <w:szCs w:val="28"/>
          <w:lang w:val="uk-UA"/>
        </w:rPr>
        <w:t>Обґрунтування необхідності прийняття рішення</w:t>
      </w:r>
    </w:p>
    <w:p>
      <w:pPr>
        <w:pStyle w:val="P3"/>
        <w:spacing w:before="0" w:after="0" w:beforeAutospacing="0" w:afterAutospacing="0"/>
        <w:ind w:firstLine="567"/>
        <w:jc w:val="both"/>
        <w:rPr>
          <w:sz w:val="28"/>
          <w:szCs w:val="28"/>
          <w:lang w:val="uk-UA"/>
        </w:rPr>
      </w:pPr>
      <w:r>
        <w:rPr>
          <w:sz w:val="28"/>
          <w:szCs w:val="28"/>
          <w:lang w:val="uk-UA"/>
        </w:rPr>
        <w:t>Впорядкування розміру орендної плати, попередження ухилень від оподаткування фізичних осіб, які отримують доходи від надання нерухомого майна в оренду, забезпечення надходжень до бюджету територіальної громади.</w:t>
      </w:r>
    </w:p>
    <w:p>
      <w:pPr>
        <w:pStyle w:val="P3"/>
        <w:spacing w:before="0" w:after="0" w:beforeAutospacing="0" w:afterAutospacing="0"/>
        <w:ind w:firstLine="567"/>
        <w:jc w:val="both"/>
        <w:rPr>
          <w:sz w:val="28"/>
          <w:szCs w:val="28"/>
          <w:lang w:val="uk-UA"/>
        </w:rPr>
      </w:pPr>
      <w:r>
        <w:rPr>
          <w:sz w:val="28"/>
          <w:szCs w:val="28"/>
          <w:lang w:val="uk-UA"/>
        </w:rPr>
        <w:t xml:space="preserve"> </w:t>
      </w:r>
    </w:p>
    <w:p>
      <w:pPr>
        <w:pStyle w:val="P3"/>
        <w:numPr>
          <w:ilvl w:val="0"/>
          <w:numId w:val="2"/>
        </w:numPr>
        <w:spacing w:before="0" w:after="0" w:beforeAutospacing="0" w:afterAutospacing="0"/>
        <w:jc w:val="both"/>
        <w:rPr>
          <w:b w:val="1"/>
          <w:sz w:val="28"/>
          <w:szCs w:val="28"/>
          <w:lang w:val="uk-UA"/>
        </w:rPr>
      </w:pPr>
      <w:r>
        <w:rPr>
          <w:b w:val="1"/>
          <w:sz w:val="28"/>
          <w:szCs w:val="28"/>
          <w:lang w:val="uk-UA"/>
        </w:rPr>
        <w:t>Мета і шляхи її досягнення</w:t>
      </w:r>
    </w:p>
    <w:p>
      <w:pPr>
        <w:pStyle w:val="P3"/>
        <w:spacing w:before="0" w:after="0" w:beforeAutospacing="0" w:afterAutospacing="0"/>
        <w:ind w:firstLine="567"/>
        <w:jc w:val="both"/>
        <w:rPr>
          <w:sz w:val="28"/>
          <w:szCs w:val="28"/>
          <w:lang w:val="uk-UA"/>
        </w:rPr>
      </w:pPr>
      <w:r>
        <w:rPr>
          <w:sz w:val="28"/>
          <w:szCs w:val="28"/>
          <w:lang w:val="uk-UA"/>
        </w:rPr>
        <w:t xml:space="preserve">Мета – затвердити мінімальний розмір місячної орендної плати за один квадратний метр загальної площі нерухомого майна фізичних осіб на території Броварської міської територіальної громади на 2024 рік на підставі розрахунку, який додається до проєкту рішення. </w:t>
      </w:r>
    </w:p>
    <w:p>
      <w:pPr>
        <w:pStyle w:val="P3"/>
        <w:spacing w:before="0" w:after="0" w:beforeAutospacing="0" w:afterAutospacing="0"/>
        <w:ind w:firstLine="567"/>
        <w:jc w:val="both"/>
        <w:rPr>
          <w:sz w:val="28"/>
          <w:szCs w:val="28"/>
          <w:lang w:val="uk-UA"/>
        </w:rPr>
      </w:pPr>
    </w:p>
    <w:p>
      <w:pPr>
        <w:pStyle w:val="P5"/>
        <w:ind w:firstLine="567"/>
        <w:jc w:val="both"/>
        <w:rPr>
          <w:rFonts w:ascii="Times New Roman" w:hAnsi="Times New Roman"/>
          <w:b w:val="1"/>
          <w:sz w:val="28"/>
          <w:szCs w:val="28"/>
          <w:lang w:val="uk-UA"/>
        </w:rPr>
      </w:pPr>
      <w:r>
        <w:rPr>
          <w:rFonts w:ascii="Times New Roman" w:hAnsi="Times New Roman"/>
          <w:b w:val="1"/>
          <w:sz w:val="28"/>
          <w:szCs w:val="28"/>
          <w:lang w:val="uk-UA"/>
        </w:rPr>
        <w:t>3. Правові аспекти</w:t>
      </w:r>
    </w:p>
    <w:p>
      <w:pPr>
        <w:pStyle w:val="P3"/>
        <w:spacing w:before="0" w:after="0" w:beforeAutospacing="0" w:afterAutospacing="0"/>
        <w:ind w:firstLine="567"/>
        <w:jc w:val="both"/>
        <w:rPr>
          <w:sz w:val="28"/>
          <w:szCs w:val="28"/>
          <w:lang w:val="uk-UA"/>
        </w:rPr>
      </w:pPr>
      <w:r>
        <w:rPr>
          <w:sz w:val="28"/>
          <w:szCs w:val="28"/>
          <w:lang w:val="uk-UA"/>
        </w:rPr>
        <w:t xml:space="preserve">Підпункт 170.1.2 пункту 170.1 статті 170 Податкового кодексу України,  Постанова Кабінету Міністрів України від 29.12.2010 № 1253 «Про затвердження Методики визначення мінімальної суми орендного платежу за нерухоме майно фізичних осіб», пункт 24 частини 1 статті 26 Закону України «Про місцеве самоврядування в Україні».</w:t>
      </w:r>
    </w:p>
    <w:p>
      <w:pPr>
        <w:pStyle w:val="P5"/>
        <w:ind w:firstLine="567"/>
        <w:jc w:val="both"/>
        <w:rPr>
          <w:rFonts w:ascii="Times New Roman" w:hAnsi="Times New Roman"/>
          <w:sz w:val="28"/>
          <w:szCs w:val="28"/>
          <w:lang w:val="uk-UA"/>
        </w:rPr>
      </w:pPr>
    </w:p>
    <w:p>
      <w:pPr>
        <w:pStyle w:val="P5"/>
        <w:ind w:firstLine="567"/>
        <w:jc w:val="both"/>
        <w:rPr>
          <w:rFonts w:ascii="Times New Roman" w:hAnsi="Times New Roman"/>
          <w:b w:val="1"/>
          <w:sz w:val="28"/>
          <w:szCs w:val="28"/>
          <w:lang w:val="uk-UA"/>
        </w:rPr>
      </w:pPr>
      <w:r>
        <w:rPr>
          <w:rFonts w:ascii="Times New Roman" w:hAnsi="Times New Roman"/>
          <w:b w:val="1"/>
          <w:sz w:val="28"/>
          <w:szCs w:val="28"/>
          <w:lang w:val="uk-UA"/>
        </w:rPr>
        <w:t>4. Фінансово-економічне обґрунтування</w:t>
      </w:r>
    </w:p>
    <w:p>
      <w:pPr>
        <w:pStyle w:val="P5"/>
        <w:ind w:firstLine="567"/>
        <w:jc w:val="both"/>
        <w:rPr>
          <w:rFonts w:ascii="Times New Roman" w:hAnsi="Times New Roman"/>
          <w:sz w:val="28"/>
          <w:szCs w:val="28"/>
          <w:lang w:val="uk-UA"/>
        </w:rPr>
      </w:pPr>
      <w:r>
        <w:rPr>
          <w:rFonts w:ascii="Times New Roman" w:hAnsi="Times New Roman"/>
          <w:sz w:val="28"/>
          <w:szCs w:val="28"/>
          <w:lang w:val="uk-UA"/>
        </w:rPr>
        <w:t>Прийняття даного рішення виділення коштів не потребує.</w:t>
      </w:r>
    </w:p>
    <w:p>
      <w:pPr>
        <w:pStyle w:val="P5"/>
        <w:ind w:firstLine="567"/>
        <w:jc w:val="both"/>
        <w:rPr>
          <w:rFonts w:ascii="Times New Roman" w:hAnsi="Times New Roman"/>
          <w:b w:val="1"/>
          <w:sz w:val="28"/>
          <w:szCs w:val="28"/>
          <w:lang w:val="uk-UA"/>
        </w:rPr>
      </w:pPr>
    </w:p>
    <w:p>
      <w:pPr>
        <w:pStyle w:val="P5"/>
        <w:ind w:firstLine="567"/>
        <w:jc w:val="both"/>
        <w:rPr>
          <w:rFonts w:ascii="Times New Roman" w:hAnsi="Times New Roman"/>
          <w:b w:val="1"/>
          <w:sz w:val="28"/>
          <w:szCs w:val="28"/>
          <w:lang w:val="uk-UA"/>
        </w:rPr>
      </w:pPr>
      <w:r>
        <w:rPr>
          <w:rFonts w:ascii="Times New Roman" w:hAnsi="Times New Roman"/>
          <w:b w:val="1"/>
          <w:sz w:val="28"/>
          <w:szCs w:val="28"/>
          <w:lang w:val="uk-UA"/>
        </w:rPr>
        <w:t>5. Прогноз результатів</w:t>
      </w:r>
    </w:p>
    <w:p>
      <w:pPr>
        <w:pStyle w:val="P3"/>
        <w:spacing w:before="0" w:after="0" w:beforeAutospacing="0" w:afterAutospacing="0"/>
        <w:ind w:firstLine="567"/>
        <w:jc w:val="both"/>
        <w:rPr>
          <w:sz w:val="28"/>
          <w:szCs w:val="28"/>
          <w:lang w:val="uk-UA"/>
        </w:rPr>
      </w:pPr>
      <w:r>
        <w:rPr>
          <w:sz w:val="28"/>
          <w:szCs w:val="28"/>
          <w:lang w:val="uk-UA"/>
        </w:rPr>
        <w:t>Прийняття даного рішення визначає мінімальний розмір вартості одного квадратного метру за оренду комерційної нерухомості.</w:t>
      </w:r>
    </w:p>
    <w:p>
      <w:pPr>
        <w:pStyle w:val="P3"/>
        <w:spacing w:before="0" w:after="0" w:beforeAutospacing="0" w:afterAutospacing="0"/>
        <w:ind w:firstLine="567"/>
        <w:jc w:val="both"/>
        <w:rPr>
          <w:b w:val="1"/>
          <w:sz w:val="28"/>
          <w:szCs w:val="28"/>
          <w:lang w:val="uk-UA"/>
        </w:rPr>
      </w:pPr>
    </w:p>
    <w:p>
      <w:pPr>
        <w:pStyle w:val="P3"/>
        <w:spacing w:before="0" w:after="0" w:beforeAutospacing="0" w:afterAutospacing="0"/>
        <w:ind w:firstLine="567"/>
        <w:jc w:val="both"/>
        <w:rPr>
          <w:b w:val="1"/>
          <w:sz w:val="28"/>
          <w:szCs w:val="28"/>
          <w:lang w:val="uk-UA"/>
        </w:rPr>
      </w:pPr>
      <w:r>
        <w:rPr>
          <w:b w:val="1"/>
          <w:sz w:val="28"/>
          <w:szCs w:val="28"/>
          <w:lang w:val="uk-UA"/>
        </w:rPr>
        <w:t>6. Суб’єкт подання проекту рішення</w:t>
      </w:r>
    </w:p>
    <w:p>
      <w:pPr>
        <w:spacing w:lineRule="auto" w:line="240" w:after="0" w:beforeAutospacing="0" w:afterAutospacing="0"/>
        <w:ind w:firstLine="567"/>
        <w:jc w:val="both"/>
        <w:rPr>
          <w:rFonts w:ascii="Times New Roman" w:hAnsi="Times New Roman"/>
          <w:sz w:val="28"/>
          <w:szCs w:val="28"/>
          <w:lang w:val="uk-UA"/>
        </w:rPr>
      </w:pPr>
      <w:r>
        <w:rPr>
          <w:rFonts w:ascii="Times New Roman" w:hAnsi="Times New Roman"/>
          <w:b w:val="1"/>
          <w:sz w:val="28"/>
          <w:szCs w:val="28"/>
          <w:lang w:val="uk-UA"/>
        </w:rPr>
        <w:t>Доповідач:</w:t>
      </w:r>
      <w:r>
        <w:rPr>
          <w:rFonts w:ascii="Times New Roman" w:hAnsi="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pPr>
        <w:spacing w:lineRule="auto" w:line="240" w:after="0" w:beforeAutospacing="0" w:afterAutospacing="0"/>
        <w:ind w:firstLine="567"/>
        <w:jc w:val="both"/>
        <w:rPr>
          <w:rFonts w:ascii="Times New Roman" w:hAnsi="Times New Roman"/>
          <w:sz w:val="28"/>
          <w:szCs w:val="28"/>
          <w:lang w:val="uk-UA"/>
        </w:rPr>
      </w:pPr>
      <w:r>
        <w:rPr>
          <w:rFonts w:ascii="Times New Roman" w:hAnsi="Times New Roman"/>
          <w:b w:val="1"/>
          <w:sz w:val="28"/>
          <w:szCs w:val="28"/>
          <w:lang w:val="uk-UA"/>
        </w:rPr>
        <w:t>Відповідальна за підготовку проекту:</w:t>
      </w:r>
      <w:r>
        <w:rPr>
          <w:rFonts w:ascii="Times New Roman" w:hAnsi="Times New Roman"/>
          <w:sz w:val="28"/>
          <w:szCs w:val="28"/>
          <w:lang w:val="uk-UA"/>
        </w:rPr>
        <w:t xml:space="preserve"> начальника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 Оксана СНІСАР.</w:t>
      </w:r>
    </w:p>
    <w:p>
      <w:pPr>
        <w:spacing w:lineRule="auto" w:line="240" w:after="0" w:beforeAutospacing="0" w:afterAutospacing="0"/>
        <w:ind w:firstLine="426"/>
        <w:jc w:val="center"/>
        <w:rPr>
          <w:rFonts w:ascii="Times New Roman" w:hAnsi="Times New Roman"/>
          <w:sz w:val="28"/>
          <w:szCs w:val="28"/>
          <w:lang w:val="uk-UA"/>
        </w:rPr>
      </w:pPr>
      <w:bookmarkStart w:id="2" w:name="_Hlk71290800"/>
    </w:p>
    <w:p>
      <w:pPr>
        <w:spacing w:lineRule="auto" w:line="240" w:after="0" w:beforeAutospacing="0" w:afterAutospacing="0"/>
        <w:ind w:firstLine="567"/>
        <w:jc w:val="both"/>
        <w:rPr>
          <w:rFonts w:ascii="Times New Roman" w:hAnsi="Times New Roman"/>
          <w:b w:val="1"/>
          <w:bCs w:val="1"/>
          <w:sz w:val="28"/>
          <w:szCs w:val="28"/>
          <w:lang w:val="uk-UA"/>
        </w:rPr>
      </w:pPr>
      <w:r>
        <w:rPr>
          <w:rFonts w:ascii="Times New Roman" w:hAnsi="Times New Roman"/>
          <w:b w:val="1"/>
          <w:bCs w:val="1"/>
          <w:sz w:val="28"/>
          <w:szCs w:val="28"/>
          <w:lang w:val="uk-UA"/>
        </w:rPr>
        <w:t xml:space="preserve">7. Порівняльні таблиці: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kern w:val="2"/>
          <w:lang w:val="uk-UA" w:eastAsia="ar-SA"/>
        </w:rPr>
      </w:pPr>
      <w:r>
        <w:rPr>
          <w:rFonts w:ascii="Times New Roman" w:hAnsi="Times New Roman"/>
          <w:sz w:val="28"/>
          <w:szCs w:val="28"/>
          <w:kern w:val="2"/>
          <w:lang w:val="uk-UA" w:eastAsia="ar-SA"/>
        </w:rPr>
        <w:t xml:space="preserve">визначення мінімальної суми орендного платежу на нерухоме майно фізичних осіб здійснюється за формулою: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center"/>
        <w:rPr>
          <w:rFonts w:ascii="Times New Roman" w:hAnsi="Times New Roman"/>
          <w:i w:val="1"/>
          <w:color w:val="000000"/>
          <w:sz w:val="28"/>
          <w:szCs w:val="28"/>
          <w:kern w:val="2"/>
          <w:lang w:val="uk-UA" w:eastAsia="ar-SA"/>
        </w:rPr>
      </w:pPr>
      <w:r>
        <w:drawing>
          <wp:inline xmlns:wp="http://schemas.openxmlformats.org/drawingml/2006/wordprocessingDrawing" distT="0" distB="0" distL="0" distR="0">
            <wp:extent cx="1123950" cy="39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xmlns:r="http://schemas.openxmlformats.org/officeDocument/2006/relationships" r:embed="Relimage1"/>
                    <a:srcRect/>
                    <a:stretch>
                      <a:fillRect/>
                    </a:stretch>
                  </pic:blipFill>
                  <pic:spPr>
                    <a:xfrm>
                      <a:off x="0" y="0"/>
                      <a:ext cx="1123950" cy="390525"/>
                    </a:xfrm>
                    <a:prstGeom prst="rect"/>
                    <a:solidFill>
                      <a:srgbClr val="FFFFFF"/>
                    </a:solidFill>
                  </pic:spPr>
                </pic:pic>
              </a:graphicData>
            </a:graphic>
          </wp:inline>
        </w:drawing>
      </w:r>
      <w:r>
        <w:rPr>
          <w:rFonts w:ascii="Times New Roman" w:hAnsi="Times New Roman"/>
          <w:color w:val="000000"/>
          <w:sz w:val="28"/>
          <w:szCs w:val="28"/>
          <w:kern w:val="2"/>
          <w:lang w:val="uk-UA" w:eastAsia="ar-SA"/>
        </w:rPr>
        <w:t xml:space="preserve"> де:</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i w:val="1"/>
          <w:color w:val="000000"/>
          <w:sz w:val="28"/>
          <w:szCs w:val="28"/>
          <w:kern w:val="2"/>
          <w:lang w:val="uk-UA" w:eastAsia="ar-SA"/>
        </w:rPr>
      </w:pPr>
      <w:bookmarkStart w:id="3" w:name="23"/>
      <w:bookmarkEnd w:id="3"/>
      <w:r>
        <w:rPr>
          <w:rFonts w:ascii="Times New Roman" w:hAnsi="Times New Roman"/>
          <w:i w:val="1"/>
          <w:color w:val="000000"/>
          <w:sz w:val="28"/>
          <w:szCs w:val="28"/>
          <w:kern w:val="2"/>
          <w:lang w:val="uk-UA" w:eastAsia="ar-SA"/>
        </w:rPr>
        <w:tab/>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jc w:val="both"/>
        <w:rPr>
          <w:rFonts w:ascii="Times New Roman" w:hAnsi="Times New Roman"/>
          <w:i w:val="1"/>
          <w:color w:val="000000"/>
          <w:sz w:val="28"/>
          <w:szCs w:val="28"/>
          <w:kern w:val="2"/>
          <w:lang w:val="uk-UA" w:eastAsia="ar-SA"/>
        </w:rPr>
      </w:pPr>
      <w:r>
        <w:rPr>
          <w:rFonts w:ascii="Times New Roman" w:hAnsi="Times New Roman"/>
          <w:i w:val="1"/>
          <w:color w:val="000000"/>
          <w:sz w:val="28"/>
          <w:szCs w:val="28"/>
          <w:kern w:val="2"/>
          <w:lang w:val="uk-UA" w:eastAsia="ar-SA"/>
        </w:rPr>
        <w:t xml:space="preserve">  Р</w:t>
      </w:r>
      <w:r>
        <w:rPr>
          <w:rFonts w:ascii="Times New Roman" w:hAnsi="Times New Roman"/>
          <w:color w:val="000000"/>
          <w:sz w:val="28"/>
          <w:szCs w:val="28"/>
          <w:kern w:val="2"/>
          <w:lang w:val="uk-UA" w:eastAsia="ar-SA"/>
        </w:rPr>
        <w:t xml:space="preserve"> - мінімальна вартість місячної орендної плати за один квадратний метр загальної площі нерухомого майна, у гривнях; </w:t>
      </w:r>
    </w:p>
    <w:p>
      <w:pPr>
        <w:pStyle w:val="P1"/>
        <w:spacing w:before="0" w:beforeAutospacing="0" w:afterAutospacing="0"/>
        <w:ind w:firstLine="708"/>
        <w:jc w:val="both"/>
        <w:rPr>
          <w:rFonts w:ascii="Times New Roman" w:hAnsi="Times New Roman"/>
          <w:b w:val="0"/>
          <w:color w:val="000000"/>
          <w:sz w:val="28"/>
          <w:szCs w:val="28"/>
          <w:lang w:val="uk-UA" w:eastAsia="ru-RU"/>
        </w:rPr>
      </w:pPr>
      <w:bookmarkStart w:id="4" w:name="24"/>
      <w:bookmarkEnd w:id="4"/>
      <w:r>
        <w:rPr>
          <w:rFonts w:ascii="Times New Roman" w:hAnsi="Times New Roman"/>
          <w:b w:val="0"/>
          <w:i w:val="1"/>
          <w:color w:val="000000"/>
          <w:sz w:val="28"/>
          <w:szCs w:val="28"/>
          <w:kern w:val="2"/>
          <w:lang w:val="uk-UA" w:eastAsia="ar-SA"/>
        </w:rPr>
        <w:t>Рн</w:t>
      </w:r>
      <w:r>
        <w:rPr>
          <w:rFonts w:ascii="Times New Roman" w:hAnsi="Times New Roman"/>
          <w:b w:val="0"/>
          <w:color w:val="000000"/>
          <w:sz w:val="28"/>
          <w:szCs w:val="28"/>
          <w:kern w:val="2"/>
          <w:lang w:val="uk-UA" w:eastAsia="ar-SA"/>
        </w:rPr>
        <w:t xml:space="preserve"> - середня вартість 1 кв. м. новозбудованого об’єкта, подібного до орендованого, яка обчислюється залежно від ринкової вартості, у гривнях у відповідності до наказу </w:t>
      </w:r>
      <w:r>
        <w:rPr>
          <w:rFonts w:ascii="Times New Roman" w:hAnsi="Times New Roman"/>
          <w:b w:val="0"/>
          <w:iCs w:val="1"/>
          <w:color w:val="000000"/>
          <w:sz w:val="28"/>
          <w:szCs w:val="28"/>
          <w:kern w:val="2"/>
          <w:lang w:val="uk-UA" w:eastAsia="ar-SA"/>
        </w:rPr>
        <w:t>Міністерства розвитку громад та територій України від 02.11.2023 № 1010 «</w:t>
      </w:r>
      <w:r>
        <w:rPr>
          <w:rFonts w:ascii="Times New Roman" w:hAnsi="Times New Roman"/>
          <w:b w:val="0"/>
          <w:color w:val="000000"/>
          <w:sz w:val="28"/>
          <w:szCs w:val="28"/>
          <w:lang w:val="uk-UA" w:eastAsia="ru-RU"/>
        </w:rPr>
        <w:t xml:space="preserve">Про затвердження показників опосередкованої вартості спорудження житла за регіонами України (розраховані станом на 01 жовтня 2023 року)» і становить по Київській області – </w:t>
      </w:r>
      <w:r>
        <w:rPr>
          <w:rFonts w:ascii="Times New Roman" w:hAnsi="Times New Roman"/>
          <w:color w:val="000000"/>
          <w:sz w:val="28"/>
          <w:szCs w:val="28"/>
          <w:lang w:val="uk-UA" w:eastAsia="ru-RU"/>
        </w:rPr>
        <w:t>21161,00</w:t>
      </w:r>
      <w:r>
        <w:rPr>
          <w:rFonts w:ascii="Times New Roman" w:hAnsi="Times New Roman"/>
          <w:b w:val="0"/>
          <w:color w:val="000000"/>
          <w:sz w:val="28"/>
          <w:szCs w:val="28"/>
          <w:lang w:val="uk-UA" w:eastAsia="ru-RU"/>
        </w:rPr>
        <w:t xml:space="preserve"> гривень (з урахуванням ПДВ).</w:t>
      </w:r>
    </w:p>
    <w:p>
      <w:pPr>
        <w:pStyle w:val="P1"/>
        <w:spacing w:before="0" w:beforeAutospacing="0" w:afterAutospacing="0"/>
        <w:ind w:firstLine="708"/>
        <w:jc w:val="both"/>
        <w:rPr>
          <w:rFonts w:ascii="Times New Roman" w:hAnsi="Times New Roman"/>
          <w:b w:val="0"/>
          <w:color w:val="000000"/>
          <w:sz w:val="28"/>
          <w:szCs w:val="28"/>
          <w:kern w:val="2"/>
          <w:lang w:val="uk-UA" w:eastAsia="ar-SA"/>
        </w:rPr>
      </w:pPr>
      <w:bookmarkStart w:id="5" w:name="25"/>
      <w:bookmarkEnd w:id="5"/>
      <w:r>
        <w:rPr>
          <w:rFonts w:ascii="Times New Roman" w:hAnsi="Times New Roman"/>
          <w:b w:val="0"/>
          <w:i w:val="1"/>
          <w:color w:val="000000"/>
          <w:sz w:val="28"/>
          <w:szCs w:val="28"/>
          <w:kern w:val="2"/>
          <w:lang w:val="uk-UA" w:eastAsia="ar-SA"/>
        </w:rPr>
        <w:t>К</w:t>
      </w:r>
      <w:r>
        <w:rPr>
          <w:rFonts w:ascii="Times New Roman" w:hAnsi="Times New Roman"/>
          <w:b w:val="0"/>
          <w:color w:val="000000"/>
          <w:sz w:val="28"/>
          <w:szCs w:val="28"/>
          <w:kern w:val="2"/>
          <w:lang w:val="uk-UA" w:eastAsia="ar-SA"/>
        </w:rPr>
        <w:t xml:space="preserve"> - коефіцієнт окупності об'єкта у разі надання його в оренду, що відповідає проектному строку експлуатації такого об'єкта становить </w:t>
      </w:r>
      <w:r>
        <w:rPr>
          <w:rFonts w:ascii="Times New Roman" w:hAnsi="Times New Roman"/>
          <w:color w:val="000000"/>
          <w:sz w:val="28"/>
          <w:szCs w:val="28"/>
          <w:kern w:val="2"/>
          <w:lang w:val="uk-UA" w:eastAsia="ar-SA"/>
        </w:rPr>
        <w:t>50</w:t>
      </w:r>
      <w:r>
        <w:rPr>
          <w:rFonts w:ascii="Times New Roman" w:hAnsi="Times New Roman"/>
          <w:b w:val="0"/>
          <w:color w:val="000000"/>
          <w:sz w:val="28"/>
          <w:szCs w:val="28"/>
          <w:kern w:val="2"/>
          <w:lang w:val="uk-UA" w:eastAsia="ar-SA"/>
        </w:rPr>
        <w:t xml:space="preserve"> років, відповідно до наказу Державного комітету будівництва, архітектури та житлової політики України від 30.09.1998 № 215 «Про затвердження Єдиного класифікатора житлових будинків залежно від якості житла та наявного інженерного обладнання».</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jc w:val="both"/>
        <w:rPr>
          <w:rFonts w:ascii="Times New Roman" w:hAnsi="Times New Roman"/>
          <w:color w:val="000000"/>
          <w:sz w:val="28"/>
          <w:szCs w:val="28"/>
          <w:kern w:val="2"/>
          <w:lang w:val="uk-UA" w:eastAsia="ar-SA"/>
        </w:rPr>
      </w:pPr>
      <w:bookmarkStart w:id="6" w:name="28"/>
      <w:bookmarkEnd w:id="6"/>
      <w:r>
        <w:rPr>
          <w:rFonts w:ascii="Times New Roman" w:hAnsi="Times New Roman"/>
          <w:i w:val="1"/>
          <w:color w:val="000000"/>
          <w:sz w:val="28"/>
          <w:szCs w:val="28"/>
          <w:kern w:val="2"/>
          <w:lang w:val="uk-UA" w:eastAsia="ar-SA"/>
        </w:rPr>
        <w:t>Ф</w:t>
      </w:r>
      <w:r>
        <w:rPr>
          <w:rFonts w:ascii="Times New Roman" w:hAnsi="Times New Roman"/>
          <w:color w:val="000000"/>
          <w:sz w:val="28"/>
          <w:szCs w:val="28"/>
          <w:kern w:val="2"/>
          <w:lang w:val="uk-UA" w:eastAsia="ar-SA"/>
        </w:rPr>
        <w:t xml:space="preserve"> - вид функціонального використання об'єкта нерухомого майна:</w:t>
      </w:r>
    </w:p>
    <w:p>
      <w:pPr>
        <w:pStyle w:val="P4"/>
        <w:numPr>
          <w:ilvl w:val="0"/>
          <w:numId w:val="3"/>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lang w:val="uk-UA" w:eastAsia="ru-RU"/>
        </w:rPr>
      </w:pPr>
      <w:r>
        <w:rPr>
          <w:rFonts w:ascii="Times New Roman" w:hAnsi="Times New Roman"/>
          <w:color w:val="000000"/>
          <w:sz w:val="28"/>
          <w:szCs w:val="28"/>
          <w:kern w:val="2"/>
          <w:lang w:val="uk-UA" w:eastAsia="ar-SA"/>
        </w:rPr>
        <w:t>провадження комерційної діяльності = 3;</w:t>
      </w:r>
      <w:r>
        <w:rPr>
          <w:rFonts w:ascii="Times New Roman" w:hAnsi="Times New Roman"/>
          <w:sz w:val="28"/>
          <w:szCs w:val="28"/>
          <w:lang w:val="uk-UA" w:eastAsia="ru-RU"/>
        </w:rPr>
        <w:t xml:space="preserve">                                                 </w:t>
      </w:r>
    </w:p>
    <w:p>
      <w:pPr>
        <w:pStyle w:val="P4"/>
        <w:numPr>
          <w:ilvl w:val="0"/>
          <w:numId w:val="3"/>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lang w:val="uk-UA" w:eastAsia="ru-RU"/>
        </w:rPr>
      </w:pPr>
      <w:r>
        <w:rPr>
          <w:rFonts w:ascii="Times New Roman" w:hAnsi="Times New Roman"/>
          <w:color w:val="000000"/>
          <w:sz w:val="28"/>
          <w:szCs w:val="28"/>
          <w:kern w:val="2"/>
          <w:lang w:val="uk-UA" w:eastAsia="ar-SA"/>
        </w:rPr>
        <w:t>провадження виробничої діяльності = 2;</w:t>
      </w:r>
    </w:p>
    <w:p>
      <w:pPr>
        <w:pStyle w:val="P4"/>
        <w:numPr>
          <w:ilvl w:val="0"/>
          <w:numId w:val="3"/>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lang w:val="uk-UA" w:eastAsia="ru-RU"/>
        </w:rPr>
      </w:pPr>
      <w:r>
        <w:rPr>
          <w:rFonts w:ascii="Times New Roman" w:hAnsi="Times New Roman"/>
          <w:color w:val="000000"/>
          <w:sz w:val="28"/>
          <w:szCs w:val="28"/>
          <w:kern w:val="2"/>
          <w:lang w:val="uk-UA" w:eastAsia="ar-SA"/>
        </w:rPr>
        <w:t>некомерційна діяльність, у т.ч. проживання фізичних осіб = 1.</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jc w:val="both"/>
        <w:rPr>
          <w:rFonts w:ascii="Times New Roman" w:hAnsi="Times New Roman"/>
          <w:color w:val="000000"/>
          <w:sz w:val="28"/>
          <w:szCs w:val="28"/>
          <w:shd w:val="clear" w:color="auto" w:fill="FFFFFF"/>
          <w:kern w:val="2"/>
          <w:lang w:val="uk-UA" w:eastAsia="ar-SA"/>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Отже, для приміщень, які використовуються під:</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color w:val="000000"/>
          <w:sz w:val="28"/>
          <w:szCs w:val="28"/>
          <w:shd w:val="clear" w:color="auto" w:fill="FFFFFF"/>
          <w:kern w:val="2"/>
          <w:lang w:val="uk-UA" w:eastAsia="ar-SA"/>
        </w:rPr>
      </w:pPr>
    </w:p>
    <w:p>
      <w:pPr>
        <w:numPr>
          <w:ilvl w:val="0"/>
          <w:numId w:val="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left="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для провадження комерційної діяльності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ab/>
      </w:r>
      <w:r>
        <w:rPr>
          <w:rFonts w:ascii="Times New Roman" w:hAnsi="Times New Roman"/>
          <w:color w:val="000000"/>
          <w:sz w:val="44"/>
          <w:szCs w:val="44"/>
          <w:shd w:val="clear" w:color="auto" w:fill="FFFFFF"/>
          <w:vertAlign w:val="subscript"/>
          <w:kern w:val="2"/>
          <w:lang w:val="uk-UA" w:eastAsia="ar-SA"/>
        </w:rPr>
        <w:t>Р =</w:t>
      </w:r>
      <w:r>
        <w:rPr>
          <w:rFonts w:ascii="Times New Roman" w:hAnsi="Times New Roman"/>
          <w:color w:val="000000"/>
          <w:sz w:val="28"/>
          <w:szCs w:val="28"/>
          <w:shd w:val="clear" w:color="auto" w:fill="FFFFFF"/>
          <w:kern w:val="2"/>
          <w:lang w:val="uk-UA" w:eastAsia="ar-SA"/>
        </w:rPr>
        <w:t xml:space="preserve">     </w:t>
      </w:r>
      <w:r>
        <w:rPr>
          <w:rFonts w:ascii="Times New Roman" w:hAnsi="Times New Roman"/>
          <w:color w:val="000000"/>
          <w:sz w:val="44"/>
          <w:szCs w:val="44"/>
          <w:u w:val="single"/>
          <w:shd w:val="clear" w:color="auto" w:fill="FFFFFF"/>
          <w:vertAlign w:val="superscript"/>
          <w:kern w:val="2"/>
          <w:lang w:val="uk-UA" w:eastAsia="ar-SA"/>
        </w:rPr>
        <w:t>21161,00</w:t>
      </w:r>
      <w:r>
        <w:rPr>
          <w:rFonts w:ascii="Times New Roman" w:hAnsi="Times New Roman"/>
          <w:color w:val="000000"/>
          <w:sz w:val="28"/>
          <w:szCs w:val="28"/>
          <w:shd w:val="clear" w:color="auto" w:fill="FFFFFF"/>
          <w:kern w:val="2"/>
          <w:lang w:val="uk-UA" w:eastAsia="ar-SA"/>
        </w:rPr>
        <w:t xml:space="preserve">    х 3 =  105,80;</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50 х 12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w:t>
      </w:r>
    </w:p>
    <w:p>
      <w:pPr>
        <w:numPr>
          <w:ilvl w:val="0"/>
          <w:numId w:val="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firstLine="567" w:left="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для виробничої діяльності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ab/>
      </w:r>
      <w:r>
        <w:rPr>
          <w:rFonts w:ascii="Times New Roman" w:hAnsi="Times New Roman"/>
          <w:color w:val="000000"/>
          <w:sz w:val="44"/>
          <w:szCs w:val="44"/>
          <w:shd w:val="clear" w:color="auto" w:fill="FFFFFF"/>
          <w:vertAlign w:val="subscript"/>
          <w:kern w:val="2"/>
          <w:lang w:val="uk-UA" w:eastAsia="ar-SA"/>
        </w:rPr>
        <w:t>Р =</w:t>
      </w:r>
      <w:r>
        <w:rPr>
          <w:rFonts w:ascii="Times New Roman" w:hAnsi="Times New Roman"/>
          <w:color w:val="000000"/>
          <w:sz w:val="28"/>
          <w:szCs w:val="28"/>
          <w:shd w:val="clear" w:color="auto" w:fill="FFFFFF"/>
          <w:kern w:val="2"/>
          <w:lang w:val="uk-UA" w:eastAsia="ar-SA"/>
        </w:rPr>
        <w:t xml:space="preserve">      </w:t>
      </w:r>
      <w:r>
        <w:rPr>
          <w:rFonts w:ascii="Times New Roman" w:hAnsi="Times New Roman"/>
          <w:color w:val="000000"/>
          <w:sz w:val="44"/>
          <w:szCs w:val="44"/>
          <w:u w:val="single"/>
          <w:shd w:val="clear" w:color="auto" w:fill="FFFFFF"/>
          <w:vertAlign w:val="superscript"/>
          <w:kern w:val="2"/>
          <w:lang w:val="uk-UA" w:eastAsia="ar-SA"/>
        </w:rPr>
        <w:t>21161,00</w:t>
      </w:r>
      <w:r>
        <w:rPr>
          <w:rFonts w:ascii="Times New Roman" w:hAnsi="Times New Roman"/>
          <w:color w:val="000000"/>
          <w:sz w:val="28"/>
          <w:szCs w:val="28"/>
          <w:shd w:val="clear" w:color="auto" w:fill="FFFFFF"/>
          <w:kern w:val="2"/>
          <w:lang w:val="uk-UA" w:eastAsia="ar-SA"/>
        </w:rPr>
        <w:t xml:space="preserve">   х 2 =  70,54;</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50 х 12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p>
    <w:p>
      <w:pPr>
        <w:numPr>
          <w:ilvl w:val="0"/>
          <w:numId w:val="4"/>
        </w:num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hanging="501"/>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для некомерційної діяльності, у т.ч. для проживання фізичних осіб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ind w:left="567"/>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44"/>
          <w:szCs w:val="44"/>
          <w:shd w:val="clear" w:color="auto" w:fill="FFFFFF"/>
          <w:vertAlign w:val="subscript"/>
          <w:kern w:val="2"/>
          <w:lang w:val="uk-UA" w:eastAsia="ar-SA"/>
        </w:rPr>
        <w:t xml:space="preserve">    Р =</w:t>
      </w:r>
      <w:r>
        <w:rPr>
          <w:rFonts w:ascii="Times New Roman" w:hAnsi="Times New Roman"/>
          <w:color w:val="000000"/>
          <w:sz w:val="28"/>
          <w:szCs w:val="28"/>
          <w:shd w:val="clear" w:color="auto" w:fill="FFFFFF"/>
          <w:kern w:val="2"/>
          <w:lang w:val="uk-UA" w:eastAsia="ar-SA"/>
        </w:rPr>
        <w:t xml:space="preserve">     </w:t>
      </w:r>
      <w:r>
        <w:rPr>
          <w:rFonts w:ascii="Times New Roman" w:hAnsi="Times New Roman"/>
          <w:color w:val="000000"/>
          <w:sz w:val="44"/>
          <w:szCs w:val="44"/>
          <w:u w:val="single"/>
          <w:shd w:val="clear" w:color="auto" w:fill="FFFFFF"/>
          <w:vertAlign w:val="superscript"/>
          <w:kern w:val="2"/>
          <w:lang w:val="uk-UA" w:eastAsia="ar-SA"/>
        </w:rPr>
        <w:t>21161,00</w:t>
      </w:r>
      <w:r>
        <w:rPr>
          <w:rFonts w:ascii="Times New Roman" w:hAnsi="Times New Roman"/>
          <w:color w:val="000000"/>
          <w:sz w:val="28"/>
          <w:szCs w:val="28"/>
          <w:shd w:val="clear" w:color="auto" w:fill="FFFFFF"/>
          <w:kern w:val="2"/>
          <w:lang w:val="uk-UA" w:eastAsia="ar-SA"/>
        </w:rPr>
        <w:t xml:space="preserve">    х 1 =  35,27.</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color w:val="000000"/>
          <w:sz w:val="28"/>
          <w:szCs w:val="28"/>
          <w:shd w:val="clear" w:color="auto" w:fill="FFFFFF"/>
          <w:kern w:val="2"/>
          <w:lang w:val="uk-UA" w:eastAsia="ar-SA"/>
        </w:rPr>
      </w:pPr>
      <w:r>
        <w:rPr>
          <w:rFonts w:ascii="Times New Roman" w:hAnsi="Times New Roman"/>
          <w:color w:val="000000"/>
          <w:sz w:val="28"/>
          <w:szCs w:val="28"/>
          <w:shd w:val="clear" w:color="auto" w:fill="FFFFFF"/>
          <w:kern w:val="2"/>
          <w:lang w:val="uk-UA" w:eastAsia="ar-SA"/>
        </w:rPr>
        <w:t xml:space="preserve">                        50 х 12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lang w:val="uk-UA"/>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1"/>
        <w:spacing w:lineRule="auto" w:line="240" w:after="0" w:beforeAutospacing="0" w:afterAutospacing="0"/>
        <w:jc w:val="both"/>
        <w:rPr>
          <w:rFonts w:ascii="Times New Roman" w:hAnsi="Times New Roman"/>
          <w:sz w:val="28"/>
          <w:szCs w:val="28"/>
          <w:lang w:val="uk-UA"/>
        </w:rPr>
      </w:pPr>
    </w:p>
    <w:p>
      <w:pPr>
        <w:pStyle w:val="P4"/>
        <w:suppressAutoHyphens w:val="1"/>
        <w:spacing w:lineRule="auto" w:line="240" w:after="0" w:beforeAutospacing="0" w:afterAutospacing="0"/>
        <w:ind w:left="0"/>
        <w:jc w:val="both"/>
        <w:rPr>
          <w:rFonts w:ascii="Times New Roman" w:hAnsi="Times New Roman"/>
          <w:sz w:val="28"/>
          <w:szCs w:val="28"/>
          <w:lang w:val="uk-UA" w:eastAsia="ru-RU"/>
        </w:rPr>
      </w:pPr>
      <w:r>
        <w:rPr>
          <w:rFonts w:ascii="Times New Roman" w:hAnsi="Times New Roman"/>
          <w:sz w:val="28"/>
          <w:szCs w:val="28"/>
          <w:lang w:val="uk-UA" w:eastAsia="ru-RU"/>
        </w:rPr>
        <w:t>Порівняльна таблиця:</w:t>
      </w:r>
    </w:p>
    <w:tbl>
      <w:tblPr>
        <w:tblStyle w:val="T2"/>
        <w:tblW w:w="0" w:type="auto"/>
        <w:tblLook w:val="04A0"/>
      </w:tblPr>
      <w:tblGrid/>
      <w:tr>
        <w:tc>
          <w:tcPr>
            <w:tcW w:w="594"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w:t>
            </w:r>
          </w:p>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п/п</w:t>
            </w:r>
          </w:p>
        </w:tc>
        <w:tc>
          <w:tcPr>
            <w:tcW w:w="2916"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Цільове використання</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2022 рік</w:t>
            </w:r>
          </w:p>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(з урахуванням ПДВ), грн.  </w:t>
            </w:r>
          </w:p>
          <w:p>
            <w:pPr>
              <w:pStyle w:val="P4"/>
              <w:suppressAutoHyphens w:val="1"/>
              <w:ind w:left="0"/>
              <w:jc w:val="both"/>
              <w:rPr>
                <w:rFonts w:ascii="Times New Roman" w:hAnsi="Times New Roman"/>
                <w:sz w:val="28"/>
                <w:szCs w:val="28"/>
                <w:lang w:val="uk-UA" w:eastAsia="ru-RU"/>
              </w:rPr>
            </w:pP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2023 рік</w:t>
            </w:r>
          </w:p>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(з урахуванням ПДВ), грн.  </w:t>
            </w:r>
          </w:p>
          <w:p>
            <w:pPr>
              <w:pStyle w:val="P4"/>
              <w:suppressAutoHyphens w:val="1"/>
              <w:ind w:left="0"/>
              <w:jc w:val="both"/>
              <w:rPr>
                <w:rFonts w:ascii="Times New Roman" w:hAnsi="Times New Roman"/>
                <w:sz w:val="28"/>
                <w:szCs w:val="28"/>
                <w:lang w:val="uk-UA" w:eastAsia="ru-RU"/>
              </w:rPr>
            </w:pP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2024 рік</w:t>
            </w:r>
          </w:p>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(з урахуванням ПДВ), грн.  </w:t>
            </w:r>
          </w:p>
          <w:p>
            <w:pPr>
              <w:pStyle w:val="P4"/>
              <w:suppressAutoHyphens w:val="1"/>
              <w:ind w:left="0"/>
              <w:jc w:val="both"/>
              <w:rPr>
                <w:rFonts w:ascii="Times New Roman" w:hAnsi="Times New Roman"/>
                <w:sz w:val="28"/>
                <w:szCs w:val="28"/>
                <w:lang w:val="uk-UA" w:eastAsia="ru-RU"/>
              </w:rPr>
            </w:pPr>
          </w:p>
        </w:tc>
      </w:tr>
      <w:tr>
        <w:tc>
          <w:tcPr>
            <w:tcW w:w="594"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1</w:t>
            </w:r>
          </w:p>
        </w:tc>
        <w:tc>
          <w:tcPr>
            <w:tcW w:w="2916"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комерційну діяльність</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72,57</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97,35</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color w:val="000000"/>
                <w:sz w:val="28"/>
                <w:szCs w:val="28"/>
                <w:shd w:val="clear" w:color="auto" w:fill="FFFFFF"/>
                <w:kern w:val="2"/>
                <w:lang w:val="uk-UA" w:eastAsia="ar-SA"/>
              </w:rPr>
              <w:t>105,80</w:t>
            </w:r>
          </w:p>
        </w:tc>
      </w:tr>
      <w:tr>
        <w:tc>
          <w:tcPr>
            <w:tcW w:w="594"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2</w:t>
            </w:r>
          </w:p>
        </w:tc>
        <w:tc>
          <w:tcPr>
            <w:tcW w:w="2916"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 xml:space="preserve">виробничу діяльність  </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48,38</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64,90</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color w:val="000000"/>
                <w:sz w:val="28"/>
                <w:szCs w:val="28"/>
                <w:shd w:val="clear" w:color="auto" w:fill="FFFFFF"/>
                <w:kern w:val="2"/>
                <w:lang w:val="uk-UA" w:eastAsia="ar-SA"/>
              </w:rPr>
              <w:t>70,54</w:t>
            </w:r>
          </w:p>
        </w:tc>
      </w:tr>
      <w:tr>
        <w:tc>
          <w:tcPr>
            <w:tcW w:w="594"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3</w:t>
            </w:r>
          </w:p>
        </w:tc>
        <w:tc>
          <w:tcPr>
            <w:tcW w:w="2916" w:type="dxa"/>
          </w:tcPr>
          <w:p>
            <w:pPr>
              <w:pStyle w:val="P4"/>
              <w:suppressAutoHyphens w:val="1"/>
              <w:ind w:left="0"/>
              <w:rPr>
                <w:rFonts w:ascii="Times New Roman" w:hAnsi="Times New Roman"/>
                <w:sz w:val="28"/>
                <w:szCs w:val="28"/>
                <w:lang w:val="uk-UA" w:eastAsia="ru-RU"/>
              </w:rPr>
            </w:pPr>
            <w:r>
              <w:rPr>
                <w:rFonts w:ascii="Times New Roman" w:hAnsi="Times New Roman"/>
                <w:sz w:val="28"/>
                <w:szCs w:val="28"/>
                <w:lang w:val="uk-UA" w:eastAsia="ru-RU"/>
              </w:rPr>
              <w:t>некомерційну діяльність, у т.ч. проживання фізичних осіб</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24,19</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sz w:val="28"/>
                <w:szCs w:val="28"/>
                <w:lang w:val="uk-UA" w:eastAsia="ru-RU"/>
              </w:rPr>
              <w:t>32,45</w:t>
            </w:r>
          </w:p>
        </w:tc>
        <w:tc>
          <w:tcPr>
            <w:tcW w:w="2115" w:type="dxa"/>
          </w:tcPr>
          <w:p>
            <w:pPr>
              <w:pStyle w:val="P4"/>
              <w:suppressAutoHyphens w:val="1"/>
              <w:ind w:left="0"/>
              <w:jc w:val="both"/>
              <w:rPr>
                <w:rFonts w:ascii="Times New Roman" w:hAnsi="Times New Roman"/>
                <w:sz w:val="28"/>
                <w:szCs w:val="28"/>
                <w:lang w:val="uk-UA" w:eastAsia="ru-RU"/>
              </w:rPr>
            </w:pPr>
            <w:r>
              <w:rPr>
                <w:rFonts w:ascii="Times New Roman" w:hAnsi="Times New Roman"/>
                <w:color w:val="000000"/>
                <w:sz w:val="28"/>
                <w:szCs w:val="28"/>
                <w:shd w:val="clear" w:color="auto" w:fill="FFFFFF"/>
                <w:kern w:val="2"/>
                <w:lang w:val="uk-UA" w:eastAsia="ar-SA"/>
              </w:rPr>
              <w:t>35,27</w:t>
            </w:r>
          </w:p>
        </w:tc>
      </w:tr>
    </w:tbl>
    <w:p>
      <w:pPr>
        <w:spacing w:lineRule="auto" w:line="240" w:after="0" w:beforeAutospacing="0" w:afterAutospacing="0"/>
        <w:jc w:val="both"/>
        <w:rPr>
          <w:rFonts w:ascii="Times New Roman" w:hAnsi="Times New Roman"/>
          <w:sz w:val="28"/>
          <w:szCs w:val="28"/>
          <w:lang w:val="uk-UA"/>
        </w:rPr>
      </w:pPr>
      <w:bookmarkEnd w:id="2"/>
    </w:p>
    <w:p>
      <w:pPr>
        <w:spacing w:lineRule="auto" w:line="240" w:after="0" w:beforeAutospacing="0" w:afterAutospacing="0"/>
        <w:jc w:val="both"/>
        <w:rPr>
          <w:rFonts w:ascii="Times New Roman" w:hAnsi="Times New Roman"/>
          <w:sz w:val="28"/>
          <w:szCs w:val="28"/>
          <w:lang w:val="uk-UA"/>
        </w:rPr>
      </w:pPr>
    </w:p>
    <w:p>
      <w:pPr>
        <w:spacing w:lineRule="auto" w:line="240" w:after="0" w:beforeAutospacing="0" w:afterAutospacing="0"/>
        <w:jc w:val="both"/>
        <w:rPr>
          <w:rFonts w:ascii="Times New Roman" w:hAnsi="Times New Roman"/>
          <w:sz w:val="28"/>
          <w:szCs w:val="28"/>
          <w:lang w:val="uk-UA"/>
        </w:rPr>
      </w:pPr>
    </w:p>
    <w:p>
      <w:pPr>
        <w:spacing w:lineRule="auto" w:line="240" w:after="0" w:beforeAutospacing="0" w:afterAutospacing="0"/>
        <w:jc w:val="both"/>
        <w:rPr>
          <w:rFonts w:ascii="Times New Roman" w:hAnsi="Times New Roman"/>
          <w:sz w:val="28"/>
          <w:szCs w:val="28"/>
          <w:lang w:val="uk-UA"/>
        </w:rPr>
      </w:pPr>
      <w:r>
        <w:rPr>
          <w:rFonts w:ascii="Times New Roman" w:hAnsi="Times New Roman"/>
          <w:sz w:val="28"/>
          <w:szCs w:val="28"/>
          <w:lang w:val="uk-UA"/>
        </w:rPr>
        <w:t xml:space="preserve">Начальник управління з питань </w:t>
      </w:r>
    </w:p>
    <w:p>
      <w:pPr>
        <w:spacing w:lineRule="auto" w:line="240" w:after="0" w:beforeAutospacing="0" w:afterAutospacing="0"/>
        <w:jc w:val="both"/>
        <w:rPr>
          <w:rFonts w:ascii="Times New Roman" w:hAnsi="Times New Roman"/>
          <w:sz w:val="28"/>
          <w:szCs w:val="28"/>
          <w:lang w:val="uk-UA"/>
        </w:rPr>
      </w:pPr>
      <w:r>
        <w:rPr>
          <w:rFonts w:ascii="Times New Roman" w:hAnsi="Times New Roman"/>
          <w:sz w:val="28"/>
          <w:szCs w:val="28"/>
          <w:lang w:val="uk-UA"/>
        </w:rPr>
        <w:t xml:space="preserve">комунальної власності та житла                                   Ірина ЮЩЕНКО </w:t>
      </w:r>
    </w:p>
    <w:p>
      <w:pPr>
        <w:rPr>
          <w:rFonts w:ascii="Times New Roman" w:hAnsi="Times New Roman"/>
          <w:sz w:val="28"/>
          <w:szCs w:val="28"/>
          <w:lang w:val="uk-UA"/>
        </w:rPr>
      </w:pPr>
    </w:p>
    <w:p>
      <w:pPr>
        <w:rPr>
          <w:rFonts w:ascii="Times New Roman" w:hAnsi="Times New Roman"/>
          <w:sz w:val="28"/>
          <w:szCs w:val="28"/>
          <w:lang w:val="uk-UA"/>
        </w:rPr>
      </w:pPr>
    </w:p>
    <w:p>
      <w:pPr>
        <w:rPr>
          <w:rFonts w:ascii="Times New Roman" w:hAnsi="Times New Roman"/>
          <w:sz w:val="28"/>
          <w:szCs w:val="28"/>
          <w:lang w:val="uk-UA"/>
        </w:rPr>
      </w:pPr>
    </w:p>
    <w:p>
      <w:pPr>
        <w:tabs>
          <w:tab w:val="left" w:pos="5700" w:leader="none"/>
          <w:tab w:val="left" w:pos="6521" w:leader="none"/>
        </w:tabs>
        <w:rPr>
          <w:rFonts w:ascii="Times New Roman" w:hAnsi="Times New Roman"/>
          <w:sz w:val="28"/>
          <w:szCs w:val="28"/>
          <w:lang w:val="uk-UA"/>
        </w:rPr>
      </w:pPr>
      <w:r>
        <w:rPr>
          <w:rFonts w:ascii="Times New Roman" w:hAnsi="Times New Roman"/>
          <w:sz w:val="28"/>
          <w:szCs w:val="28"/>
          <w:lang w:val="uk-UA"/>
        </w:rPr>
        <w:tab/>
      </w:r>
    </w:p>
    <w:p>
      <w:bookmarkStart w:id="7" w:name="_GoBack"/>
      <w:bookmarkEnd w:id="7"/>
    </w:p>
    <w:sectPr>
      <w:headerReference xmlns:r="http://schemas.openxmlformats.org/officeDocument/2006/relationships" w:type="default" r:id="RelHdr1"/>
      <w:type w:val="nextPage"/>
      <w:pgSz w:w="11906" w:h="16838" w:code="0"/>
      <w:pgMar w:left="1701" w:right="566" w:top="1134" w:bottom="1134" w:header="720" w:footer="720" w:gutter="0"/>
      <w:titlePg w:val="1"/>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6"/>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noProof w:val="1"/>
        <w:sz w:val="28"/>
        <w:szCs w:val="28"/>
      </w:rPr>
      <w:t>#</w:t>
    </w:r>
    <w:r>
      <w:rPr>
        <w:rFonts w:ascii="Times New Roman" w:hAnsi="Times New Roman"/>
        <w:sz w:val="28"/>
        <w:szCs w:val="28"/>
      </w:rPr>
      <w:fldChar w:fldCharType="end"/>
    </w:r>
  </w:p>
  <w:p>
    <w:pPr>
      <w:pStyle w:val="P6"/>
    </w:pPr>
  </w:p>
</w:hdr>
</file>

<file path=word/numbering.xml><?xml version="1.0" encoding="utf-8"?>
<w:numbering xmlns:w="http://schemas.openxmlformats.org/wordprocessingml/2006/main">
  <w:abstractNum w:abstractNumId="0">
    <w:nsid w:val="00000001"/>
    <w:multiLevelType w:val="multilevel"/>
    <w:lvl w:ilvl="0">
      <w:start w:val="1"/>
      <w:numFmt w:val="none"/>
      <w:suff w:val="nothing"/>
      <w:lvlText w:val=""/>
      <w:lvlJc w:val="left"/>
      <w:pPr>
        <w:ind w:hanging="432" w:left="432"/>
        <w:tabs>
          <w:tab w:val="num" w:pos="432" w:leader="none"/>
        </w:tabs>
      </w:pPr>
      <w:rPr/>
    </w:lvl>
    <w:lvl w:ilvl="1">
      <w:start w:val="1"/>
      <w:numFmt w:val="none"/>
      <w:suff w:val="nothing"/>
      <w:lvlText w:val=""/>
      <w:lvlJc w:val="left"/>
      <w:pPr>
        <w:ind w:hanging="576" w:left="576"/>
        <w:tabs>
          <w:tab w:val="num" w:pos="576" w:leader="none"/>
        </w:tabs>
      </w:pPr>
      <w:rPr/>
    </w:lvl>
    <w:lvl w:ilvl="2">
      <w:start w:val="1"/>
      <w:numFmt w:val="none"/>
      <w:suff w:val="nothing"/>
      <w:lvlText w:val=""/>
      <w:lvlJc w:val="left"/>
      <w:pPr>
        <w:ind w:hanging="720" w:left="720"/>
        <w:tabs>
          <w:tab w:val="num" w:pos="720" w:leader="none"/>
        </w:tabs>
      </w:pPr>
      <w:rPr/>
    </w:lvl>
    <w:lvl w:ilvl="3">
      <w:start w:val="1"/>
      <w:numFmt w:val="none"/>
      <w:suff w:val="nothing"/>
      <w:lvlText w:val=""/>
      <w:lvlJc w:val="left"/>
      <w:pPr>
        <w:ind w:hanging="864" w:left="864"/>
        <w:tabs>
          <w:tab w:val="num" w:pos="864" w:leader="none"/>
        </w:tabs>
      </w:pPr>
      <w:rPr/>
    </w:lvl>
    <w:lvl w:ilvl="4">
      <w:start w:val="1"/>
      <w:numFmt w:val="none"/>
      <w:suff w:val="nothing"/>
      <w:lvlText w:val=""/>
      <w:lvlJc w:val="left"/>
      <w:pPr>
        <w:ind w:hanging="1008" w:left="1008"/>
        <w:tabs>
          <w:tab w:val="num" w:pos="1008" w:leader="none"/>
        </w:tabs>
      </w:pPr>
      <w:rPr/>
    </w:lvl>
    <w:lvl w:ilvl="5">
      <w:start w:val="1"/>
      <w:numFmt w:val="none"/>
      <w:suff w:val="nothing"/>
      <w:lvlText w:val=""/>
      <w:lvlJc w:val="left"/>
      <w:pPr>
        <w:ind w:hanging="1152" w:left="1152"/>
        <w:tabs>
          <w:tab w:val="num" w:pos="1152" w:leader="none"/>
        </w:tabs>
      </w:pPr>
      <w:rPr/>
    </w:lvl>
    <w:lvl w:ilvl="6">
      <w:start w:val="1"/>
      <w:numFmt w:val="none"/>
      <w:suff w:val="nothing"/>
      <w:lvlText w:val=""/>
      <w:lvlJc w:val="left"/>
      <w:pPr>
        <w:ind w:hanging="1296" w:left="1296"/>
        <w:tabs>
          <w:tab w:val="num" w:pos="1296" w:leader="none"/>
        </w:tabs>
      </w:pPr>
      <w:rPr/>
    </w:lvl>
    <w:lvl w:ilvl="7">
      <w:start w:val="1"/>
      <w:numFmt w:val="none"/>
      <w:suff w:val="nothing"/>
      <w:lvlText w:val=""/>
      <w:lvlJc w:val="left"/>
      <w:pPr>
        <w:ind w:hanging="1440" w:left="1440"/>
        <w:tabs>
          <w:tab w:val="num" w:pos="1440" w:leader="none"/>
        </w:tabs>
      </w:pPr>
      <w:rPr/>
    </w:lvl>
    <w:lvl w:ilvl="8">
      <w:start w:val="1"/>
      <w:numFmt w:val="none"/>
      <w:suff w:val="nothing"/>
      <w:lvlText w:val=""/>
      <w:lvlJc w:val="left"/>
      <w:pPr>
        <w:ind w:hanging="1584" w:left="1584"/>
        <w:tabs>
          <w:tab w:val="num" w:pos="1584" w:leader="none"/>
        </w:tabs>
      </w:pPr>
      <w:rPr/>
    </w:lvl>
  </w:abstractNum>
  <w:abstractNum w:abstractNumId="1">
    <w:nsid w:val="00000002"/>
    <w:multiLevelType w:val="multilevel"/>
    <w:lvl w:ilvl="0">
      <w:start w:val="1"/>
      <w:numFmt w:val="decimal"/>
      <w:suff w:val="tab"/>
      <w:lvlText w:val="%1)"/>
      <w:lvlJc w:val="left"/>
      <w:pPr>
        <w:ind w:hanging="360" w:left="720"/>
        <w:tabs>
          <w:tab w:val="num" w:pos="0" w:leader="none"/>
        </w:tabs>
      </w:pPr>
      <w:rPr>
        <w:rFonts w:ascii="Times New Roman" w:hAnsi="Times New Roman"/>
        <w:color w:val="00000A"/>
      </w:rPr>
    </w:lvl>
    <w:lvl w:ilvl="1">
      <w:start w:val="1"/>
      <w:numFmt w:val="bullet"/>
      <w:suff w:val="tab"/>
      <w:lvlText w:val="o"/>
      <w:lvlJc w:val="left"/>
      <w:pPr>
        <w:ind w:hanging="360" w:left="1440"/>
        <w:tabs>
          <w:tab w:val="num" w:pos="0" w:leader="none"/>
        </w:tabs>
      </w:pPr>
      <w:rPr>
        <w:rFonts w:ascii="Courier New" w:hAnsi="Courier New"/>
      </w:rPr>
    </w:lvl>
    <w:lvl w:ilvl="2">
      <w:start w:val="1"/>
      <w:numFmt w:val="bullet"/>
      <w:suff w:val="tab"/>
      <w:lvlText w:val=""/>
      <w:lvlJc w:val="left"/>
      <w:pPr>
        <w:ind w:hanging="360" w:left="2160"/>
        <w:tabs>
          <w:tab w:val="num" w:pos="0" w:leader="none"/>
        </w:tabs>
      </w:pPr>
      <w:rPr>
        <w:rFonts w:ascii="Wingdings" w:hAnsi="Wingdings"/>
      </w:rPr>
    </w:lvl>
    <w:lvl w:ilvl="3">
      <w:start w:val="1"/>
      <w:numFmt w:val="bullet"/>
      <w:suff w:val="tab"/>
      <w:lvlText w:val=""/>
      <w:lvlJc w:val="left"/>
      <w:pPr>
        <w:ind w:hanging="360" w:left="2880"/>
        <w:tabs>
          <w:tab w:val="num" w:pos="0" w:leader="none"/>
        </w:tabs>
      </w:pPr>
      <w:rPr>
        <w:rFonts w:ascii="Symbol" w:hAnsi="Symbol"/>
      </w:rPr>
    </w:lvl>
    <w:lvl w:ilvl="4">
      <w:start w:val="1"/>
      <w:numFmt w:val="bullet"/>
      <w:suff w:val="tab"/>
      <w:lvlText w:val="o"/>
      <w:lvlJc w:val="left"/>
      <w:pPr>
        <w:ind w:hanging="360" w:left="3600"/>
        <w:tabs>
          <w:tab w:val="num" w:pos="0" w:leader="none"/>
        </w:tabs>
      </w:pPr>
      <w:rPr>
        <w:rFonts w:ascii="Courier New" w:hAnsi="Courier New"/>
      </w:rPr>
    </w:lvl>
    <w:lvl w:ilvl="5">
      <w:start w:val="1"/>
      <w:numFmt w:val="bullet"/>
      <w:suff w:val="tab"/>
      <w:lvlText w:val=""/>
      <w:lvlJc w:val="left"/>
      <w:pPr>
        <w:ind w:hanging="360" w:left="4320"/>
        <w:tabs>
          <w:tab w:val="num" w:pos="0" w:leader="none"/>
        </w:tabs>
      </w:pPr>
      <w:rPr>
        <w:rFonts w:ascii="Wingdings" w:hAnsi="Wingdings"/>
      </w:rPr>
    </w:lvl>
    <w:lvl w:ilvl="6">
      <w:start w:val="1"/>
      <w:numFmt w:val="bullet"/>
      <w:suff w:val="tab"/>
      <w:lvlText w:val=""/>
      <w:lvlJc w:val="left"/>
      <w:pPr>
        <w:ind w:hanging="360" w:left="5040"/>
        <w:tabs>
          <w:tab w:val="num" w:pos="0" w:leader="none"/>
        </w:tabs>
      </w:pPr>
      <w:rPr>
        <w:rFonts w:ascii="Symbol" w:hAnsi="Symbol"/>
      </w:rPr>
    </w:lvl>
    <w:lvl w:ilvl="7">
      <w:start w:val="1"/>
      <w:numFmt w:val="bullet"/>
      <w:suff w:val="tab"/>
      <w:lvlText w:val="o"/>
      <w:lvlJc w:val="left"/>
      <w:pPr>
        <w:ind w:hanging="360" w:left="5760"/>
        <w:tabs>
          <w:tab w:val="num" w:pos="0" w:leader="none"/>
        </w:tabs>
      </w:pPr>
      <w:rPr>
        <w:rFonts w:ascii="Courier New" w:hAnsi="Courier New"/>
      </w:rPr>
    </w:lvl>
    <w:lvl w:ilvl="8">
      <w:start w:val="1"/>
      <w:numFmt w:val="bullet"/>
      <w:suff w:val="tab"/>
      <w:lvlText w:val=""/>
      <w:lvlJc w:val="left"/>
      <w:pPr>
        <w:ind w:hanging="360" w:left="6480"/>
        <w:tabs>
          <w:tab w:val="num" w:pos="0" w:leader="none"/>
        </w:tabs>
      </w:pPr>
      <w:rPr>
        <w:rFonts w:ascii="Wingdings" w:hAnsi="Wingdings"/>
      </w:rPr>
    </w:lvl>
  </w:abstractNum>
  <w:abstractNum w:abstractNumId="2">
    <w:nsid w:val="5F2A0B75"/>
    <w:multiLevelType w:val="hybridMultilevel"/>
    <w:lvl w:ilvl="0" w:tplc="D312E02C">
      <w:start w:val="1"/>
      <w:numFmt w:val="decimal"/>
      <w:suff w:val="tab"/>
      <w:lvlText w:val="%1."/>
      <w:lvlJc w:val="left"/>
      <w:pPr>
        <w:ind w:hanging="360" w:left="927"/>
      </w:pPr>
      <w:rPr/>
    </w:lvl>
    <w:lvl w:ilvl="1" w:tplc="04220019">
      <w:start w:val="1"/>
      <w:numFmt w:val="lowerLetter"/>
      <w:suff w:val="tab"/>
      <w:lvlText w:val="%2."/>
      <w:lvlJc w:val="left"/>
      <w:pPr>
        <w:ind w:hanging="360" w:left="1647"/>
      </w:pPr>
      <w:rPr/>
    </w:lvl>
    <w:lvl w:ilvl="2" w:tplc="0422001B">
      <w:start w:val="1"/>
      <w:numFmt w:val="lowerRoman"/>
      <w:suff w:val="tab"/>
      <w:lvlText w:val="%3."/>
      <w:lvlJc w:val="right"/>
      <w:pPr>
        <w:ind w:hanging="180" w:left="2367"/>
      </w:pPr>
      <w:rPr/>
    </w:lvl>
    <w:lvl w:ilvl="3" w:tplc="0422000F">
      <w:start w:val="1"/>
      <w:numFmt w:val="decimal"/>
      <w:suff w:val="tab"/>
      <w:lvlText w:val="%4."/>
      <w:lvlJc w:val="left"/>
      <w:pPr>
        <w:ind w:hanging="360" w:left="3087"/>
      </w:pPr>
      <w:rPr/>
    </w:lvl>
    <w:lvl w:ilvl="4" w:tplc="04220019">
      <w:start w:val="1"/>
      <w:numFmt w:val="lowerLetter"/>
      <w:suff w:val="tab"/>
      <w:lvlText w:val="%5."/>
      <w:lvlJc w:val="left"/>
      <w:pPr>
        <w:ind w:hanging="360" w:left="3807"/>
      </w:pPr>
      <w:rPr/>
    </w:lvl>
    <w:lvl w:ilvl="5" w:tplc="0422001B">
      <w:start w:val="1"/>
      <w:numFmt w:val="lowerRoman"/>
      <w:suff w:val="tab"/>
      <w:lvlText w:val="%6."/>
      <w:lvlJc w:val="right"/>
      <w:pPr>
        <w:ind w:hanging="180" w:left="4527"/>
      </w:pPr>
      <w:rPr/>
    </w:lvl>
    <w:lvl w:ilvl="6" w:tplc="0422000F">
      <w:start w:val="1"/>
      <w:numFmt w:val="decimal"/>
      <w:suff w:val="tab"/>
      <w:lvlText w:val="%7."/>
      <w:lvlJc w:val="left"/>
      <w:pPr>
        <w:ind w:hanging="360" w:left="5247"/>
      </w:pPr>
      <w:rPr/>
    </w:lvl>
    <w:lvl w:ilvl="7" w:tplc="04220019">
      <w:start w:val="1"/>
      <w:numFmt w:val="lowerLetter"/>
      <w:suff w:val="tab"/>
      <w:lvlText w:val="%8."/>
      <w:lvlJc w:val="left"/>
      <w:pPr>
        <w:ind w:hanging="360" w:left="5967"/>
      </w:pPr>
      <w:rPr/>
    </w:lvl>
    <w:lvl w:ilvl="8" w:tplc="0422001B">
      <w:start w:val="1"/>
      <w:numFmt w:val="lowerRoman"/>
      <w:suff w:val="tab"/>
      <w:lvlText w:val="%9."/>
      <w:lvlJc w:val="right"/>
      <w:pPr>
        <w:ind w:hanging="180" w:left="6687"/>
      </w:pPr>
      <w:rPr/>
    </w:lvl>
  </w:abstractNum>
  <w:abstractNum w:abstractNumId="3">
    <w:nsid w:val="7A927FDE"/>
    <w:multiLevelType w:val="hybridMultilevel"/>
    <w:lvl w:ilvl="0" w:tplc="C66EF6F2">
      <w:start w:val="1"/>
      <w:numFmt w:val="decimal"/>
      <w:suff w:val="tab"/>
      <w:lvlText w:val="%1)"/>
      <w:lvlJc w:val="left"/>
      <w:pPr>
        <w:ind w:hanging="360" w:left="1068"/>
      </w:pPr>
      <w:rPr/>
    </w:lvl>
    <w:lvl w:ilvl="1" w:tplc="04190019">
      <w:start w:val="1"/>
      <w:numFmt w:val="lowerLetter"/>
      <w:suff w:val="tab"/>
      <w:lvlText w:val="%2."/>
      <w:lvlJc w:val="left"/>
      <w:pPr>
        <w:ind w:hanging="360" w:left="1788"/>
      </w:pPr>
      <w:rPr/>
    </w:lvl>
    <w:lvl w:ilvl="2" w:tplc="0419001B">
      <w:start w:val="1"/>
      <w:numFmt w:val="lowerRoman"/>
      <w:suff w:val="tab"/>
      <w:lvlText w:val="%3."/>
      <w:lvlJc w:val="right"/>
      <w:pPr>
        <w:ind w:hanging="180" w:left="2508"/>
      </w:pPr>
      <w:rPr/>
    </w:lvl>
    <w:lvl w:ilvl="3" w:tplc="0419000F">
      <w:start w:val="1"/>
      <w:numFmt w:val="decimal"/>
      <w:suff w:val="tab"/>
      <w:lvlText w:val="%4."/>
      <w:lvlJc w:val="left"/>
      <w:pPr>
        <w:ind w:hanging="360" w:left="3228"/>
      </w:pPr>
      <w:rPr/>
    </w:lvl>
    <w:lvl w:ilvl="4" w:tplc="04190019">
      <w:start w:val="1"/>
      <w:numFmt w:val="lowerLetter"/>
      <w:suff w:val="tab"/>
      <w:lvlText w:val="%5."/>
      <w:lvlJc w:val="left"/>
      <w:pPr>
        <w:ind w:hanging="360" w:left="3948"/>
      </w:pPr>
      <w:rPr/>
    </w:lvl>
    <w:lvl w:ilvl="5" w:tplc="0419001B">
      <w:start w:val="1"/>
      <w:numFmt w:val="lowerRoman"/>
      <w:suff w:val="tab"/>
      <w:lvlText w:val="%6."/>
      <w:lvlJc w:val="right"/>
      <w:pPr>
        <w:ind w:hanging="180" w:left="4668"/>
      </w:pPr>
      <w:rPr/>
    </w:lvl>
    <w:lvl w:ilvl="6" w:tplc="0419000F">
      <w:start w:val="1"/>
      <w:numFmt w:val="decimal"/>
      <w:suff w:val="tab"/>
      <w:lvlText w:val="%7."/>
      <w:lvlJc w:val="left"/>
      <w:pPr>
        <w:ind w:hanging="360" w:left="5388"/>
      </w:pPr>
      <w:rPr/>
    </w:lvl>
    <w:lvl w:ilvl="7" w:tplc="04190019">
      <w:start w:val="1"/>
      <w:numFmt w:val="lowerLetter"/>
      <w:suff w:val="tab"/>
      <w:lvlText w:val="%8."/>
      <w:lvlJc w:val="left"/>
      <w:pPr>
        <w:ind w:hanging="360" w:left="6108"/>
      </w:pPr>
      <w:rPr/>
    </w:lvl>
    <w:lvl w:ilvl="8" w:tplc="0419001B">
      <w:start w:val="1"/>
      <w:numFmt w:val="lowerRoman"/>
      <w:suff w:val="tab"/>
      <w:lvlText w:val="%9."/>
      <w:lvlJc w:val="right"/>
      <w:pPr>
        <w:ind w:hanging="180" w:left="6828"/>
      </w:pP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2"/>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sz w:val="22"/>
        <w:szCs w:val="22"/>
        <w:lang w:val="ru-RU" w:bidi="ar-SA" w:eastAsia="ru-RU"/>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2"/>
    <w:basedOn w:val="P0"/>
    <w:next w:val="P0"/>
    <w:link w:val="C4"/>
    <w:qFormat/>
    <w:pPr>
      <w:keepNext w:val="1"/>
      <w:keepLines w:val="1"/>
      <w:spacing w:before="200" w:after="0" w:beforeAutospacing="0" w:afterAutospacing="0"/>
      <w:outlineLvl w:val="1"/>
    </w:pPr>
    <w:rPr>
      <w:b w:val="1"/>
      <w:bCs w:val="1"/>
      <w:color w:val="4F81BD" w:themeColor="accent1"/>
      <w:sz w:val="26"/>
      <w:szCs w:val="26"/>
      <w:lang w:eastAsia="en-US"/>
    </w:rPr>
  </w:style>
  <w:style w:type="paragraph" w:styleId="P2">
    <w:name w:val="Normal (Web)"/>
    <w:basedOn w:val="P0"/>
    <w:pPr>
      <w:spacing w:lineRule="auto" w:line="240" w:before="100" w:after="100" w:beforeAutospacing="1" w:afterAutospacing="1"/>
    </w:pPr>
    <w:rPr>
      <w:rFonts w:ascii="Times New Roman" w:hAnsi="Times New Roman"/>
      <w:sz w:val="24"/>
      <w:szCs w:val="24"/>
      <w:lang w:val="uk-UA" w:eastAsia="uk-UA"/>
    </w:rPr>
  </w:style>
  <w:style w:type="paragraph" w:styleId="P3">
    <w:name w:val="docdata"/>
    <w:basedOn w:val="P0"/>
    <w:pPr>
      <w:spacing w:lineRule="auto" w:line="240" w:before="100" w:after="100" w:beforeAutospacing="1" w:afterAutospacing="1"/>
    </w:pPr>
    <w:rPr>
      <w:rFonts w:ascii="Times New Roman" w:hAnsi="Times New Roman"/>
      <w:sz w:val="24"/>
      <w:szCs w:val="24"/>
    </w:rPr>
  </w:style>
  <w:style w:type="paragraph" w:styleId="P4">
    <w:name w:val="List Paragraph"/>
    <w:basedOn w:val="P0"/>
    <w:qFormat/>
    <w:pPr>
      <w:ind w:left="720"/>
      <w:contextualSpacing w:val="1"/>
    </w:pPr>
    <w:rPr>
      <w:lang w:eastAsia="en-US"/>
    </w:rPr>
  </w:style>
  <w:style w:type="paragraph" w:styleId="P5">
    <w:name w:val="No Spacing"/>
    <w:qFormat/>
    <w:pPr>
      <w:spacing w:lineRule="auto" w:line="240" w:after="0" w:beforeAutospacing="0" w:afterAutospacing="0"/>
    </w:pPr>
    <w:rPr>
      <w:lang w:eastAsia="en-US"/>
    </w:rPr>
  </w:style>
  <w:style w:type="paragraph" w:styleId="P6">
    <w:name w:val="header"/>
    <w:basedOn w:val="P0"/>
    <w:link w:val="C5"/>
    <w:pPr>
      <w:tabs>
        <w:tab w:val="center" w:pos="4677" w:leader="none"/>
        <w:tab w:val="right" w:pos="9355" w:leader="none"/>
      </w:tabs>
      <w:spacing w:lineRule="auto" w:line="240" w:after="0" w:beforeAutospacing="0" w:afterAutospacing="0"/>
    </w:pPr>
    <w:rPr>
      <w:lang w:eastAsia="en-U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basedOn w:val="C0"/>
    <w:qFormat/>
    <w:rPr>
      <w:b w:val="1"/>
      <w:bCs w:val="1"/>
    </w:rPr>
  </w:style>
  <w:style w:type="character" w:styleId="C4">
    <w:name w:val="Заголовок 2 Знак"/>
    <w:basedOn w:val="C0"/>
    <w:link w:val="P1"/>
    <w:rPr>
      <w:b w:val="1"/>
      <w:bCs w:val="1"/>
      <w:color w:val="4F81BD" w:themeColor="accent1"/>
      <w:sz w:val="26"/>
      <w:szCs w:val="26"/>
      <w:lang w:eastAsia="en-US"/>
    </w:rPr>
  </w:style>
  <w:style w:type="character" w:styleId="C5">
    <w:name w:val="Верхній колонтитул Знак"/>
    <w:basedOn w:val="C0"/>
    <w:link w:val="P6"/>
    <w:rPr>
      <w:lang w:eastAsia="en-US"/>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rPr>
      <w:lang w:eastAsia="en-US"/>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emf"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Пользователь Windows</dc:creator>
  <dcterms:created xsi:type="dcterms:W3CDTF">2021-03-03T14:03:00Z</dcterms:created>
  <cp:lastModifiedBy>ASKOD</cp:lastModifiedBy>
  <dcterms:modified xsi:type="dcterms:W3CDTF">2023-12-01T12:37:53Z</dcterms:modified>
  <cp:revision>17</cp:revision>
</cp:coreProperties>
</file>