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pPr>
        <w:tabs>
          <w:tab w:val="left" w:pos="5610"/>
          <w:tab w:val="left" w:pos="6358"/>
        </w:tabs>
        <w:spacing w:beforeAutospacing="0" w:after="0" w:afterAutospacing="0"/>
        <w:ind w:left="5103"/>
        <w:rPr>
          <w:rFonts w:ascii="Times New Roman" w:hAnsi="Times New Roman"/>
          <w:sz w:val="28"/>
          <w:szCs w:val="28"/>
        </w:rPr>
      </w:pPr>
      <w:r>
        <w:rPr>
          <w:rFonts w:ascii="Times New Roman" w:hAnsi="Times New Roman"/>
          <w:b/>
          <w:bCs/>
          <w:sz w:val="24"/>
          <w:szCs w:val="24"/>
        </w:rPr>
        <w:tab/>
        <w:tab/>
        <w:tab/>
        <w:t>ПРОЄКТ</w:t>
        <w:tab/>
      </w:r>
      <w:r>
        <w:rPr>
          <w:rFonts w:ascii="Times New Roman" w:hAnsi="Times New Roman"/>
          <w:sz w:val="28"/>
          <w:szCs w:val="28"/>
        </w:rPr>
        <w:t xml:space="preserve">№ </w:t>
      </w:r>
      <w:r>
        <w:rPr>
          <w:rFonts w:ascii="Times New Roman" w:hAnsi="Times New Roman"/>
          <w:sz w:val="28"/>
          <w:szCs w:val="28"/>
        </w:rPr>
        <w:t>ПВ-1161</w:t>
      </w:r>
    </w:p>
    <w:p>
      <w:pPr>
        <w:tabs>
          <w:tab w:val="left" w:pos="5610"/>
          <w:tab w:val="left" w:pos="6358"/>
        </w:tabs>
        <w:spacing w:beforeAutospacing="0" w:after="0" w:afterAutospacing="0"/>
        <w:ind w:left="5103"/>
        <w:jc w:val="center"/>
        <w:rPr>
          <w:rFonts w:ascii="Times New Roman" w:hAnsi="Times New Roman"/>
          <w:b/>
          <w:bCs/>
          <w:sz w:val="24"/>
          <w:szCs w:val="24"/>
        </w:rPr>
      </w:pPr>
    </w:p>
    <w:p>
      <w:pPr>
        <w:tabs>
          <w:tab w:val="left" w:pos="5610"/>
          <w:tab w:val="left" w:pos="6358"/>
        </w:tabs>
        <w:spacing w:beforeAutospacing="0" w:after="0" w:afterAutospacing="0"/>
        <w:ind w:left="5103"/>
        <w:rPr>
          <w:rFonts w:ascii="Times New Roman" w:hAnsi="Times New Roman"/>
          <w:sz w:val="28"/>
          <w:szCs w:val="28"/>
        </w:rPr>
      </w:pPr>
      <w:permStart w:id="0" w:edGrp="everyone"/>
      <w:r>
        <w:rPr>
          <w:rFonts w:ascii="Times New Roman" w:hAnsi="Times New Roman"/>
          <w:sz w:val="28"/>
          <w:szCs w:val="28"/>
        </w:rPr>
        <w:t xml:space="preserve">Додаток </w:t>
      </w:r>
      <w:r>
        <w:rPr>
          <w:rFonts w:ascii="Times New Roman" w:hAnsi="Times New Roman"/>
          <w:smallCaps w:val="0"/>
          <w:snapToGrid/>
          <w:spacing w:val="0"/>
          <w:w w:val="100"/>
          <w:position w:val="0"/>
          <w:sz w:val="28"/>
          <w:szCs w:val="22"/>
          <w:cs w:val="0"/>
        </w:rPr>
        <w:t>3</w:t>
      </w:r>
    </w:p>
    <w:p>
      <w:pPr>
        <w:tabs>
          <w:tab w:val="left" w:pos="5610"/>
          <w:tab w:val="left" w:pos="6358"/>
        </w:tabs>
        <w:spacing w:beforeAutospacing="0" w:after="0" w:afterAutospacing="0"/>
        <w:ind w:left="5103"/>
        <w:rPr>
          <w:rFonts w:ascii="Times New Roman" w:hAnsi="Times New Roman"/>
          <w:sz w:val="28"/>
          <w:szCs w:val="28"/>
        </w:rPr>
      </w:pPr>
      <w:r>
        <w:rPr>
          <w:rFonts w:ascii="Times New Roman" w:hAnsi="Times New Roman"/>
          <w:smallCaps w:val="0"/>
          <w:snapToGrid/>
          <w:spacing w:val="0"/>
          <w:w w:val="100"/>
          <w:position w:val="0"/>
          <w:sz w:val="28"/>
          <w:szCs w:val="22"/>
          <w:cs w:val="0"/>
        </w:rPr>
        <w:t>ЗАТВЕРДЖЕНО</w:t>
      </w:r>
    </w:p>
    <w:p>
      <w:pPr>
        <w:tabs>
          <w:tab w:val="left" w:pos="5610"/>
          <w:tab w:val="left" w:pos="6358"/>
        </w:tabs>
        <w:spacing w:beforeAutospacing="0" w:after="0" w:afterAutospacing="0"/>
        <w:ind w:left="5103"/>
        <w:rPr>
          <w:rFonts w:ascii="Times New Roman" w:hAnsi="Times New Roman"/>
          <w:sz w:val="28"/>
          <w:szCs w:val="28"/>
        </w:rPr>
      </w:pPr>
      <w:r>
        <w:rPr>
          <w:rFonts w:ascii="Times New Roman" w:hAnsi="Times New Roman"/>
          <w:sz w:val="28"/>
          <w:szCs w:val="28"/>
        </w:rPr>
        <w:t xml:space="preserve">Рішення виконавчого комітету Броварської міської ради </w:t>
      </w:r>
    </w:p>
    <w:p>
      <w:pPr>
        <w:tabs>
          <w:tab w:val="left" w:pos="5610"/>
          <w:tab w:val="left" w:pos="6358"/>
        </w:tabs>
        <w:spacing w:beforeAutospacing="0" w:after="0" w:afterAutospacing="0"/>
        <w:ind w:left="5103"/>
        <w:rPr>
          <w:rFonts w:ascii="Times New Roman" w:hAnsi="Times New Roman"/>
          <w:sz w:val="28"/>
          <w:szCs w:val="28"/>
        </w:rPr>
      </w:pPr>
      <w:r>
        <w:rPr>
          <w:rFonts w:ascii="Times New Roman" w:hAnsi="Times New Roman"/>
          <w:sz w:val="28"/>
          <w:szCs w:val="28"/>
        </w:rPr>
        <w:t>Броварського району</w:t>
      </w:r>
    </w:p>
    <w:p>
      <w:pPr>
        <w:tabs>
          <w:tab w:val="left" w:pos="5610"/>
          <w:tab w:val="left" w:pos="6358"/>
        </w:tabs>
        <w:spacing w:beforeAutospacing="0" w:after="0" w:afterAutospacing="0"/>
        <w:ind w:left="5103"/>
        <w:rPr>
          <w:rFonts w:ascii="Times New Roman" w:hAnsi="Times New Roman"/>
          <w:sz w:val="28"/>
          <w:szCs w:val="28"/>
        </w:rPr>
      </w:pPr>
      <w:r>
        <w:rPr>
          <w:rFonts w:ascii="Times New Roman" w:hAnsi="Times New Roman"/>
          <w:sz w:val="28"/>
          <w:szCs w:val="28"/>
        </w:rPr>
        <w:t>Київської області</w:t>
      </w:r>
    </w:p>
    <w:p>
      <w:pPr>
        <w:spacing w:beforeAutospacing="0" w:after="0" w:afterAutospacing="0"/>
        <w:rPr>
          <w:rFonts w:ascii="Times New Roman" w:hAnsi="Times New Roman"/>
          <w:sz w:val="28"/>
          <w:szCs w:val="28"/>
        </w:rPr>
      </w:pPr>
    </w:p>
    <w:p>
      <w:pPr>
        <w:spacing w:beforeAutospacing="0" w:after="0" w:afterAutospacing="0" w:line="240" w:lineRule="auto"/>
        <w:jc w:val="center"/>
        <w:rPr>
          <w:rFonts w:ascii="Times New Roman" w:hAnsi="Times New Roman"/>
          <w:b/>
          <w:bCs/>
          <w:smallCaps w:val="0"/>
          <w:snapToGrid/>
          <w:spacing w:val="0"/>
          <w:w w:val="100"/>
          <w:position w:val="0"/>
          <w:sz w:val="28"/>
          <w:szCs w:val="22"/>
          <w:cs w:val="0"/>
        </w:rPr>
      </w:pPr>
      <w:r>
        <w:rPr>
          <w:rFonts w:ascii="Times New Roman" w:hAnsi="Times New Roman"/>
          <w:b/>
          <w:bCs/>
          <w:smallCaps w:val="0"/>
          <w:snapToGrid/>
          <w:spacing w:val="0"/>
          <w:w w:val="100"/>
          <w:position w:val="0"/>
          <w:sz w:val="28"/>
          <w:szCs w:val="22"/>
          <w:cs w:val="0"/>
        </w:rPr>
        <w:t xml:space="preserve">ПОЛОЖЕННЯ </w:t>
      </w:r>
    </w:p>
    <w:p>
      <w:pPr>
        <w:spacing w:beforeAutospacing="0" w:after="0" w:afterAutospacing="0" w:line="240" w:lineRule="auto"/>
        <w:jc w:val="center"/>
        <w:rPr>
          <w:rFonts w:ascii="Times New Roman" w:hAnsi="Times New Roman"/>
          <w:b/>
          <w:bCs/>
          <w:smallCaps w:val="0"/>
          <w:snapToGrid/>
          <w:spacing w:val="0"/>
          <w:w w:val="100"/>
          <w:position w:val="0"/>
          <w:sz w:val="28"/>
          <w:szCs w:val="22"/>
          <w:cs w:val="0"/>
        </w:rPr>
      </w:pPr>
      <w:r>
        <w:rPr>
          <w:rFonts w:ascii="Times New Roman" w:hAnsi="Times New Roman"/>
          <w:b/>
          <w:bCs/>
          <w:smallCaps w:val="0"/>
          <w:snapToGrid/>
          <w:spacing w:val="0"/>
          <w:w w:val="100"/>
          <w:position w:val="0"/>
          <w:sz w:val="28"/>
          <w:szCs w:val="22"/>
          <w:cs w:val="0"/>
        </w:rPr>
        <w:t xml:space="preserve">про створення організаційного комітету в рамках міжнародної грантової ініціативи «Молодіжний фонд кліматичних дій» </w:t>
      </w:r>
    </w:p>
    <w:p>
      <w:pPr>
        <w:spacing w:beforeAutospacing="0" w:after="0" w:afterAutospacing="0" w:line="240" w:lineRule="auto"/>
        <w:rPr>
          <w:rFonts w:ascii="Times New Roman" w:hAnsi="Times New Roman"/>
          <w:b w:val="0"/>
          <w:bCs w:val="0"/>
          <w:i/>
          <w:smallCaps w:val="0"/>
          <w:snapToGrid/>
          <w:spacing w:val="0"/>
          <w:w w:val="100"/>
          <w:position w:val="0"/>
          <w:sz w:val="28"/>
          <w:szCs w:val="22"/>
          <w:cs w:val="0"/>
        </w:rPr>
      </w:pPr>
      <w:r>
        <w:rPr>
          <w:rFonts w:ascii="Times New Roman" w:hAnsi="Times New Roman"/>
          <w:b w:val="0"/>
          <w:bCs w:val="0"/>
          <w:i/>
          <w:smallCaps w:val="0"/>
          <w:snapToGrid/>
          <w:spacing w:val="0"/>
          <w:w w:val="100"/>
          <w:position w:val="0"/>
          <w:sz w:val="28"/>
          <w:szCs w:val="22"/>
          <w:cs w:val="0"/>
        </w:rPr>
        <w:t xml:space="preserve"> </w:t>
      </w:r>
    </w:p>
    <w:p>
      <w:pPr>
        <w:spacing w:before="0" w:beforeAutospacing="0" w:after="0" w:afterAutospacing="0" w:line="240" w:lineRule="auto"/>
        <w:ind w:left="0" w:right="0" w:firstLine="426"/>
        <w:jc w:val="both"/>
        <w:rPr>
          <w:rFonts w:ascii="Times New Roman" w:hAnsi="Times New Roman"/>
          <w:b/>
          <w:bCs/>
          <w:smallCaps w:val="0"/>
          <w:snapToGrid/>
          <w:spacing w:val="0"/>
          <w:w w:val="100"/>
          <w:position w:val="0"/>
          <w:sz w:val="28"/>
          <w:szCs w:val="22"/>
          <w:cs w:val="0"/>
        </w:rPr>
      </w:pPr>
      <w:r>
        <w:rPr>
          <w:rFonts w:ascii="Times New Roman" w:hAnsi="Times New Roman"/>
          <w:b/>
          <w:bCs/>
          <w:smallCaps w:val="0"/>
          <w:snapToGrid/>
          <w:spacing w:val="0"/>
          <w:w w:val="100"/>
          <w:position w:val="0"/>
          <w:sz w:val="28"/>
          <w:szCs w:val="22"/>
          <w:cs w:val="0"/>
        </w:rPr>
        <w:t>1.  Загальні положення</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Реалізація міжнародної грантової ініціативи «Молодіжний фонд кліматичних дій» у 2026-2027 роках Броварської міської територіальної громади (далі – Молодіжний фонд кліматичних дій) здійснюється відповідно до Законів України «Про основні засади молодіжної політики», «Про охорону навколишнього природнього середовища», Грантовою угодою між виконавчим комітетом Броварської міської ради Броварського району Київської області та Молодіжним фондом кліматичних дій (Youth Climate Action Fund) та цим Положенням.</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0" w:beforeAutospacing="0" w:after="0" w:afterAutospacing="0" w:line="240" w:lineRule="auto"/>
        <w:ind w:left="0" w:right="0" w:firstLine="426"/>
        <w:jc w:val="both"/>
        <w:rPr>
          <w:rFonts w:ascii="Times New Roman" w:hAnsi="Times New Roman"/>
          <w:b/>
          <w:bCs/>
          <w:smallCaps w:val="0"/>
          <w:snapToGrid/>
          <w:spacing w:val="0"/>
          <w:w w:val="100"/>
          <w:position w:val="0"/>
          <w:sz w:val="28"/>
          <w:szCs w:val="22"/>
          <w:cs w:val="0"/>
        </w:rPr>
      </w:pPr>
      <w:r>
        <w:rPr>
          <w:rFonts w:ascii="Times New Roman" w:hAnsi="Times New Roman"/>
          <w:b/>
          <w:bCs/>
          <w:smallCaps w:val="0"/>
          <w:snapToGrid/>
          <w:spacing w:val="0"/>
          <w:w w:val="100"/>
          <w:position w:val="0"/>
          <w:sz w:val="28"/>
          <w:szCs w:val="22"/>
          <w:cs w:val="0"/>
        </w:rPr>
        <w:t>2.  Основні завдання та права Організаційного комітету</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Організаційний комітет в рамках міжнародної грантової ініціативи Молодіжного фонду кліматичних дій (далі – Комітет) керується у своїй роботі Положенням про конкурс та виконує наступні повноваження:</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2.1.</w:t>
      </w:r>
      <w:r>
        <w:rPr>
          <w:rFonts w:ascii="Times New Roman" w:hAnsi="Times New Roman"/>
          <w:b w:val="0"/>
          <w:bCs w:val="0"/>
          <w:smallCaps w:val="0"/>
          <w:snapToGrid/>
          <w:spacing w:val="0"/>
          <w:w w:val="100"/>
          <w:position w:val="0"/>
          <w:sz w:val="28"/>
          <w:szCs w:val="22"/>
          <w:cs w:val="0"/>
        </w:rPr>
        <w:t xml:space="preserve"> </w:t>
      </w:r>
      <w:r>
        <w:rPr>
          <w:rFonts w:ascii="Times New Roman" w:hAnsi="Times New Roman"/>
          <w:b w:val="0"/>
          <w:bCs w:val="0"/>
          <w:smallCaps w:val="0"/>
          <w:snapToGrid/>
          <w:spacing w:val="0"/>
          <w:w w:val="100"/>
          <w:position w:val="0"/>
          <w:sz w:val="28"/>
          <w:szCs w:val="22"/>
          <w:cs w:val="0"/>
        </w:rPr>
        <w:t>готує оголошення на конкурс мікрогрантових проєктів кліматичних дій;</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2.2. постійно співпрацює з коучем із Молодіжного фонду кліматичних дій щодо належної реалізації даної ініціативи;</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2.3. надає роз’яснення потенційним учасникам конкурсу щодо заповнення заявок;</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2.4.</w:t>
      </w:r>
      <w:r>
        <w:rPr>
          <w:rFonts w:ascii="Times New Roman" w:hAnsi="Times New Roman"/>
          <w:b w:val="0"/>
          <w:bCs w:val="0"/>
          <w:smallCaps w:val="0"/>
          <w:snapToGrid/>
          <w:spacing w:val="0"/>
          <w:w w:val="100"/>
          <w:position w:val="0"/>
          <w:sz w:val="28"/>
          <w:szCs w:val="22"/>
          <w:cs w:val="0"/>
        </w:rPr>
        <w:t xml:space="preserve"> </w:t>
      </w:r>
      <w:r>
        <w:rPr>
          <w:rFonts w:ascii="Times New Roman" w:hAnsi="Times New Roman"/>
          <w:b w:val="0"/>
          <w:bCs w:val="0"/>
          <w:smallCaps w:val="0"/>
          <w:snapToGrid/>
          <w:spacing w:val="0"/>
          <w:w w:val="100"/>
          <w:position w:val="0"/>
          <w:sz w:val="28"/>
          <w:szCs w:val="22"/>
          <w:cs w:val="0"/>
        </w:rPr>
        <w:t>залучає експертів для проведення навчань з розробки проєктів кліматичних дій (за потребою);</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2.5. приймає заявки на конкурс;</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2.6. повідомляє Молодіжний фонд кліматичних дій про початок конкурсу та приймання заявок;</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2.7. опрацьовує пропозиції разом з коучем із Молодіжного фонду кліматичних дій на їх відповідність умовам конкурсу;</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2.8. передає отримані заявки комісії з відбору для проведення оцінювання;</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2.9. оприлюднює результати конкурсу на офіційних ресурсах Броварської міської територіальної громади та передає відповідну інформацію управлінню централізованого бухгалтерського обліку виконавчого комітету Броварської міської ради</w:t>
      </w:r>
      <w:r>
        <w:rPr>
          <w:rFonts w:ascii="Times New Roman" w:hAnsi="Times New Roman"/>
          <w:b w:val="0"/>
          <w:bCs w:val="0"/>
          <w:smallCaps w:val="0"/>
          <w:snapToGrid/>
          <w:spacing w:val="0"/>
          <w:w w:val="100"/>
          <w:position w:val="0"/>
          <w:sz w:val="28"/>
          <w:szCs w:val="22"/>
          <w:cs w:val="0"/>
        </w:rPr>
        <w:t xml:space="preserve"> </w:t>
      </w:r>
      <w:r>
        <w:rPr>
          <w:rFonts w:ascii="Times New Roman" w:hAnsi="Times New Roman"/>
          <w:b w:val="0"/>
          <w:bCs w:val="0"/>
          <w:smallCaps w:val="0"/>
          <w:snapToGrid/>
          <w:spacing w:val="0"/>
          <w:w w:val="100"/>
          <w:position w:val="0"/>
          <w:sz w:val="28"/>
          <w:szCs w:val="22"/>
          <w:cs w:val="0"/>
        </w:rPr>
        <w:t>Броварського району Київської області для здійснення фінансування;</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2.1</w:t>
      </w:r>
      <w:r>
        <w:rPr>
          <w:rFonts w:ascii="Times New Roman" w:hAnsi="Times New Roman"/>
          <w:b w:val="0"/>
          <w:bCs w:val="0"/>
          <w:smallCaps w:val="0"/>
          <w:snapToGrid/>
          <w:spacing w:val="0"/>
          <w:w w:val="100"/>
          <w:position w:val="0"/>
          <w:sz w:val="28"/>
          <w:szCs w:val="22"/>
          <w:cs w:val="0"/>
        </w:rPr>
        <w:t>0</w:t>
      </w:r>
      <w:r>
        <w:rPr>
          <w:rFonts w:ascii="Times New Roman" w:hAnsi="Times New Roman"/>
          <w:b w:val="0"/>
          <w:bCs w:val="0"/>
          <w:smallCaps w:val="0"/>
          <w:snapToGrid/>
          <w:spacing w:val="0"/>
          <w:w w:val="100"/>
          <w:position w:val="0"/>
          <w:sz w:val="28"/>
          <w:szCs w:val="22"/>
          <w:cs w:val="0"/>
        </w:rPr>
        <w:t>. проводить моніторинг реалізації проєктів та використання грантових ресурсів;</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2.1</w:t>
      </w:r>
      <w:r>
        <w:rPr>
          <w:rFonts w:ascii="Times New Roman" w:hAnsi="Times New Roman"/>
          <w:b w:val="0"/>
          <w:bCs w:val="0"/>
          <w:smallCaps w:val="0"/>
          <w:snapToGrid/>
          <w:spacing w:val="0"/>
          <w:w w:val="100"/>
          <w:position w:val="0"/>
          <w:sz w:val="28"/>
          <w:szCs w:val="22"/>
          <w:cs w:val="0"/>
        </w:rPr>
        <w:t>1</w:t>
      </w:r>
      <w:r>
        <w:rPr>
          <w:rFonts w:ascii="Times New Roman" w:hAnsi="Times New Roman"/>
          <w:b w:val="0"/>
          <w:bCs w:val="0"/>
          <w:smallCaps w:val="0"/>
          <w:snapToGrid/>
          <w:spacing w:val="0"/>
          <w:w w:val="100"/>
          <w:position w:val="0"/>
          <w:sz w:val="28"/>
          <w:szCs w:val="22"/>
          <w:cs w:val="0"/>
        </w:rPr>
        <w:t>. забезпечує висвітлення інформації щодо реалізованих проєктів на офіційних джерелах Броварської міської територіальної громади;</w:t>
      </w:r>
    </w:p>
    <w:p>
      <w:pPr>
        <w:tabs>
          <w:tab w:val="left" w:pos="567"/>
        </w:tabs>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2.1</w:t>
      </w:r>
      <w:r>
        <w:rPr>
          <w:rFonts w:ascii="Times New Roman" w:hAnsi="Times New Roman"/>
          <w:b w:val="0"/>
          <w:bCs w:val="0"/>
          <w:smallCaps w:val="0"/>
          <w:snapToGrid/>
          <w:spacing w:val="0"/>
          <w:w w:val="100"/>
          <w:position w:val="0"/>
          <w:sz w:val="28"/>
          <w:szCs w:val="22"/>
          <w:cs w:val="0"/>
        </w:rPr>
        <w:t>2</w:t>
      </w:r>
      <w:r>
        <w:rPr>
          <w:rFonts w:ascii="Times New Roman" w:hAnsi="Times New Roman"/>
          <w:b w:val="0"/>
          <w:bCs w:val="0"/>
          <w:smallCaps w:val="0"/>
          <w:snapToGrid/>
          <w:spacing w:val="0"/>
          <w:w w:val="100"/>
          <w:position w:val="0"/>
          <w:sz w:val="28"/>
          <w:szCs w:val="22"/>
          <w:cs w:val="0"/>
        </w:rPr>
        <w:t>. готує та подає фінальний звіт про реалізовані проєкти та використання коштів до Молодіжного фонду кліматичних дій.</w:t>
      </w:r>
    </w:p>
    <w:p>
      <w:pPr>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2.2.</w:t>
      </w:r>
      <w:r>
        <w:rPr>
          <w:rFonts w:ascii="Times New Roman" w:hAnsi="Times New Roman"/>
          <w:b w:val="0"/>
          <w:bCs w:val="0"/>
          <w:smallCaps w:val="0"/>
          <w:snapToGrid/>
          <w:spacing w:val="0"/>
          <w:w w:val="100"/>
          <w:position w:val="0"/>
          <w:sz w:val="28"/>
          <w:szCs w:val="22"/>
          <w:cs w:val="0"/>
        </w:rPr>
        <w:t xml:space="preserve"> </w:t>
      </w:r>
      <w:r>
        <w:rPr>
          <w:rFonts w:ascii="Times New Roman" w:hAnsi="Times New Roman"/>
          <w:b w:val="0"/>
          <w:bCs w:val="0"/>
          <w:smallCaps w:val="0"/>
          <w:snapToGrid/>
          <w:spacing w:val="0"/>
          <w:w w:val="100"/>
          <w:position w:val="0"/>
          <w:sz w:val="28"/>
          <w:szCs w:val="22"/>
          <w:cs w:val="0"/>
        </w:rPr>
        <w:t>Комітет має право:</w:t>
      </w:r>
    </w:p>
    <w:p>
      <w:pPr>
        <w:tabs>
          <w:tab w:val="left" w:pos="425"/>
        </w:tabs>
        <w:spacing w:beforeAutospacing="0" w:after="0" w:afterAutospacing="0" w:line="240" w:lineRule="auto"/>
        <w:ind w:left="0" w:firstLine="425"/>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2.2.1.</w:t>
      </w:r>
      <w:r>
        <w:rPr>
          <w:rFonts w:ascii="Times New Roman" w:hAnsi="Times New Roman"/>
          <w:b w:val="0"/>
          <w:bCs w:val="0"/>
          <w:smallCaps w:val="0"/>
          <w:snapToGrid/>
          <w:spacing w:val="0"/>
          <w:w w:val="100"/>
          <w:position w:val="0"/>
          <w:sz w:val="28"/>
          <w:szCs w:val="22"/>
          <w:cs w:val="0"/>
        </w:rPr>
        <w:t xml:space="preserve"> </w:t>
      </w:r>
      <w:r>
        <w:rPr>
          <w:rFonts w:ascii="Times New Roman" w:hAnsi="Times New Roman"/>
          <w:b w:val="0"/>
          <w:bCs w:val="0"/>
          <w:smallCaps w:val="0"/>
          <w:snapToGrid/>
          <w:spacing w:val="0"/>
          <w:w w:val="100"/>
          <w:position w:val="0"/>
          <w:sz w:val="28"/>
          <w:szCs w:val="22"/>
          <w:cs w:val="0"/>
        </w:rPr>
        <w:t>залучати представників виконавчих органів міської ради, підприємств, установ та організацій (за погодженням з їх керівниками), експертів для розгляду питань, що належать до їх компетенції тощо;</w:t>
      </w:r>
    </w:p>
    <w:p>
      <w:pPr>
        <w:tabs>
          <w:tab w:val="left" w:pos="425"/>
          <w:tab w:val="left" w:pos="1134"/>
        </w:tabs>
        <w:spacing w:beforeAutospacing="0" w:after="0" w:afterAutospacing="0" w:line="240" w:lineRule="auto"/>
        <w:ind w:left="0" w:firstLine="426"/>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2.2.2.</w:t>
        <w:tab/>
        <w:t>отримувати в установленому порядку від виконавчих органів міської ради, підприємств, установ та організацій громади всіх форм власності документи та інші матеріали, необхідні для виконання покладених завдань.</w:t>
      </w:r>
    </w:p>
    <w:p>
      <w:pPr>
        <w:spacing w:beforeAutospacing="0" w:after="0" w:afterAutospacing="0" w:line="240" w:lineRule="auto"/>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spacing w:beforeAutospacing="0" w:after="0" w:afterAutospacing="0" w:line="240" w:lineRule="auto"/>
        <w:jc w:val="both"/>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 </w:t>
      </w:r>
    </w:p>
    <w:p>
      <w:pPr>
        <w:tabs>
          <w:tab w:val="left" w:pos="7088"/>
        </w:tabs>
        <w:spacing w:beforeAutospacing="0" w:after="0" w:afterAutospacing="0" w:line="240" w:lineRule="auto"/>
        <w:rPr>
          <w:rFonts w:ascii="Times New Roman" w:hAnsi="Times New Roman"/>
          <w:b w:val="0"/>
          <w:bCs w:val="0"/>
          <w:smallCaps w:val="0"/>
          <w:snapToGrid/>
          <w:spacing w:val="0"/>
          <w:w w:val="100"/>
          <w:position w:val="0"/>
          <w:sz w:val="28"/>
          <w:szCs w:val="22"/>
          <w:cs w:val="0"/>
        </w:rPr>
      </w:pPr>
      <w:r>
        <w:rPr>
          <w:rFonts w:ascii="Times New Roman" w:hAnsi="Times New Roman"/>
          <w:b w:val="0"/>
          <w:bCs w:val="0"/>
          <w:smallCaps w:val="0"/>
          <w:snapToGrid/>
          <w:spacing w:val="0"/>
          <w:w w:val="100"/>
          <w:position w:val="0"/>
          <w:sz w:val="28"/>
          <w:szCs w:val="22"/>
          <w:cs w:val="0"/>
        </w:rPr>
        <w:t xml:space="preserve">Міський голова </w:t>
        <w:tab/>
      </w:r>
      <w:r>
        <w:rPr>
          <w:rFonts w:ascii="Times New Roman" w:hAnsi="Times New Roman"/>
          <w:b w:val="0"/>
          <w:bCs w:val="0"/>
          <w:smallCaps w:val="0"/>
          <w:snapToGrid/>
          <w:spacing w:val="0"/>
          <w:w w:val="100"/>
          <w:position w:val="0"/>
          <w:sz w:val="28"/>
          <w:szCs w:val="22"/>
          <w:cs w:val="0"/>
        </w:rPr>
        <w:t xml:space="preserve">  </w:t>
      </w:r>
      <w:r>
        <w:rPr>
          <w:rFonts w:ascii="Times New Roman" w:hAnsi="Times New Roman"/>
          <w:b w:val="0"/>
          <w:bCs w:val="0"/>
          <w:smallCaps w:val="0"/>
          <w:snapToGrid/>
          <w:spacing w:val="0"/>
          <w:w w:val="100"/>
          <w:position w:val="0"/>
          <w:sz w:val="28"/>
          <w:szCs w:val="22"/>
          <w:cs w:val="0"/>
        </w:rPr>
        <w:t>Ігор САПОЖКО</w:t>
      </w:r>
    </w:p>
    <w:p>
      <w:pPr>
        <w:spacing w:beforeAutospacing="0" w:after="0" w:afterAutospacing="0"/>
        <w:ind w:left="142"/>
        <w:jc w:val="both"/>
        <w:rPr>
          <w:rFonts w:ascii="Times New Roman" w:hAnsi="Times New Roman"/>
          <w:iCs/>
          <w:sz w:val="28"/>
          <w:szCs w:val="28"/>
        </w:rPr>
      </w:pPr>
      <w:permEnd w:id="0"/>
    </w:p>
    <w:sectPr>
      <w:headerReference w:type="default" r:id="rId4"/>
      <w:footerReference w:type="default" r:id="rId5"/>
      <w:type w:val="nextPage"/>
      <w:pgSz w:w="11906" w:h="16838" w:code="0"/>
      <w:pgMar w:top="1135" w:right="707" w:bottom="993" w:left="1701" w:header="708" w:footer="708"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sz w:val="24"/>
        <w:szCs w:val="24"/>
        <w:lang w:val="ru-RU"/>
      </w:rPr>
      <w:t>#</w:t>
    </w:r>
    <w:r>
      <w:rPr>
        <w:rFonts w:ascii="Times New Roman" w:hAnsi="Times New Roman"/>
        <w:sz w:val="24"/>
        <w:szCs w:val="24"/>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819"/>
        <w:tab w:val="right" w:pos="9639"/>
      </w:tabs>
      <w:spacing w:beforeAutospacing="0" w:after="0" w:afterAutospacing="0" w:line="240" w:lineRule="auto"/>
      <w:jc w:val="right"/>
      <w:rPr>
        <w:rFonts w:ascii="Times New Roman" w:hAnsi="Times New Roman"/>
        <w:color w:val="7F7F7F"/>
        <w:sz w:val="24"/>
        <w:szCs w:val="24"/>
        <w:lang w:val="hr-HR" w:eastAsia="ru-RU"/>
      </w:rPr>
    </w:pPr>
    <w:bookmarkStart w:id="1" w:name="_Hlk109737539"/>
    <w:r>
      <w:rPr>
        <w:rFonts w:ascii="Times New Roman" w:hAnsi="Times New Roman"/>
        <w:color w:val="7F7F7F" w:themeColor="text1" w:themeTint="80"/>
        <w:sz w:val="24"/>
        <w:szCs w:val="24"/>
        <w:lang w:eastAsia="ru-RU"/>
      </w:rPr>
      <w:t>Продовження додатку</w:t>
    </w:r>
  </w:p>
  <w:p>
    <w:pPr>
      <w:pStyle w:val="Header"/>
      <w:rPr>
        <w:rFonts w:ascii="Times New Roman" w:hAnsi="Times New Roman"/>
        <w:sz w:val="24"/>
        <w:szCs w:val="24"/>
      </w:rPr>
    </w:pPr>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sz w:val="22"/>
        <w:szCs w:val="22"/>
        <w:lang w:val="uk-UA" w:eastAsia="uk-UA" w:bidi="ar-SA"/>
      </w:rPr>
    </w:rPrDefault>
    <w:pPrDefault>
      <w:pPr>
        <w:keepNext w:val="0"/>
        <w:keepLines w:val="0"/>
        <w:pageBreakBefore w:val="0"/>
        <w:widowControl/>
        <w:suppressLineNumbers w:val="0"/>
        <w:shd w:val="clear" w:color="auto" w:fill="auto"/>
        <w:suppressAutoHyphens w:val="0"/>
        <w:bidi w:val="0"/>
        <w:spacing w:before="0" w:beforeAutospacing="0" w:after="200" w:afterAutospacing="0" w:line="276" w:lineRule="auto"/>
        <w:ind w:left="0" w:right="0" w:firstLine="0"/>
        <w:contextualSpacing w:val="0"/>
        <w:jc w:val="left"/>
        <w:outlineLvl w:val="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tyle>
  <w:style w:type="paragraph" w:styleId="Header">
    <w:name w:val="header"/>
    <w:basedOn w:val="Normal"/>
    <w:link w:val="a"/>
    <w:pPr>
      <w:tabs>
        <w:tab w:val="center" w:pos="4677"/>
        <w:tab w:val="right" w:pos="9355"/>
      </w:tabs>
      <w:spacing w:beforeAutospacing="0" w:after="0" w:afterAutospacing="0" w:line="240" w:lineRule="auto"/>
    </w:pPr>
  </w:style>
  <w:style w:type="paragraph" w:styleId="Footer">
    <w:name w:val="footer"/>
    <w:basedOn w:val="Normal"/>
    <w:link w:val="a0"/>
    <w:pPr>
      <w:tabs>
        <w:tab w:val="center" w:pos="4677"/>
        <w:tab w:val="right" w:pos="9355"/>
      </w:tabs>
      <w:spacing w:beforeAutospacing="0" w:after="0" w:afterAutospacing="0" w:line="240" w:lineRule="auto"/>
    </w:pPr>
  </w:style>
  <w:style w:type="character" w:styleId="LineNumber">
    <w:name w:val="line number"/>
    <w:basedOn w:val="DefaultParagraphFont"/>
    <w:semiHidden/>
  </w:style>
  <w:style w:type="character" w:styleId="Hyperlink">
    <w:name w:val="Hyperlink"/>
    <w:rPr>
      <w:color w:val="0000FF"/>
      <w:u w:val="single"/>
    </w:rPr>
  </w:style>
  <w:style w:type="character" w:customStyle="1" w:styleId="a">
    <w:name w:val="Верхний колонтитул Знак"/>
    <w:basedOn w:val="DefaultParagraphFont"/>
    <w:link w:val="Header"/>
  </w:style>
  <w:style w:type="character" w:customStyle="1" w:styleId="a0">
    <w:name w:val="Нижний колонтитул Знак"/>
    <w:basedOn w:val="DefaultParagraphFont"/>
    <w:link w:val="Foote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25.0002</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ASKOD</cp:lastModifiedBy>
  <cp:revision>29</cp:revision>
  <dcterms:created xsi:type="dcterms:W3CDTF">2021-08-31T06:42:00Z</dcterms:created>
  <dcterms:modified xsi:type="dcterms:W3CDTF">2026-09-18T07:58:00Z</dcterms:modified>
</cp:coreProperties>
</file>