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0" w:type="auto"/>
        <w:tblLook w:val="04A0"/>
      </w:tblPr>
      <w:tblGrid>
        <w:gridCol w:w="3663"/>
        <w:gridCol w:w="3537"/>
      </w:tblGrid>
      <w:tr>
        <w:tblPrEx>
          <w:tblW w:w="0" w:type="auto"/>
          <w:tblLook w:val="04A0"/>
        </w:tblPrEx>
        <w:tc>
          <w:tcPr>
            <w:tcW w:w="5213" w:type="dxa"/>
          </w:tcPr>
          <w:p>
            <w:pPr>
              <w:tabs>
                <w:tab w:val="left" w:pos="5970"/>
              </w:tabs>
              <w:spacing w:beforeAutospacing="0" w:after="0" w:afterAutospacing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85" w:type="dxa"/>
          </w:tcPr>
          <w:p>
            <w:pPr>
              <w:pStyle w:val="docdata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ab/>
              <w:t>ПРОЄКТ</w:t>
              <w:tab/>
            </w: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ПВ-1161</w:t>
            </w:r>
          </w:p>
          <w:p>
            <w:pPr>
              <w:pStyle w:val="docdata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>
            <w:pPr>
              <w:pStyle w:val="docdata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en-US"/>
              </w:rPr>
            </w:pPr>
            <w:permStart w:id="0" w:edGrp="everyone"/>
            <w:r>
              <w:rPr>
                <w:color w:val="000000"/>
                <w:sz w:val="28"/>
                <w:szCs w:val="28"/>
              </w:rPr>
              <w:t>Додаток</w:t>
            </w:r>
            <w:r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smallCaps w:val="0"/>
                <w:snapToGrid/>
                <w:color w:val="000000"/>
                <w:spacing w:val="0"/>
                <w:w w:val="100"/>
                <w:position w:val="0"/>
                <w:sz w:val="28"/>
                <w:szCs w:val="22"/>
                <w:cs w:val="0"/>
                <w:lang w:val="en-US"/>
              </w:rPr>
              <w:t>2</w:t>
            </w:r>
          </w:p>
          <w:p>
            <w:pPr>
              <w:spacing w:beforeAutospacing="0" w:afterAutospacing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  <w:lang w:eastAsia="ru-RU"/>
              </w:rPr>
              <w:t>П</w:t>
            </w:r>
            <w:r>
              <w:rPr>
                <w:rFonts w:ascii="Times New Roman" w:hAnsi="Times New Roman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lang w:eastAsia="ru-RU"/>
              </w:rPr>
              <w:t>орядку</w:t>
            </w:r>
            <w:r>
              <w:rPr>
                <w:rFonts w:ascii="Times New Roman" w:hAnsi="Times New Roman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  <w:lang w:eastAsia="ru-RU"/>
              </w:rPr>
              <w:t xml:space="preserve"> проведення конкурсу в рамках міжнародної грантової ініціативи «Молодіжний фонд кліматичних дій»</w:t>
            </w:r>
          </w:p>
          <w:p>
            <w:pPr>
              <w:tabs>
                <w:tab w:val="left" w:pos="5970"/>
              </w:tabs>
              <w:spacing w:beforeAutospacing="0" w:after="0" w:afterAutospacing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ermEnd w:id="0"/>
          </w:p>
        </w:tc>
      </w:tr>
    </w:tbl>
    <w:p>
      <w:pPr>
        <w:spacing w:beforeAutospacing="0" w:after="0" w:afterAutospacing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>
      <w:pPr>
        <w:spacing w:beforeAutospacing="0" w:after="0" w:afterAutospacing="0" w:line="240" w:lineRule="auto"/>
        <w:ind w:left="4680"/>
        <w:jc w:val="both"/>
        <w:rPr>
          <w:rFonts w:ascii="Times New Roman" w:hAnsi="Times New Roman"/>
          <w:sz w:val="28"/>
          <w:szCs w:val="28"/>
          <w:lang w:eastAsia="ru-RU"/>
        </w:rPr>
      </w:pPr>
    </w:p>
    <w:p>
      <w:pPr>
        <w:spacing w:beforeAutospacing="0" w:after="0" w:afterAutospacing="0" w:line="240" w:lineRule="auto"/>
        <w:jc w:val="center"/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permStart w:id="1" w:edGrp="everyone"/>
      <w:r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Критерії оцінки конкурсних пропозицій Претендентів в рамках міжнародної грантової ініціативи «Молодіжний фонд кліматичних дій» </w:t>
      </w:r>
    </w:p>
    <w:p>
      <w:pPr>
        <w:spacing w:beforeAutospacing="0" w:after="0" w:afterAutospacing="0" w:line="240" w:lineRule="auto"/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/>
          <w:bCs/>
          <w:smallCaps w:val="0"/>
          <w:snapToGrid/>
          <w:spacing w:val="0"/>
          <w:w w:val="100"/>
          <w:position w:val="0"/>
          <w:sz w:val="28"/>
          <w:szCs w:val="22"/>
          <w:cs w:val="0"/>
        </w:rPr>
        <w:t xml:space="preserve"> </w:t>
      </w:r>
    </w:p>
    <w:tbl>
      <w:tblPr>
        <w:tblW w:w="9634" w:type="dxa"/>
        <w:tblInd w:w="0" w:type="dxa"/>
        <w:shd w:val="clear" w:color="auto" w:fill="FFFFFF"/>
        <w:tblLayout w:type="fixed"/>
        <w:tblLook w:val="0000"/>
      </w:tblPr>
      <w:tblGrid>
        <w:gridCol w:w="704"/>
        <w:gridCol w:w="2358"/>
        <w:gridCol w:w="1023"/>
        <w:gridCol w:w="5549"/>
      </w:tblGrid>
      <w:tr>
        <w:tblPrEx>
          <w:tblW w:w="9634" w:type="dxa"/>
          <w:tblInd w:w="0" w:type="dxa"/>
          <w:shd w:val="clear" w:color="auto" w:fill="FFFFFF"/>
          <w:tblLayout w:type="fixed"/>
          <w:tblLook w:val="000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ind w:left="338" w:hanging="338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№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Назва критерію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Макс. бал</w:t>
            </w:r>
          </w:p>
        </w:tc>
        <w:tc>
          <w:tcPr>
            <w:tcW w:w="5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/>
                <w:bCs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Критерії оцінки</w:t>
            </w:r>
          </w:p>
        </w:tc>
      </w:tr>
      <w:tr>
        <w:tblPrEx>
          <w:tblW w:w="9634" w:type="dxa"/>
          <w:tblInd w:w="0" w:type="dxa"/>
          <w:shd w:val="clear" w:color="auto" w:fill="FFFFFF"/>
          <w:tblLayout w:type="fixed"/>
          <w:tblLook w:val="000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ind w:left="338" w:hanging="338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1.</w:t>
              <w:tab/>
              <w:t xml:space="preserve">  </w:t>
            </w:r>
          </w:p>
        </w:tc>
        <w:tc>
          <w:tcPr>
            <w:tcW w:w="235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Значення для місцевого   кліматичного плану дій</w:t>
            </w:r>
          </w:p>
        </w:tc>
        <w:tc>
          <w:tcPr>
            <w:tcW w:w="102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20</w:t>
            </w:r>
          </w:p>
        </w:tc>
        <w:tc>
          <w:tcPr>
            <w:tcW w:w="5549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0–5 Не враховує кліматичні пріоритети міста.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6–10 Розглядає кліматичні пріоритети, але не має чіткого фокусу.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11–20 Безпосередньо розглядає кліматичні пріоритети з чітким фокусом.</w:t>
            </w:r>
          </w:p>
        </w:tc>
      </w:tr>
      <w:tr>
        <w:tblPrEx>
          <w:tblW w:w="9634" w:type="dxa"/>
          <w:tblInd w:w="0" w:type="dxa"/>
          <w:shd w:val="clear" w:color="auto" w:fill="FFFFFF"/>
          <w:tblLayout w:type="fixed"/>
          <w:tblLook w:val="000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ind w:left="338" w:hanging="338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2.</w:t>
              <w:tab/>
              <w:t xml:space="preserve">  </w:t>
            </w:r>
          </w:p>
        </w:tc>
        <w:tc>
          <w:tcPr>
            <w:tcW w:w="235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Роль молоді</w:t>
            </w:r>
          </w:p>
        </w:tc>
        <w:tc>
          <w:tcPr>
            <w:tcW w:w="102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20</w:t>
            </w:r>
          </w:p>
        </w:tc>
        <w:tc>
          <w:tcPr>
            <w:tcW w:w="5549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0–5 Не пояснює роль молоді.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6–10 Згадує молодь, але не дає чіткого опису   того, як молодь буде керувати проєктом.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11–20 Чітко описується, як молодь буде керувати проєктом, включаючи   їхні ролі та обов'язки.</w:t>
            </w:r>
          </w:p>
        </w:tc>
      </w:tr>
      <w:tr>
        <w:tblPrEx>
          <w:tblW w:w="9634" w:type="dxa"/>
          <w:tblInd w:w="0" w:type="dxa"/>
          <w:shd w:val="clear" w:color="auto" w:fill="FFFFFF"/>
          <w:tblLayout w:type="fixed"/>
          <w:tblLook w:val="000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ind w:left="338" w:hanging="338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3.</w:t>
              <w:tab/>
              <w:t xml:space="preserve">  </w:t>
            </w:r>
          </w:p>
        </w:tc>
        <w:tc>
          <w:tcPr>
            <w:tcW w:w="235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Інновації</w:t>
            </w:r>
          </w:p>
        </w:tc>
        <w:tc>
          <w:tcPr>
            <w:tcW w:w="102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10</w:t>
            </w:r>
          </w:p>
        </w:tc>
        <w:tc>
          <w:tcPr>
            <w:tcW w:w="5549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0–3 Не виглядає новим чи експериментальним.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4-6 Має деякі нові та експериментальні   елементи.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7–10 Підхід до проєкту є новим і експериментальним.</w:t>
            </w:r>
          </w:p>
        </w:tc>
      </w:tr>
      <w:tr>
        <w:tblPrEx>
          <w:tblW w:w="9634" w:type="dxa"/>
          <w:tblInd w:w="0" w:type="dxa"/>
          <w:shd w:val="clear" w:color="auto" w:fill="FFFFFF"/>
          <w:tblLayout w:type="fixed"/>
          <w:tblLook w:val="000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ind w:left="338" w:hanging="338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4.</w:t>
              <w:tab/>
              <w:t xml:space="preserve">  </w:t>
            </w:r>
          </w:p>
        </w:tc>
        <w:tc>
          <w:tcPr>
            <w:tcW w:w="235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Реалістичність і планування</w:t>
            </w:r>
          </w:p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  </w:t>
            </w:r>
          </w:p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 </w:t>
            </w:r>
          </w:p>
        </w:tc>
        <w:tc>
          <w:tcPr>
            <w:tcW w:w="102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20</w:t>
            </w:r>
          </w:p>
        </w:tc>
        <w:tc>
          <w:tcPr>
            <w:tcW w:w="5549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0–5 Не пояснює, як проєкт можна реалістично завершити до 15 квітня   2027 року.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 xml:space="preserve">6–10 Представляє план завершення проєкту до 15 квітня 2027 року, але   не має чіткого фокусу або має значні ризики. 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11–20 Представляє чіткий реалістичний план завершення проєкту до 15   квітня 2027 року.</w:t>
            </w:r>
          </w:p>
        </w:tc>
      </w:tr>
      <w:tr>
        <w:tblPrEx>
          <w:tblW w:w="9634" w:type="dxa"/>
          <w:tblInd w:w="0" w:type="dxa"/>
          <w:shd w:val="clear" w:color="auto" w:fill="FFFFFF"/>
          <w:tblLayout w:type="fixed"/>
          <w:tblLook w:val="000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ind w:left="338" w:hanging="338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5.</w:t>
              <w:tab/>
              <w:t xml:space="preserve">  </w:t>
            </w:r>
          </w:p>
        </w:tc>
        <w:tc>
          <w:tcPr>
            <w:tcW w:w="235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Бюджет</w:t>
            </w:r>
          </w:p>
        </w:tc>
        <w:tc>
          <w:tcPr>
            <w:tcW w:w="102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10</w:t>
            </w:r>
          </w:p>
        </w:tc>
        <w:tc>
          <w:tcPr>
            <w:tcW w:w="5549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0–3 Бюджет не визначений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4–6 Бюджет викликає питання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7-10 Пропонує чіткий бюджет</w:t>
            </w:r>
          </w:p>
        </w:tc>
      </w:tr>
      <w:tr>
        <w:tblPrEx>
          <w:tblW w:w="9634" w:type="dxa"/>
          <w:tblInd w:w="0" w:type="dxa"/>
          <w:shd w:val="clear" w:color="auto" w:fill="FFFFFF"/>
          <w:tblLayout w:type="fixed"/>
          <w:tblLook w:val="0000"/>
        </w:tblPrEx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ind w:left="338" w:hanging="338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6.</w:t>
              <w:tab/>
              <w:t xml:space="preserve">  </w:t>
            </w:r>
          </w:p>
        </w:tc>
        <w:tc>
          <w:tcPr>
            <w:tcW w:w="2358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Вплив</w:t>
            </w:r>
          </w:p>
        </w:tc>
        <w:tc>
          <w:tcPr>
            <w:tcW w:w="102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jc w:val="center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30</w:t>
            </w:r>
          </w:p>
        </w:tc>
        <w:tc>
          <w:tcPr>
            <w:tcW w:w="5549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0–5 Відсутність пояснень впливу.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6–10 Розглядає вплив, але не має чіткого фокусу.</w:t>
            </w:r>
          </w:p>
          <w:p>
            <w:pPr>
              <w:spacing w:beforeAutospacing="0" w:after="0" w:afterAutospacing="0" w:line="240" w:lineRule="auto"/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</w:pPr>
            <w:r>
              <w:rPr>
                <w:rFonts w:ascii="Times New Roman" w:hAnsi="Times New Roman"/>
                <w:b w:val="0"/>
                <w:bCs w:val="0"/>
                <w:smallCaps w:val="0"/>
                <w:snapToGrid/>
                <w:spacing w:val="0"/>
                <w:w w:val="100"/>
                <w:position w:val="0"/>
                <w:sz w:val="28"/>
                <w:szCs w:val="22"/>
                <w:cs w:val="0"/>
              </w:rPr>
              <w:t>11–20 Чітке пояснення впливу з чітким фокусом. Включає принаймні один   вимірюваний продукт діяльності (безпосередній   результат) і один вимірюваний очікуваний ефект.</w:t>
            </w:r>
          </w:p>
        </w:tc>
      </w:tr>
    </w:tbl>
    <w:p>
      <w:pPr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</w:p>
    <w:p>
      <w:pPr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</w:p>
    <w:p>
      <w:pPr>
        <w:spacing w:beforeAutospacing="0" w:after="0" w:afterAutospacing="0" w:line="240" w:lineRule="auto"/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</w:pPr>
      <w:r>
        <w:rPr>
          <w:rFonts w:ascii="Times New Roman" w:hAnsi="Times New Roman"/>
          <w:b w:val="0"/>
          <w:bCs w:val="0"/>
          <w:smallCaps w:val="0"/>
          <w:snapToGrid/>
          <w:spacing w:val="0"/>
          <w:w w:val="100"/>
          <w:position w:val="0"/>
          <w:sz w:val="28"/>
          <w:szCs w:val="22"/>
          <w:cs w:val="0"/>
        </w:rPr>
        <w:t>Міський голова</w:t>
        <w:tab/>
        <w:tab/>
        <w:tab/>
        <w:t xml:space="preserve"> </w:t>
        <w:tab/>
        <w:tab/>
        <w:tab/>
        <w:tab/>
        <w:tab/>
        <w:t>Ігор САПОЖКО</w:t>
      </w:r>
    </w:p>
    <w:p>
      <w:pPr>
        <w:spacing w:beforeAutospacing="0" w:after="0" w:afterAutospacing="0" w:line="240" w:lineRule="auto"/>
        <w:ind w:left="142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permEnd w:id="1"/>
    </w:p>
    <w:sectPr>
      <w:headerReference w:type="default" r:id="rId4"/>
      <w:footerReference w:type="default" r:id="rId5"/>
      <w:type w:val="nextPage"/>
      <w:pgSz w:w="11906" w:h="16838" w:code="0"/>
      <w:pgMar w:top="1135" w:right="707" w:bottom="993" w:left="1701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ru-RU"/>
      </w:rPr>
      <w:t>#</w:t>
    </w:r>
    <w:r>
      <w:rPr>
        <w:rFonts w:ascii="Times New Roman" w:hAnsi="Times New Roman"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819"/>
        <w:tab w:val="right" w:pos="9639"/>
      </w:tabs>
      <w:spacing w:beforeAutospacing="0" w:after="0" w:afterAutospacing="0" w:line="240" w:lineRule="auto"/>
      <w:jc w:val="right"/>
      <w:rPr>
        <w:rFonts w:ascii="Antiqua" w:hAnsi="Antiqua"/>
        <w:color w:val="7F7F7F"/>
        <w:sz w:val="28"/>
        <w:szCs w:val="20"/>
        <w:lang w:val="hr-HR" w:eastAsia="ru-RU"/>
      </w:rPr>
    </w:pPr>
    <w:r>
      <w:rPr>
        <w:rFonts w:ascii="Antiqua" w:hAnsi="Antiqua"/>
        <w:color w:val="7F7F7F" w:themeColor="text1" w:themeTint="80"/>
        <w:sz w:val="28"/>
        <w:szCs w:val="20"/>
        <w:lang w:val="hr-HR" w:eastAsia="ru-RU"/>
      </w:rPr>
      <w:t>Продовження додатку</w:t>
    </w:r>
  </w:p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a9TLsGBySEYMfe54tsh27kVVnz77dKV9qOKOW961fuxoI4Fxa4rn2H6cC/RlQaGWUZ5LQUfIc/n&#10;pI0MdY5FaQ==&#10;" w:salt="9q5mioYMhK4ELC5zdgIn4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/>
        <w:sz w:val="22"/>
        <w:szCs w:val="22"/>
        <w:lang w:val="uk-UA" w:eastAsia="uk-UA" w:bidi="ar-SA"/>
      </w:rPr>
    </w:rPrDefault>
    <w:pPrDefault>
      <w:pPr>
        <w:keepNext w:val="0"/>
        <w:keepLines w:val="0"/>
        <w:pageBreakBefore w:val="0"/>
        <w:widowControl/>
        <w:suppressLineNumbers w:val="0"/>
        <w:shd w:val="clear" w:color="auto" w:fill="auto"/>
        <w:suppressAutoHyphens w:val="0"/>
        <w:bidi w:val="0"/>
        <w:spacing w:before="0" w:beforeAutospacing="0" w:after="200" w:afterAutospacing="0" w:line="276" w:lineRule="auto"/>
        <w:ind w:left="0" w:right="0" w:firstLine="0"/>
        <w:contextualSpacing w:val="0"/>
        <w:jc w:val="left"/>
        <w:outlineLvl w:val="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paragraph" w:styleId="Header">
    <w:name w:val="header"/>
    <w:basedOn w:val="Normal"/>
    <w:link w:val="a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styleId="Footer">
    <w:name w:val="footer"/>
    <w:basedOn w:val="Normal"/>
    <w:link w:val="a0"/>
    <w:pPr>
      <w:tabs>
        <w:tab w:val="center" w:pos="4677"/>
        <w:tab w:val="right" w:pos="9355"/>
      </w:tabs>
      <w:spacing w:beforeAutospacing="0" w:after="0" w:afterAutospacing="0" w:line="240" w:lineRule="auto"/>
    </w:pPr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Верхний колонтитул Знак"/>
    <w:basedOn w:val="DefaultParagraphFont"/>
    <w:link w:val="Header"/>
  </w:style>
  <w:style w:type="character" w:customStyle="1" w:styleId="a0">
    <w:name w:val="Нижний колонтитул Знак"/>
    <w:basedOn w:val="DefaultParagraphFont"/>
    <w:link w:val="Footer"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25.0002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ASKOD</cp:lastModifiedBy>
  <cp:revision>13</cp:revision>
  <dcterms:created xsi:type="dcterms:W3CDTF">2022-09-28T09:53:00Z</dcterms:created>
  <dcterms:modified xsi:type="dcterms:W3CDTF">2026-09-18T07:56:21Z</dcterms:modified>
</cp:coreProperties>
</file>