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10206"/>
        <w:rPr>
          <w:rFonts w:ascii="Times New Roman" w:hAnsi="Times New Roman"/>
          <w:sz w:val="28"/>
          <w:szCs w:val="28"/>
        </w:rPr>
      </w:pPr>
      <w:r>
        <w:rPr>
          <w:rFonts w:ascii="Times New Roman" w:hAnsi="Times New Roman"/>
          <w:b/>
          <w:bCs/>
          <w:sz w:val="24"/>
          <w:szCs w:val="24"/>
        </w:rPr>
        <w:tab/>
        <w:tab/>
        <w:t xml:space="preserve">ПРОЄКТ </w:t>
      </w:r>
      <w:r>
        <w:rPr>
          <w:rFonts w:ascii="Times New Roman" w:hAnsi="Times New Roman"/>
          <w:sz w:val="28"/>
          <w:szCs w:val="28"/>
        </w:rPr>
        <w:t xml:space="preserve">№ </w:t>
      </w:r>
      <w:r>
        <w:rPr>
          <w:rFonts w:ascii="Times New Roman" w:hAnsi="Times New Roman"/>
          <w:sz w:val="28"/>
          <w:szCs w:val="28"/>
        </w:rPr>
        <w:t>ПВ-1098</w:t>
      </w:r>
    </w:p>
    <w:p>
      <w:pPr>
        <w:tabs>
          <w:tab w:val="left" w:pos="5610"/>
          <w:tab w:val="left" w:pos="6358"/>
        </w:tabs>
        <w:spacing w:beforeAutospacing="0" w:after="0" w:afterAutospacing="0"/>
        <w:ind w:left="5103"/>
        <w:jc w:val="center"/>
        <w:rPr>
          <w:rFonts w:ascii="Times New Roman" w:hAnsi="Times New Roman"/>
          <w:b/>
          <w:bCs/>
          <w:sz w:val="24"/>
          <w:szCs w:val="24"/>
        </w:rPr>
      </w:pPr>
    </w:p>
    <w:p>
      <w:pPr>
        <w:tabs>
          <w:tab w:val="left" w:pos="5610"/>
          <w:tab w:val="left" w:pos="6358"/>
        </w:tabs>
        <w:spacing w:beforeAutospacing="0" w:after="0" w:afterAutospacing="0"/>
        <w:ind w:left="10206"/>
        <w:rPr>
          <w:rFonts w:ascii="Times New Roman" w:hAnsi="Times New Roman"/>
          <w:sz w:val="28"/>
          <w:szCs w:val="28"/>
          <w:lang w:val="ru-RU"/>
        </w:rPr>
      </w:pPr>
      <w:permStart w:id="0" w:edGrp="everyone"/>
      <w:r>
        <w:rPr>
          <w:rFonts w:ascii="Times New Roman" w:hAnsi="Times New Roman"/>
          <w:sz w:val="28"/>
          <w:szCs w:val="28"/>
        </w:rPr>
        <w:t xml:space="preserve">Додаток </w:t>
      </w:r>
    </w:p>
    <w:p>
      <w:pPr>
        <w:spacing w:before="0" w:beforeAutospacing="0" w:after="0" w:afterAutospacing="0" w:line="240" w:lineRule="auto"/>
        <w:ind w:left="6437" w:right="0" w:firstLine="643"/>
        <w:jc w:val="center"/>
        <w:rPr>
          <w:rFonts w:ascii="Times New Roman" w:hAnsi="Times New Roman"/>
          <w:smallCaps w:val="0"/>
          <w:snapToGrid/>
          <w:color w:val="000000"/>
          <w:spacing w:val="0"/>
          <w:w w:val="100"/>
          <w:position w:val="0"/>
          <w:sz w:val="28"/>
          <w:szCs w:val="22"/>
          <w:cs w:val="0"/>
        </w:rPr>
      </w:pPr>
      <w:r>
        <w:rPr>
          <w:rFonts w:ascii="Times New Roman" w:hAnsi="Times New Roman"/>
          <w:smallCaps w:val="0"/>
          <w:snapToGrid/>
          <w:spacing w:val="0"/>
          <w:w w:val="100"/>
          <w:position w:val="0"/>
          <w:sz w:val="28"/>
          <w:szCs w:val="22"/>
          <w:cs w:val="0"/>
        </w:rPr>
        <w:t xml:space="preserve">Програми участі </w:t>
      </w:r>
      <w:r>
        <w:rPr>
          <w:rFonts w:ascii="Times New Roman" w:hAnsi="Times New Roman"/>
          <w:smallCaps w:val="0"/>
          <w:snapToGrid/>
          <w:color w:val="000000"/>
          <w:spacing w:val="0"/>
          <w:w w:val="100"/>
          <w:position w:val="0"/>
          <w:sz w:val="28"/>
          <w:szCs w:val="22"/>
          <w:cs w:val="0"/>
        </w:rPr>
        <w:t xml:space="preserve">Броварської </w:t>
      </w:r>
    </w:p>
    <w:p>
      <w:pPr>
        <w:spacing w:before="0" w:beforeAutospacing="0" w:after="0" w:afterAutospacing="0" w:line="240" w:lineRule="auto"/>
        <w:ind w:left="0" w:right="0" w:firstLine="0"/>
        <w:jc w:val="left"/>
        <w:rPr>
          <w:rFonts w:ascii="Times New Roman" w:hAnsi="Times New Roman"/>
          <w:smallCaps w:val="0"/>
          <w:snapToGrid/>
          <w:color w:val="000000"/>
          <w:spacing w:val="0"/>
          <w:w w:val="100"/>
          <w:position w:val="0"/>
          <w:sz w:val="28"/>
          <w:szCs w:val="22"/>
          <w:cs w:val="0"/>
        </w:rPr>
      </w:pPr>
      <w:r>
        <w:rPr>
          <w:rFonts w:ascii="Times New Roman" w:hAnsi="Times New Roman"/>
          <w:smallCaps w:val="0"/>
          <w:snapToGrid/>
          <w:color w:val="000000"/>
          <w:spacing w:val="0"/>
          <w:w w:val="100"/>
          <w:position w:val="0"/>
          <w:sz w:val="28"/>
          <w:szCs w:val="22"/>
          <w:cs w:val="0"/>
        </w:rPr>
        <w:t xml:space="preserve">                                                                                                                              міської територіальної громади у</w:t>
      </w:r>
    </w:p>
    <w:p>
      <w:pPr>
        <w:spacing w:before="0" w:beforeAutospacing="0" w:after="0" w:afterAutospacing="0" w:line="240" w:lineRule="auto"/>
        <w:ind w:left="0" w:right="0" w:firstLine="0"/>
        <w:jc w:val="left"/>
        <w:rPr>
          <w:rFonts w:ascii="Times New Roman" w:hAnsi="Times New Roman"/>
          <w:smallCaps w:val="0"/>
          <w:snapToGrid/>
          <w:color w:val="000000"/>
          <w:spacing w:val="0"/>
          <w:w w:val="100"/>
          <w:position w:val="0"/>
          <w:sz w:val="28"/>
          <w:szCs w:val="22"/>
          <w:cs w:val="0"/>
        </w:rPr>
      </w:pPr>
      <w:r>
        <w:rPr>
          <w:rFonts w:ascii="Times New Roman" w:hAnsi="Times New Roman"/>
          <w:smallCaps w:val="0"/>
          <w:snapToGrid/>
          <w:color w:val="000000"/>
          <w:spacing w:val="0"/>
          <w:w w:val="100"/>
          <w:position w:val="0"/>
          <w:sz w:val="28"/>
          <w:szCs w:val="22"/>
          <w:cs w:val="0"/>
        </w:rPr>
        <w:t xml:space="preserve">                                                                                                                              міжнародній грантовій ініціативі</w:t>
      </w:r>
    </w:p>
    <w:p>
      <w:pPr>
        <w:spacing w:before="0" w:beforeAutospacing="0" w:after="0" w:afterAutospacing="0" w:line="240" w:lineRule="auto"/>
        <w:ind w:left="7145" w:right="0"/>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«Молодіжний фонд кліматичних дій»</w:t>
      </w:r>
    </w:p>
    <w:p>
      <w:pPr>
        <w:spacing w:before="0" w:beforeAutospacing="0" w:after="0" w:afterAutospacing="0" w:line="240" w:lineRule="auto"/>
        <w:ind w:left="6437" w:right="0"/>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ab/>
        <w:t xml:space="preserve">    на 2026-2027 роки</w:t>
      </w:r>
    </w:p>
    <w:p>
      <w:pPr>
        <w:spacing w:before="0" w:beforeAutospacing="0" w:after="0" w:afterAutospacing="0" w:line="240" w:lineRule="auto"/>
        <w:ind w:left="7788" w:right="0" w:firstLine="708"/>
        <w:jc w:val="both"/>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w:t>
      </w:r>
    </w:p>
    <w:p>
      <w:pPr>
        <w:tabs>
          <w:tab w:val="left" w:pos="5610"/>
          <w:tab w:val="left" w:pos="6358"/>
        </w:tabs>
        <w:spacing w:before="0" w:beforeAutospacing="0" w:after="0" w:afterAutospacing="0" w:line="240" w:lineRule="auto"/>
        <w:ind w:left="10205" w:right="0"/>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w:t>
      </w:r>
    </w:p>
    <w:p>
      <w:pPr>
        <w:spacing w:before="0" w:beforeAutospacing="0" w:after="0" w:afterAutospacing="0" w:line="240" w:lineRule="auto"/>
        <w:ind w:left="65" w:right="0"/>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Заходи та потреба у фінансуванні реалізації</w:t>
      </w:r>
    </w:p>
    <w:p>
      <w:pPr>
        <w:spacing w:before="0" w:beforeAutospacing="0" w:after="0" w:afterAutospacing="0" w:line="240" w:lineRule="auto"/>
        <w:ind w:left="65" w:right="0"/>
        <w:jc w:val="center"/>
        <w:rPr>
          <w:rFonts w:ascii="Times New Roman" w:hAnsi="Times New Roman"/>
          <w:b/>
          <w:smallCaps w:val="0"/>
          <w:snapToGrid/>
          <w:color w:val="000000"/>
          <w:spacing w:val="0"/>
          <w:w w:val="100"/>
          <w:position w:val="0"/>
          <w:sz w:val="28"/>
          <w:szCs w:val="22"/>
          <w:cs w:val="0"/>
        </w:rPr>
      </w:pPr>
      <w:r>
        <w:rPr>
          <w:rFonts w:ascii="Times New Roman" w:hAnsi="Times New Roman"/>
          <w:b/>
          <w:smallCaps w:val="0"/>
          <w:snapToGrid/>
          <w:spacing w:val="0"/>
          <w:w w:val="100"/>
          <w:position w:val="0"/>
          <w:sz w:val="28"/>
          <w:szCs w:val="22"/>
          <w:cs w:val="0"/>
        </w:rPr>
        <w:t xml:space="preserve">Програми участі </w:t>
      </w:r>
      <w:r>
        <w:rPr>
          <w:rFonts w:ascii="Times New Roman" w:hAnsi="Times New Roman"/>
          <w:b/>
          <w:smallCaps w:val="0"/>
          <w:snapToGrid/>
          <w:color w:val="000000"/>
          <w:spacing w:val="0"/>
          <w:w w:val="100"/>
          <w:position w:val="0"/>
          <w:sz w:val="28"/>
          <w:szCs w:val="22"/>
          <w:cs w:val="0"/>
        </w:rPr>
        <w:t>Броварської міської територіальної громади у</w:t>
      </w:r>
    </w:p>
    <w:p>
      <w:pPr>
        <w:spacing w:before="0" w:beforeAutospacing="0" w:after="0" w:afterAutospacing="0" w:line="240" w:lineRule="auto"/>
        <w:ind w:left="65" w:right="0"/>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color w:val="000000"/>
          <w:spacing w:val="0"/>
          <w:w w:val="100"/>
          <w:position w:val="0"/>
          <w:sz w:val="28"/>
          <w:szCs w:val="22"/>
          <w:cs w:val="0"/>
        </w:rPr>
        <w:t xml:space="preserve">міжнародній грантовій ініціативі </w:t>
      </w:r>
      <w:r>
        <w:rPr>
          <w:rFonts w:ascii="Times New Roman" w:hAnsi="Times New Roman"/>
          <w:b/>
          <w:smallCaps w:val="0"/>
          <w:snapToGrid/>
          <w:spacing w:val="0"/>
          <w:w w:val="100"/>
          <w:position w:val="0"/>
          <w:sz w:val="28"/>
          <w:szCs w:val="22"/>
          <w:cs w:val="0"/>
        </w:rPr>
        <w:t>«Молодіжний фонд кліматичних дій»</w:t>
      </w:r>
      <w:r>
        <w:rPr>
          <w:rFonts w:ascii="Times New Roman" w:hAnsi="Times New Roman"/>
          <w:b/>
          <w:smallCaps w:val="0"/>
          <w:snapToGrid/>
          <w:color w:val="000000"/>
          <w:spacing w:val="0"/>
          <w:w w:val="100"/>
          <w:position w:val="0"/>
          <w:sz w:val="28"/>
          <w:szCs w:val="22"/>
          <w:cs w:val="0"/>
        </w:rPr>
        <w:t xml:space="preserve"> </w:t>
      </w:r>
      <w:r>
        <w:rPr>
          <w:rFonts w:ascii="Times New Roman" w:hAnsi="Times New Roman"/>
          <w:b/>
          <w:smallCaps w:val="0"/>
          <w:snapToGrid/>
          <w:spacing w:val="0"/>
          <w:w w:val="100"/>
          <w:position w:val="0"/>
          <w:sz w:val="28"/>
          <w:szCs w:val="22"/>
          <w:cs w:val="0"/>
        </w:rPr>
        <w:t>на 2026-2027 роки</w:t>
      </w:r>
    </w:p>
    <w:p>
      <w:pPr>
        <w:spacing w:beforeAutospacing="0" w:after="0" w:afterAutospacing="0" w:line="240" w:lineRule="auto"/>
        <w:jc w:val="both"/>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w:t>
      </w:r>
    </w:p>
    <w:tbl>
      <w:tblPr>
        <w:tblW w:w="14953" w:type="dxa"/>
        <w:tblInd w:w="0" w:type="dxa"/>
        <w:shd w:val="clear" w:color="auto" w:fill="FFFFFF"/>
        <w:tblLayout w:type="fixed"/>
        <w:tblLook w:val="0000"/>
      </w:tblPr>
      <w:tblGrid>
        <w:gridCol w:w="846"/>
        <w:gridCol w:w="3914"/>
        <w:gridCol w:w="3001"/>
        <w:gridCol w:w="2168"/>
        <w:gridCol w:w="1644"/>
        <w:gridCol w:w="1526"/>
        <w:gridCol w:w="1854"/>
      </w:tblGrid>
      <w:tr>
        <w:tblPrEx>
          <w:tblW w:w="14953" w:type="dxa"/>
          <w:tblInd w:w="0" w:type="dxa"/>
          <w:shd w:val="clear" w:color="auto" w:fill="FFFFFF"/>
          <w:tblLayout w:type="fixed"/>
          <w:tblLook w:val="0000"/>
        </w:tblPrEx>
        <w:tc>
          <w:tcPr>
            <w:tcW w:w="84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w:t>
            </w:r>
          </w:p>
        </w:tc>
        <w:tc>
          <w:tcPr>
            <w:tcW w:w="39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Заходи Програми</w:t>
            </w:r>
          </w:p>
        </w:tc>
        <w:tc>
          <w:tcPr>
            <w:tcW w:w="30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Виконавці заходу</w:t>
            </w:r>
          </w:p>
        </w:tc>
        <w:tc>
          <w:tcPr>
            <w:tcW w:w="21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Термін проведення</w:t>
            </w:r>
          </w:p>
        </w:tc>
        <w:tc>
          <w:tcPr>
            <w:tcW w:w="31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Роки</w:t>
            </w:r>
            <w:r>
              <w:rPr>
                <w:rFonts w:ascii="Times New Roman" w:hAnsi="Times New Roman"/>
                <w:smallCaps w:val="0"/>
                <w:snapToGrid/>
                <w:spacing w:val="0"/>
                <w:w w:val="100"/>
                <w:position w:val="0"/>
                <w:sz w:val="28"/>
                <w:szCs w:val="22"/>
                <w:cs w:val="0"/>
              </w:rPr>
              <w:t xml:space="preserve"> </w:t>
            </w:r>
          </w:p>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(грн.)</w:t>
            </w:r>
          </w:p>
        </w:tc>
        <w:tc>
          <w:tcPr>
            <w:tcW w:w="185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 xml:space="preserve">Всього </w:t>
            </w:r>
          </w:p>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(грн)</w:t>
            </w:r>
          </w:p>
        </w:tc>
      </w:tr>
      <w:tr>
        <w:tblPrEx>
          <w:tblW w:w="14953" w:type="dxa"/>
          <w:tblInd w:w="0" w:type="dxa"/>
          <w:shd w:val="clear" w:color="auto" w:fill="FFFFFF"/>
          <w:tblLayout w:type="fixed"/>
          <w:tblLook w:val="0000"/>
        </w:tblPrEx>
        <w:tc>
          <w:tcPr>
            <w:tcW w:w="84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iCs/>
                <w:sz w:val="28"/>
                <w:szCs w:val="28"/>
              </w:rPr>
            </w:pPr>
          </w:p>
        </w:tc>
        <w:tc>
          <w:tcPr>
            <w:tcW w:w="39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iCs/>
                <w:sz w:val="28"/>
                <w:szCs w:val="28"/>
              </w:rPr>
            </w:pPr>
          </w:p>
        </w:tc>
        <w:tc>
          <w:tcPr>
            <w:tcW w:w="300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iCs/>
                <w:sz w:val="28"/>
                <w:szCs w:val="28"/>
              </w:rPr>
            </w:pPr>
          </w:p>
        </w:tc>
        <w:tc>
          <w:tcPr>
            <w:tcW w:w="216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iCs/>
                <w:sz w:val="28"/>
                <w:szCs w:val="28"/>
              </w:rPr>
            </w:pP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2026</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2027</w:t>
            </w:r>
          </w:p>
        </w:tc>
        <w:tc>
          <w:tcPr>
            <w:tcW w:w="185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iCs/>
                <w:sz w:val="28"/>
                <w:szCs w:val="28"/>
              </w:rPr>
            </w:pP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left"/>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color w:val="000000"/>
                <w:spacing w:val="0"/>
                <w:w w:val="100"/>
                <w:position w:val="0"/>
                <w:sz w:val="28"/>
                <w:szCs w:val="22"/>
                <w:cs w:val="0"/>
              </w:rPr>
            </w:pPr>
            <w:r>
              <w:rPr>
                <w:rFonts w:ascii="Times New Roman" w:hAnsi="Times New Roman"/>
                <w:smallCaps w:val="0"/>
                <w:snapToGrid/>
                <w:spacing w:val="0"/>
                <w:w w:val="100"/>
                <w:position w:val="0"/>
                <w:sz w:val="28"/>
                <w:szCs w:val="22"/>
                <w:cs w:val="0"/>
              </w:rPr>
              <w:t xml:space="preserve">Створення організаційного комітету щодо реалізації </w:t>
            </w:r>
            <w:r>
              <w:rPr>
                <w:rFonts w:ascii="Times New Roman" w:hAnsi="Times New Roman"/>
                <w:smallCaps w:val="0"/>
                <w:snapToGrid/>
                <w:color w:val="000000"/>
                <w:spacing w:val="0"/>
                <w:w w:val="100"/>
                <w:position w:val="0"/>
                <w:sz w:val="28"/>
                <w:szCs w:val="22"/>
                <w:cs w:val="0"/>
              </w:rPr>
              <w:t>Програми</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Вересень 2026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left"/>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Надання методологічної та консультативної підтримки проєкту (оплата послуг залучених </w:t>
            </w:r>
            <w:r>
              <w:rPr>
                <w:rFonts w:ascii="Times New Roman" w:hAnsi="Times New Roman"/>
                <w:smallCaps w:val="0"/>
                <w:snapToGrid/>
                <w:spacing w:val="0"/>
                <w:w w:val="100"/>
                <w:position w:val="0"/>
                <w:sz w:val="28"/>
                <w:szCs w:val="22"/>
                <w:cs w:val="0"/>
              </w:rPr>
              <w:t>зовнішніх експертів</w:t>
            </w:r>
            <w:r>
              <w:rPr>
                <w:rFonts w:ascii="Times New Roman" w:hAnsi="Times New Roman"/>
                <w:smallCaps w:val="0"/>
                <w:snapToGrid/>
                <w:spacing w:val="0"/>
                <w:w w:val="100"/>
                <w:position w:val="0"/>
                <w:sz w:val="28"/>
                <w:szCs w:val="22"/>
              </w:rPr>
              <w:t xml:space="preserve"> у разі потреби</w:t>
            </w:r>
            <w:r>
              <w:rPr>
                <w:rFonts w:ascii="Times New Roman" w:hAnsi="Times New Roman"/>
                <w:smallCaps w:val="0"/>
                <w:snapToGrid/>
                <w:spacing w:val="0"/>
                <w:w w:val="100"/>
                <w:position w:val="0"/>
                <w:sz w:val="28"/>
                <w:szCs w:val="22"/>
                <w:cs w:val="0"/>
              </w:rPr>
              <w:t>)</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 листопад 2026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30 000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30 000</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center"/>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Організація та проведення тренін</w:t>
            </w:r>
            <w:r>
              <w:rPr>
                <w:rFonts w:ascii="Times New Roman" w:hAnsi="Times New Roman"/>
                <w:smallCaps w:val="0"/>
                <w:snapToGrid/>
                <w:spacing w:val="0"/>
                <w:w w:val="100"/>
                <w:position w:val="0"/>
                <w:sz w:val="28"/>
                <w:szCs w:val="22"/>
                <w:cs w:val="0"/>
              </w:rPr>
              <w:t>гів, семінарів та зустрічей з розробки молодіжних   кліматичних ініціатив (кейтеринг під час тренінгів, нетворкінг і обмін   досвідом між учасниками, логістичні послуги)</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інспекції та контролю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2026 року – квітень 2027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80 000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17 856,5</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97 856,5</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center"/>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Здійснення фото та відеодокументування заходів (оплата послуг</w:t>
            </w:r>
            <w:r>
              <w:rPr>
                <w:rFonts w:ascii="Times New Roman" w:hAnsi="Times New Roman"/>
                <w:smallCaps w:val="0"/>
                <w:snapToGrid/>
                <w:spacing w:val="0"/>
                <w:w w:val="100"/>
                <w:position w:val="0"/>
                <w:sz w:val="28"/>
                <w:szCs w:val="22"/>
              </w:rPr>
              <w:t xml:space="preserve"> у разі потреби</w:t>
            </w:r>
            <w:r>
              <w:rPr>
                <w:rFonts w:ascii="Times New Roman" w:hAnsi="Times New Roman"/>
                <w:smallCaps w:val="0"/>
                <w:snapToGrid/>
                <w:spacing w:val="0"/>
                <w:w w:val="100"/>
                <w:position w:val="0"/>
                <w:sz w:val="28"/>
                <w:szCs w:val="22"/>
                <w:cs w:val="0"/>
              </w:rPr>
              <w:t>)</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2026 року – квітень 2027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15 000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15 000</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30 000</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center"/>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Забезпечення продукцією з логотипом Молодіжного фонду кліматичних дій (придбання товару,   оплата послуг)</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 грудень 2026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40 000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40 000</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center"/>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Виготовлення   інформаційних мате</w:t>
            </w:r>
            <w:r>
              <w:rPr>
                <w:rFonts w:ascii="Times New Roman" w:hAnsi="Times New Roman"/>
                <w:smallCaps w:val="0"/>
                <w:snapToGrid/>
                <w:spacing w:val="0"/>
                <w:w w:val="100"/>
                <w:position w:val="0"/>
                <w:sz w:val="28"/>
                <w:szCs w:val="22"/>
                <w:cs w:val="0"/>
              </w:rPr>
              <w:t>ріалів  для   реалізації проєкту</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2026 року – квітень 2027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20 000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10 000</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30 000</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center"/>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Забезпечення   орган</w:t>
            </w:r>
            <w:r>
              <w:rPr>
                <w:rFonts w:ascii="Times New Roman" w:hAnsi="Times New Roman"/>
                <w:smallCaps w:val="0"/>
                <w:snapToGrid/>
                <w:spacing w:val="0"/>
                <w:w w:val="100"/>
                <w:position w:val="0"/>
                <w:sz w:val="28"/>
                <w:szCs w:val="22"/>
                <w:cs w:val="0"/>
              </w:rPr>
              <w:t>ізаційною технікою (купівля/оренда) для потреб реалізації грантової   ініціативи</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rPr>
            </w:pPr>
            <w:r>
              <w:rPr>
                <w:rFonts w:ascii="Times New Roman" w:hAnsi="Times New Roman"/>
                <w:smallCaps w:val="0"/>
                <w:snapToGrid/>
                <w:spacing w:val="0"/>
                <w:w w:val="100"/>
                <w:position w:val="0"/>
                <w:sz w:val="28"/>
                <w:szCs w:val="22"/>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p>
            <w:pPr>
              <w:spacing w:beforeAutospacing="0" w:after="0" w:afterAutospacing="0" w:line="240" w:lineRule="auto"/>
              <w:jc w:val="left"/>
              <w:rPr>
                <w:rFonts w:ascii="Times New Roman" w:hAnsi="Times New Roman"/>
                <w:smallCaps w:val="0"/>
                <w:snapToGrid/>
                <w:spacing w:val="0"/>
                <w:w w:val="100"/>
                <w:position w:val="0"/>
                <w:sz w:val="28"/>
                <w:szCs w:val="22"/>
                <w:cs w:val="0"/>
              </w:rPr>
            </w:pP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Жовтень 2026 року – квітень 2027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60 000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20 000</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80 000</w:t>
            </w:r>
          </w:p>
        </w:tc>
      </w:tr>
      <w:tr>
        <w:tblPrEx>
          <w:tblW w:w="14953" w:type="dxa"/>
          <w:tblInd w:w="0" w:type="dxa"/>
          <w:shd w:val="clear" w:color="auto" w:fill="FFFFFF"/>
          <w:tblLayout w:type="fixed"/>
          <w:tblLook w:val="0000"/>
        </w:tblPrEx>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numPr>
                <w:ilvl w:val="0"/>
                <w:numId w:val="1"/>
              </w:numPr>
              <w:spacing w:before="0" w:beforeAutospacing="0" w:after="0" w:afterAutospacing="0" w:line="240" w:lineRule="auto"/>
              <w:ind w:right="0"/>
              <w:jc w:val="left"/>
              <w:rPr>
                <w:rFonts w:ascii="Times New Roman" w:hAnsi="Times New Roman"/>
                <w:smallCaps w:val="0"/>
                <w:snapToGrid/>
                <w:spacing w:val="0"/>
                <w:w w:val="100"/>
                <w:position w:val="0"/>
                <w:sz w:val="28"/>
                <w:szCs w:val="22"/>
                <w:cs w:val="0"/>
              </w:rPr>
            </w:pPr>
          </w:p>
        </w:tc>
        <w:tc>
          <w:tcPr>
            <w:tcW w:w="391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Фінансування проєктних заявок переможців за результатами відбору</w:t>
            </w: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rPr>
              <w:t>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Вересень   – грудень 2026 року</w:t>
            </w: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1 900 000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1 900 000</w:t>
            </w:r>
          </w:p>
        </w:tc>
      </w:tr>
      <w:tr>
        <w:tblPrEx>
          <w:tblW w:w="14953" w:type="dxa"/>
          <w:tblInd w:w="0" w:type="dxa"/>
          <w:shd w:val="clear" w:color="auto" w:fill="FFFFFF"/>
          <w:tblLayout w:type="fixed"/>
          <w:tblLook w:val="0000"/>
        </w:tblPrEx>
        <w:tc>
          <w:tcPr>
            <w:tcW w:w="47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smallCaps w:val="0"/>
                <w:snapToGrid/>
                <w:spacing w:val="0"/>
                <w:w w:val="100"/>
                <w:position w:val="0"/>
                <w:sz w:val="28"/>
                <w:szCs w:val="22"/>
                <w:cs w:val="0"/>
              </w:rPr>
            </w:pPr>
            <w:r>
              <w:rPr>
                <w:rFonts w:ascii="Times New Roman" w:hAnsi="Times New Roman"/>
                <w:b/>
                <w:smallCaps w:val="0"/>
                <w:snapToGrid/>
                <w:spacing w:val="0"/>
                <w:w w:val="100"/>
                <w:position w:val="0"/>
                <w:sz w:val="28"/>
                <w:szCs w:val="22"/>
                <w:cs w:val="0"/>
              </w:rPr>
              <w:t>Всього</w:t>
            </w:r>
          </w:p>
          <w:p>
            <w:pPr>
              <w:spacing w:beforeAutospacing="0" w:after="0" w:afterAutospacing="0" w:line="240" w:lineRule="auto"/>
              <w:jc w:val="center"/>
              <w:rPr>
                <w:rFonts w:ascii="Times New Roman" w:hAnsi="Times New Roman"/>
                <w:b/>
                <w:smallCaps w:val="0"/>
                <w:snapToGrid/>
                <w:spacing w:val="0"/>
                <w:w w:val="100"/>
                <w:position w:val="0"/>
                <w:sz w:val="28"/>
                <w:szCs w:val="22"/>
                <w:cs w:val="0"/>
              </w:rPr>
            </w:pPr>
          </w:p>
        </w:tc>
        <w:tc>
          <w:tcPr>
            <w:tcW w:w="3001"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left"/>
              <w:rPr>
                <w:rFonts w:ascii="Times New Roman" w:hAnsi="Times New Roman"/>
                <w:smallCaps w:val="0"/>
                <w:snapToGrid/>
                <w:spacing w:val="0"/>
                <w:w w:val="100"/>
                <w:position w:val="0"/>
                <w:sz w:val="28"/>
                <w:szCs w:val="22"/>
                <w:cs w:val="0"/>
              </w:rPr>
            </w:pPr>
          </w:p>
          <w:p>
            <w:pPr>
              <w:spacing w:beforeAutospacing="0" w:after="0" w:afterAutospacing="0" w:line="240" w:lineRule="auto"/>
              <w:jc w:val="left"/>
              <w:rPr>
                <w:rFonts w:ascii="Times New Roman" w:hAnsi="Times New Roman"/>
                <w:smallCaps w:val="0"/>
                <w:snapToGrid/>
                <w:spacing w:val="0"/>
                <w:w w:val="100"/>
                <w:position w:val="0"/>
                <w:sz w:val="28"/>
                <w:szCs w:val="22"/>
                <w:cs w:val="0"/>
              </w:rPr>
            </w:pPr>
          </w:p>
        </w:tc>
        <w:tc>
          <w:tcPr>
            <w:tcW w:w="2168"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p>
        </w:tc>
        <w:tc>
          <w:tcPr>
            <w:tcW w:w="164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2 145</w:t>
            </w:r>
            <w:r>
              <w:rPr>
                <w:rFonts w:ascii="Times New Roman" w:hAnsi="Times New Roman"/>
                <w:smallCaps w:val="0"/>
                <w:snapToGrid/>
                <w:spacing w:val="0"/>
                <w:w w:val="100"/>
                <w:position w:val="0"/>
                <w:sz w:val="28"/>
                <w:szCs w:val="22"/>
              </w:rPr>
              <w:t xml:space="preserve"> </w:t>
            </w:r>
            <w:r>
              <w:rPr>
                <w:rFonts w:ascii="Times New Roman" w:hAnsi="Times New Roman"/>
                <w:smallCaps w:val="0"/>
                <w:snapToGrid/>
                <w:spacing w:val="0"/>
                <w:w w:val="100"/>
                <w:position w:val="0"/>
                <w:sz w:val="28"/>
                <w:szCs w:val="22"/>
                <w:cs w:val="0"/>
              </w:rPr>
              <w:t>000,0</w:t>
            </w:r>
          </w:p>
        </w:tc>
        <w:tc>
          <w:tcPr>
            <w:tcW w:w="1526"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62 856,5</w:t>
            </w:r>
          </w:p>
        </w:tc>
        <w:tc>
          <w:tcPr>
            <w:tcW w:w="1854"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2 207 856,5</w:t>
            </w:r>
          </w:p>
        </w:tc>
      </w:tr>
    </w:tbl>
    <w:p>
      <w:pPr>
        <w:shd w:val="clear" w:color="auto" w:fill="FFFFFF"/>
        <w:spacing w:beforeAutospacing="0" w:after="0" w:afterAutospacing="0" w:line="240" w:lineRule="auto"/>
        <w:rPr>
          <w:rFonts w:ascii="Times New Roman" w:hAnsi="Times New Roman"/>
          <w:iCs/>
          <w:sz w:val="28"/>
          <w:szCs w:val="28"/>
        </w:rPr>
      </w:pPr>
    </w:p>
    <w:p>
      <w:pPr>
        <w:shd w:val="clear" w:color="auto" w:fill="FFFFFF"/>
        <w:spacing w:beforeAutospacing="0" w:after="0" w:afterAutospacing="0" w:line="240" w:lineRule="auto"/>
        <w:rPr>
          <w:rFonts w:ascii="Times New Roman" w:hAnsi="Times New Roman"/>
          <w:iCs/>
          <w:sz w:val="28"/>
          <w:szCs w:val="28"/>
        </w:rPr>
      </w:pPr>
    </w:p>
    <w:p>
      <w:pPr>
        <w:spacing w:beforeAutospacing="0" w:after="0" w:afterAutospacing="0" w:line="240" w:lineRule="auto"/>
        <w:jc w:val="both"/>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w:t>
      </w:r>
    </w:p>
    <w:p>
      <w:pPr>
        <w:spacing w:beforeAutospacing="0" w:after="0" w:afterAutospacing="0" w:line="240" w:lineRule="auto"/>
        <w:jc w:val="both"/>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Міський голова </w:t>
        <w:tab/>
        <w:tab/>
        <w:tab/>
        <w:tab/>
        <w:tab/>
        <w:tab/>
        <w:tab/>
        <w:tab/>
        <w:tab/>
        <w:tab/>
        <w:tab/>
        <w:tab/>
        <w:tab/>
        <w:tab/>
        <w:tab/>
        <w:t xml:space="preserve"> Ігор САПОЖКО</w:t>
      </w:r>
    </w:p>
    <w:p>
      <w:pPr>
        <w:spacing w:before="0" w:beforeAutospacing="0" w:after="0" w:afterAutospacing="0" w:line="240" w:lineRule="auto"/>
        <w:ind w:left="10205" w:right="0"/>
        <w:jc w:val="center"/>
        <w:rPr>
          <w:rFonts w:ascii="Times New Roman" w:hAnsi="Times New Roman"/>
          <w:smallCaps w:val="0"/>
          <w:snapToGrid/>
          <w:spacing w:val="0"/>
          <w:w w:val="100"/>
          <w:position w:val="0"/>
          <w:sz w:val="28"/>
          <w:szCs w:val="22"/>
          <w:cs w:val="0"/>
        </w:rPr>
      </w:pPr>
      <w:r>
        <w:rPr>
          <w:rFonts w:ascii="Times New Roman" w:hAnsi="Times New Roman"/>
          <w:smallCaps w:val="0"/>
          <w:snapToGrid/>
          <w:spacing w:val="0"/>
          <w:w w:val="100"/>
          <w:position w:val="0"/>
          <w:sz w:val="28"/>
          <w:szCs w:val="22"/>
          <w:cs w:val="0"/>
        </w:rPr>
        <w:t xml:space="preserve"> </w:t>
      </w:r>
    </w:p>
    <w:p>
      <w:pPr>
        <w:spacing w:beforeAutospacing="0" w:after="0" w:afterAutospacing="0"/>
        <w:jc w:val="both"/>
        <w:rPr>
          <w:rFonts w:ascii="Times New Roman" w:hAnsi="Times New Roman"/>
          <w:iCs/>
          <w:sz w:val="28"/>
          <w:szCs w:val="28"/>
        </w:rPr>
      </w:pPr>
      <w:permEnd w:id="0"/>
    </w:p>
    <w:sectPr>
      <w:headerReference w:type="default" r:id="rId4"/>
      <w:footerReference w:type="default" r:id="rId5"/>
      <w:type w:val="nextPage"/>
      <w:pgSz w:w="16838" w:h="11906" w:orient="landscape" w:code="0"/>
      <w:pgMar w:top="1276" w:right="678" w:bottom="993" w:left="1701"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Times New Roman" w:hAnsi="Times New Roman"/>
        <w:color w:val="7F7F7F" w:themeColor="text1" w:themeTint="80"/>
        <w:sz w:val="24"/>
        <w:szCs w:val="24"/>
      </w:rPr>
    </w:pPr>
    <w:bookmarkStart w:id="1" w:name="_Hlk109737539"/>
    <w:r>
      <w:rPr>
        <w:rFonts w:ascii="Times New Roman" w:hAnsi="Times New Roman"/>
        <w:color w:val="7F7F7F" w:themeColor="text1" w:themeTint="80"/>
        <w:sz w:val="24"/>
        <w:szCs w:val="24"/>
        <w:lang w:eastAsia="ru-RU"/>
      </w:rPr>
      <w:t>Продовження додатку</w:t>
    </w:r>
  </w:p>
  <w:p>
    <w:pPr>
      <w:pStyle w:val="Header"/>
      <w:rPr>
        <w:rFonts w:ascii="Times New Roman" w:hAnsi="Times New Roman"/>
        <w:sz w:val="24"/>
        <w:szCs w:val="24"/>
      </w:rPr>
    </w:pP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54"/>
      </w:pPr>
    </w:lvl>
    <w:lvl w:ilvl="1">
      <w:start w:val="1"/>
      <w:numFmt w:val="decimal"/>
      <w:lvlText w:val="%2."/>
      <w:lvlJc w:val="left"/>
      <w:pPr>
        <w:ind w:left="1440" w:hanging="354"/>
      </w:pPr>
    </w:lvl>
    <w:lvl w:ilvl="2">
      <w:start w:val="1"/>
      <w:numFmt w:val="decimal"/>
      <w:lvlText w:val="%3."/>
      <w:lvlJc w:val="left"/>
      <w:pPr>
        <w:ind w:left="2160" w:hanging="354"/>
      </w:pPr>
    </w:lvl>
    <w:lvl w:ilvl="3">
      <w:start w:val="1"/>
      <w:numFmt w:val="decimal"/>
      <w:lvlText w:val="%4."/>
      <w:lvlJc w:val="left"/>
      <w:pPr>
        <w:ind w:left="2880" w:hanging="354"/>
      </w:pPr>
    </w:lvl>
    <w:lvl w:ilvl="4">
      <w:start w:val="1"/>
      <w:numFmt w:val="decimal"/>
      <w:lvlText w:val="%5."/>
      <w:lvlJc w:val="left"/>
      <w:pPr>
        <w:ind w:left="3600" w:hanging="354"/>
      </w:pPr>
    </w:lvl>
    <w:lvl w:ilvl="5">
      <w:start w:val="1"/>
      <w:numFmt w:val="decimal"/>
      <w:lvlText w:val="%6."/>
      <w:lvlJc w:val="left"/>
      <w:pPr>
        <w:ind w:left="4320" w:hanging="354"/>
      </w:pPr>
    </w:lvl>
    <w:lvl w:ilvl="6">
      <w:start w:val="1"/>
      <w:numFmt w:val="decimal"/>
      <w:lvlText w:val="%7."/>
      <w:lvlJc w:val="left"/>
      <w:pPr>
        <w:ind w:left="5040" w:hanging="354"/>
      </w:pPr>
    </w:lvl>
    <w:lvl w:ilvl="7">
      <w:start w:val="1"/>
      <w:numFmt w:val="decimal"/>
      <w:lvlText w:val="%8."/>
      <w:lvlJc w:val="left"/>
      <w:pPr>
        <w:ind w:left="5760" w:hanging="354"/>
      </w:pPr>
    </w:lvl>
    <w:lvl w:ilvl="8">
      <w:start w:val="1"/>
      <w:numFmt w:val="decimal"/>
      <w:lvlText w:val="%9."/>
      <w:lvlJc w:val="left"/>
      <w:pPr>
        <w:ind w:left="6480" w:hanging="35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LX1+/OUtfG7actpljQCFP6aJ4t7Kvo1l8JlQFzuZ0M/Mw+pqoiojUmMUxAxoUYwPUK9pXAnM5N/8&#10;lyfBDwqXIQ==&#10;" w:salt="oql34ZFvcBva9MBnelngPg==&#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22</cp:revision>
  <dcterms:created xsi:type="dcterms:W3CDTF">2022-10-03T09:10:00Z</dcterms:created>
  <dcterms:modified xsi:type="dcterms:W3CDTF">2026-09-09T07:38:58Z</dcterms:modified>
</cp:coreProperties>
</file>