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5103"/>
        <w:jc w:val="right"/>
        <w:rPr>
          <w:rFonts w:ascii="Times New Roman" w:hAnsi="Times New Roman"/>
          <w:sz w:val="28"/>
          <w:szCs w:val="28"/>
        </w:rPr>
      </w:pPr>
      <w:r>
        <w:rPr>
          <w:rFonts w:ascii="Times New Roman" w:hAnsi="Times New Roman"/>
          <w:b/>
          <w:bCs/>
          <w:sz w:val="24"/>
          <w:szCs w:val="24"/>
        </w:rPr>
        <w:t>ПРОЄКТ</w:t>
        <w:tab/>
      </w:r>
      <w:r>
        <w:rPr>
          <w:rFonts w:ascii="Times New Roman" w:hAnsi="Times New Roman"/>
          <w:sz w:val="28"/>
          <w:szCs w:val="28"/>
        </w:rPr>
        <w:t xml:space="preserve">№ </w:t>
      </w:r>
      <w:r>
        <w:rPr>
          <w:rFonts w:ascii="Times New Roman" w:hAnsi="Times New Roman"/>
          <w:sz w:val="28"/>
          <w:szCs w:val="28"/>
        </w:rPr>
        <w:t>ПС-446</w:t>
      </w:r>
    </w:p>
    <w:p>
      <w:pPr>
        <w:tabs>
          <w:tab w:val="left" w:pos="5610"/>
          <w:tab w:val="left" w:pos="6358"/>
        </w:tabs>
        <w:spacing w:beforeAutospacing="0" w:after="0" w:afterAutospacing="0"/>
        <w:ind w:left="10206"/>
        <w:jc w:val="center"/>
        <w:rPr>
          <w:rFonts w:ascii="Times New Roman" w:hAnsi="Times New Roman"/>
          <w:sz w:val="28"/>
          <w:szCs w:val="28"/>
        </w:rPr>
      </w:pPr>
    </w:p>
    <w:p>
      <w:pPr>
        <w:tabs>
          <w:tab w:val="left" w:pos="5610"/>
          <w:tab w:val="left" w:pos="6358"/>
        </w:tabs>
        <w:spacing w:beforeAutospacing="0" w:after="0" w:afterAutospacing="0" w:line="240" w:lineRule="auto"/>
        <w:ind w:left="10206"/>
        <w:jc w:val="center"/>
        <w:rPr>
          <w:rFonts w:ascii="Times New Roman" w:hAnsi="Times New Roman"/>
          <w:sz w:val="28"/>
          <w:szCs w:val="28"/>
        </w:rPr>
      </w:pPr>
      <w:permStart w:id="0" w:edGrp="everyone"/>
      <w:r>
        <w:rPr>
          <w:rFonts w:ascii="Times New Roman" w:hAnsi="Times New Roman"/>
          <w:sz w:val="28"/>
          <w:szCs w:val="28"/>
        </w:rPr>
        <w:t xml:space="preserve">Додаток </w:t>
      </w:r>
    </w:p>
    <w:p>
      <w:pPr>
        <w:spacing w:beforeAutospacing="0" w:after="0" w:afterAutospacing="0" w:line="240" w:lineRule="auto"/>
        <w:ind w:left="6437" w:firstLine="643"/>
        <w:jc w:val="center"/>
        <w:rPr>
          <w:rFonts w:ascii="Times New Roman" w:hAnsi="Times New Roman"/>
          <w:color w:val="000000"/>
          <w:sz w:val="28"/>
        </w:rPr>
      </w:pPr>
      <w:r>
        <w:rPr>
          <w:rFonts w:ascii="Times New Roman" w:hAnsi="Times New Roman"/>
          <w:sz w:val="28"/>
          <w:szCs w:val="28"/>
        </w:rPr>
        <w:t xml:space="preserve"> </w:t>
      </w:r>
      <w:r>
        <w:rPr>
          <w:rFonts w:ascii="Times New Roman" w:hAnsi="Times New Roman"/>
          <w:sz w:val="28"/>
        </w:rPr>
        <w:tab/>
        <w:tab/>
        <w:tab/>
        <w:tab/>
        <w:t xml:space="preserve">Програми участі </w:t>
      </w:r>
      <w:r>
        <w:rPr>
          <w:rFonts w:ascii="Times New Roman" w:hAnsi="Times New Roman"/>
          <w:color w:val="000000"/>
          <w:sz w:val="28"/>
        </w:rPr>
        <w:t xml:space="preserve">Броварської </w:t>
      </w:r>
    </w:p>
    <w:p>
      <w:pPr>
        <w:spacing w:beforeAutospacing="0" w:after="0" w:afterAutospacing="0" w:line="240" w:lineRule="auto"/>
        <w:ind w:left="9204" w:firstLine="708"/>
        <w:jc w:val="center"/>
        <w:rPr>
          <w:rFonts w:ascii="Times New Roman" w:hAnsi="Times New Roman"/>
          <w:color w:val="000000"/>
          <w:sz w:val="28"/>
        </w:rPr>
      </w:pPr>
      <w:r>
        <w:rPr>
          <w:rFonts w:ascii="Times New Roman" w:hAnsi="Times New Roman"/>
          <w:color w:val="000000"/>
          <w:sz w:val="28"/>
        </w:rPr>
        <w:t xml:space="preserve">  міської територіальної громади у</w:t>
      </w:r>
    </w:p>
    <w:p>
      <w:pPr>
        <w:spacing w:beforeAutospacing="0" w:after="0" w:afterAutospacing="0" w:line="240" w:lineRule="auto"/>
        <w:ind w:left="9204" w:firstLine="708"/>
        <w:rPr>
          <w:rFonts w:ascii="Times New Roman" w:hAnsi="Times New Roman"/>
          <w:color w:val="000000"/>
          <w:sz w:val="28"/>
        </w:rPr>
      </w:pPr>
      <w:r>
        <w:rPr>
          <w:rFonts w:ascii="Times New Roman" w:hAnsi="Times New Roman"/>
          <w:color w:val="000000"/>
          <w:sz w:val="28"/>
        </w:rPr>
        <w:t xml:space="preserve">        міжнародній грантовій ініціативі</w:t>
      </w:r>
    </w:p>
    <w:p>
      <w:pPr>
        <w:spacing w:beforeAutospacing="0" w:after="0" w:afterAutospacing="0" w:line="240" w:lineRule="auto"/>
        <w:ind w:left="7145"/>
        <w:jc w:val="center"/>
        <w:rPr>
          <w:rFonts w:ascii="Times New Roman" w:hAnsi="Times New Roman"/>
          <w:sz w:val="28"/>
        </w:rPr>
      </w:pPr>
      <w:r>
        <w:rPr>
          <w:rFonts w:ascii="Times New Roman" w:hAnsi="Times New Roman"/>
          <w:sz w:val="28"/>
        </w:rPr>
        <w:t xml:space="preserve">                                            «Молодіжний фонд кліматичних дій»</w:t>
      </w:r>
    </w:p>
    <w:p>
      <w:pPr>
        <w:spacing w:beforeAutospacing="0" w:after="0" w:afterAutospacing="0" w:line="240" w:lineRule="auto"/>
        <w:ind w:left="6437"/>
        <w:jc w:val="center"/>
        <w:rPr>
          <w:rFonts w:ascii="Times New Roman" w:hAnsi="Times New Roman"/>
          <w:sz w:val="28"/>
        </w:rPr>
      </w:pPr>
      <w:r>
        <w:rPr>
          <w:rFonts w:ascii="Times New Roman" w:hAnsi="Times New Roman"/>
          <w:sz w:val="28"/>
        </w:rPr>
        <w:t xml:space="preserve">                                                        на 2026-2027 роки</w:t>
      </w:r>
    </w:p>
    <w:p>
      <w:pPr>
        <w:spacing w:beforeAutospacing="0" w:after="0" w:afterAutospacing="0" w:line="240" w:lineRule="auto"/>
        <w:ind w:left="7788" w:firstLine="708"/>
        <w:jc w:val="both"/>
        <w:rPr>
          <w:rFonts w:ascii="Times New Roman" w:hAnsi="Times New Roman"/>
          <w:iCs/>
          <w:sz w:val="28"/>
          <w:szCs w:val="28"/>
        </w:rPr>
      </w:pPr>
      <w:r>
        <w:rPr>
          <w:rFonts w:ascii="Times New Roman" w:hAnsi="Times New Roman"/>
          <w:sz w:val="28"/>
        </w:rPr>
        <w:t xml:space="preserve"> </w:t>
      </w:r>
    </w:p>
    <w:p>
      <w:pPr>
        <w:spacing w:beforeAutospacing="0" w:after="0" w:afterAutospacing="0" w:line="240" w:lineRule="auto"/>
        <w:ind w:left="65"/>
        <w:jc w:val="center"/>
        <w:rPr>
          <w:rFonts w:ascii="Times New Roman" w:hAnsi="Times New Roman"/>
          <w:b/>
          <w:sz w:val="28"/>
        </w:rPr>
      </w:pPr>
      <w:r>
        <w:rPr>
          <w:rFonts w:ascii="Times New Roman" w:hAnsi="Times New Roman"/>
          <w:b/>
          <w:sz w:val="28"/>
        </w:rPr>
        <w:t>Заходи та потреба у фінансуванні реалізації</w:t>
      </w:r>
    </w:p>
    <w:p>
      <w:pPr>
        <w:spacing w:beforeAutospacing="0" w:after="0" w:afterAutospacing="0" w:line="240" w:lineRule="auto"/>
        <w:ind w:left="65"/>
        <w:jc w:val="center"/>
        <w:rPr>
          <w:rFonts w:ascii="Times New Roman" w:hAnsi="Times New Roman"/>
          <w:b/>
          <w:color w:val="000000"/>
          <w:sz w:val="28"/>
        </w:rPr>
      </w:pPr>
      <w:r>
        <w:rPr>
          <w:rFonts w:ascii="Times New Roman" w:hAnsi="Times New Roman"/>
          <w:b/>
          <w:sz w:val="28"/>
        </w:rPr>
        <w:t xml:space="preserve">Програми участі </w:t>
      </w:r>
      <w:r>
        <w:rPr>
          <w:rFonts w:ascii="Times New Roman" w:hAnsi="Times New Roman"/>
          <w:b/>
          <w:color w:val="000000"/>
          <w:sz w:val="28"/>
        </w:rPr>
        <w:t>Броварської міської територіальної громади у</w:t>
      </w:r>
    </w:p>
    <w:p>
      <w:pPr>
        <w:spacing w:beforeAutospacing="0" w:after="0" w:afterAutospacing="0" w:line="240" w:lineRule="auto"/>
        <w:ind w:left="65"/>
        <w:jc w:val="center"/>
        <w:rPr>
          <w:rFonts w:ascii="Times New Roman" w:hAnsi="Times New Roman"/>
          <w:b/>
          <w:sz w:val="28"/>
        </w:rPr>
      </w:pPr>
      <w:r>
        <w:rPr>
          <w:rFonts w:ascii="Times New Roman" w:hAnsi="Times New Roman"/>
          <w:b/>
          <w:color w:val="000000"/>
          <w:sz w:val="28"/>
        </w:rPr>
        <w:t xml:space="preserve">міжнародній грантовій ініціативі </w:t>
      </w:r>
      <w:r>
        <w:rPr>
          <w:rFonts w:ascii="Times New Roman" w:hAnsi="Times New Roman"/>
          <w:b/>
          <w:sz w:val="28"/>
        </w:rPr>
        <w:t>«Молодіжний фонд кліматичних дій»</w:t>
      </w:r>
      <w:r>
        <w:rPr>
          <w:rFonts w:ascii="Times New Roman" w:hAnsi="Times New Roman"/>
          <w:b/>
          <w:color w:val="000000"/>
          <w:sz w:val="28"/>
        </w:rPr>
        <w:t xml:space="preserve"> </w:t>
      </w:r>
      <w:r>
        <w:rPr>
          <w:rFonts w:ascii="Times New Roman" w:hAnsi="Times New Roman"/>
          <w:b/>
          <w:sz w:val="28"/>
        </w:rPr>
        <w:t>на 2026-2027 роки</w:t>
      </w:r>
    </w:p>
    <w:p>
      <w:pPr>
        <w:spacing w:beforeAutospacing="0" w:after="0" w:afterAutospacing="0" w:line="240" w:lineRule="auto"/>
        <w:jc w:val="both"/>
        <w:rPr>
          <w:rFonts w:ascii="Times New Roman" w:hAnsi="Times New Roman"/>
          <w:iCs/>
          <w:sz w:val="28"/>
          <w:szCs w:val="28"/>
        </w:rPr>
      </w:pPr>
    </w:p>
    <w:tbl>
      <w:tblPr>
        <w:tblW w:w="14953" w:type="dxa"/>
        <w:shd w:val="clear" w:color="auto" w:fill="FFFFFF"/>
        <w:tblLayout w:type="fixed"/>
        <w:tblLook w:val="04A0"/>
      </w:tblPr>
      <w:tblGrid>
        <w:gridCol w:w="845"/>
        <w:gridCol w:w="3914"/>
        <w:gridCol w:w="3003"/>
        <w:gridCol w:w="2253"/>
        <w:gridCol w:w="1559"/>
        <w:gridCol w:w="1700"/>
        <w:gridCol w:w="1679"/>
      </w:tblGrid>
      <w:tr>
        <w:tblPrEx>
          <w:tblW w:w="14953" w:type="dxa"/>
          <w:shd w:val="clear" w:color="auto" w:fill="FFFFFF"/>
          <w:tblLayout w:type="fixed"/>
          <w:tblLook w:val="04A0"/>
        </w:tblPrEx>
        <w:trPr>
          <w:trHeight w:val="606"/>
        </w:trPr>
        <w:tc>
          <w:tcPr>
            <w:tcW w:w="845" w:type="dxa"/>
            <w:vMerge w:val="restart"/>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bookmarkStart w:id="1" w:name="_Hlk239329004" w:colFirst="0" w:colLast="5"/>
            <w:r>
              <w:rPr>
                <w:rFonts w:ascii="Times New Roman" w:hAnsi="Times New Roman"/>
                <w:b/>
                <w:sz w:val="28"/>
              </w:rPr>
              <w:t>№</w:t>
            </w:r>
          </w:p>
        </w:tc>
        <w:tc>
          <w:tcPr>
            <w:tcW w:w="3914" w:type="dxa"/>
            <w:vMerge w:val="restart"/>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Заходи Програми</w:t>
            </w:r>
          </w:p>
        </w:tc>
        <w:tc>
          <w:tcPr>
            <w:tcW w:w="3003" w:type="dxa"/>
            <w:vMerge w:val="restart"/>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Виконавці заходу</w:t>
            </w:r>
          </w:p>
        </w:tc>
        <w:tc>
          <w:tcPr>
            <w:tcW w:w="2253" w:type="dxa"/>
            <w:vMerge w:val="restart"/>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Термін проведення</w:t>
            </w:r>
          </w:p>
        </w:tc>
        <w:tc>
          <w:tcPr>
            <w:tcW w:w="3259" w:type="dxa"/>
            <w:gridSpan w:val="2"/>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Роки</w:t>
            </w:r>
          </w:p>
          <w:p>
            <w:pPr>
              <w:spacing w:beforeAutospacing="0" w:after="0" w:afterAutospacing="0" w:line="240" w:lineRule="auto"/>
              <w:jc w:val="center"/>
              <w:rPr>
                <w:rFonts w:ascii="Times New Roman" w:hAnsi="Times New Roman"/>
                <w:b/>
                <w:sz w:val="28"/>
              </w:rPr>
            </w:pPr>
            <w:r>
              <w:rPr>
                <w:rFonts w:ascii="Times New Roman" w:hAnsi="Times New Roman"/>
                <w:b/>
                <w:sz w:val="28"/>
              </w:rPr>
              <w:t>(грн.)</w:t>
            </w:r>
          </w:p>
        </w:tc>
        <w:tc>
          <w:tcPr>
            <w:tcW w:w="1679" w:type="dxa"/>
            <w:vMerge w:val="restart"/>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 xml:space="preserve">Всього </w:t>
            </w:r>
          </w:p>
          <w:p>
            <w:pPr>
              <w:spacing w:beforeAutospacing="0" w:after="0" w:afterAutospacing="0" w:line="240" w:lineRule="auto"/>
              <w:jc w:val="center"/>
              <w:rPr>
                <w:rFonts w:ascii="Times New Roman" w:hAnsi="Times New Roman"/>
                <w:b/>
                <w:sz w:val="28"/>
              </w:rPr>
            </w:pPr>
            <w:r>
              <w:rPr>
                <w:rFonts w:ascii="Times New Roman" w:hAnsi="Times New Roman"/>
                <w:b/>
                <w:sz w:val="28"/>
              </w:rPr>
              <w:t>(грн)</w:t>
            </w:r>
          </w:p>
        </w:tc>
      </w:tr>
      <w:tr>
        <w:tblPrEx>
          <w:tblW w:w="14953" w:type="dxa"/>
          <w:shd w:val="clear" w:color="auto" w:fill="FFFFFF"/>
          <w:tblLayout w:type="fixed"/>
          <w:tblLook w:val="04A0"/>
        </w:tblPrEx>
        <w:trPr>
          <w:trHeight w:val="606"/>
        </w:trPr>
        <w:tc>
          <w:tcPr>
            <w:tcW w:w="845" w:type="dxa"/>
            <w:vMerge/>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c>
          <w:tcPr>
            <w:tcW w:w="3914" w:type="dxa"/>
            <w:vMerge/>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c>
          <w:tcPr>
            <w:tcW w:w="3003" w:type="dxa"/>
            <w:vMerge/>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c>
          <w:tcPr>
            <w:tcW w:w="2253" w:type="dxa"/>
            <w:vMerge/>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2026</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2027</w:t>
            </w:r>
          </w:p>
        </w:tc>
        <w:tc>
          <w:tcPr>
            <w:tcW w:w="1679" w:type="dxa"/>
            <w:vMerge/>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r>
      <w:tr>
        <w:tblPrEx>
          <w:tblW w:w="14953" w:type="dxa"/>
          <w:shd w:val="clear" w:color="auto" w:fill="FFFFFF"/>
          <w:tblLayout w:type="fixed"/>
          <w:tblLook w:val="04A0"/>
        </w:tblPrEx>
        <w:trPr>
          <w:trHeight w:val="690"/>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color w:val="000000"/>
                <w:sz w:val="28"/>
              </w:rPr>
            </w:pPr>
            <w:r>
              <w:rPr>
                <w:rFonts w:ascii="Times New Roman" w:hAnsi="Times New Roman"/>
                <w:sz w:val="28"/>
              </w:rPr>
              <w:t xml:space="preserve">Створення організаційного комітету щодо реалізації </w:t>
            </w:r>
            <w:r>
              <w:rPr>
                <w:rFonts w:ascii="Times New Roman" w:hAnsi="Times New Roman"/>
                <w:color w:val="000000"/>
                <w:sz w:val="28"/>
              </w:rPr>
              <w:t>Програми</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Вересень 2026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w:t>
            </w:r>
          </w:p>
        </w:tc>
      </w:tr>
      <w:tr>
        <w:tblPrEx>
          <w:tblW w:w="14953" w:type="dxa"/>
          <w:shd w:val="clear" w:color="auto" w:fill="FFFFFF"/>
          <w:tblLayout w:type="fixed"/>
          <w:tblLook w:val="04A0"/>
        </w:tblPrEx>
        <w:trPr>
          <w:trHeight w:val="845"/>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sz w:val="28"/>
              </w:rPr>
            </w:pPr>
            <w:r>
              <w:rPr>
                <w:rFonts w:ascii="Times New Roman" w:hAnsi="Times New Roman"/>
                <w:sz w:val="28"/>
              </w:rPr>
              <w:t>Надання методологічної та консультативної підтримки проєкту (оплата послуг залучених зовнішніх експертів</w:t>
            </w:r>
            <w:r>
              <w:rPr>
                <w:rFonts w:ascii="Times New Roman" w:hAnsi="Times New Roman"/>
                <w:sz w:val="28"/>
              </w:rPr>
              <w:t xml:space="preserve"> у разі потреби</w:t>
            </w:r>
            <w:r>
              <w:rPr>
                <w:rFonts w:ascii="Times New Roman" w:hAnsi="Times New Roman"/>
                <w:sz w:val="28"/>
              </w:rPr>
              <w:t>)</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Жовтень – листопад 2026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30 000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30 000</w:t>
            </w:r>
          </w:p>
        </w:tc>
      </w:tr>
      <w:tr>
        <w:tblPrEx>
          <w:tblW w:w="14953" w:type="dxa"/>
          <w:shd w:val="clear" w:color="auto" w:fill="FFFFFF"/>
          <w:tblLayout w:type="fixed"/>
          <w:tblLook w:val="04A0"/>
        </w:tblPrEx>
        <w:trPr>
          <w:trHeight w:val="79"/>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sz w:val="28"/>
              </w:rPr>
            </w:pPr>
            <w:r>
              <w:rPr>
                <w:rFonts w:ascii="Times New Roman" w:hAnsi="Times New Roman"/>
                <w:sz w:val="28"/>
              </w:rPr>
              <w:t>Організація та проведення тренінгі</w:t>
            </w:r>
            <w:r>
              <w:rPr>
                <w:rFonts w:ascii="Times New Roman" w:hAnsi="Times New Roman"/>
                <w:sz w:val="28"/>
              </w:rPr>
              <w:t>в, семінарів та зустрічей з розробки молодіжних кліматичних ініціатив (кейтеринг під час тренінгів, нетворкінг і обмін досвідом між учасниками, логістичні послуги)</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інспекції та контролю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Жовтень 2026 року – квітень 2027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80 000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17 856,5</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97 856,5</w:t>
            </w:r>
          </w:p>
        </w:tc>
      </w:tr>
      <w:tr>
        <w:tblPrEx>
          <w:tblW w:w="14953" w:type="dxa"/>
          <w:shd w:val="clear" w:color="auto" w:fill="FFFFFF"/>
          <w:tblLayout w:type="fixed"/>
          <w:tblLook w:val="04A0"/>
        </w:tblPrEx>
        <w:trPr>
          <w:trHeight w:val="79"/>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sz w:val="28"/>
              </w:rPr>
            </w:pPr>
            <w:r>
              <w:rPr>
                <w:rFonts w:ascii="Times New Roman" w:hAnsi="Times New Roman"/>
                <w:sz w:val="28"/>
              </w:rPr>
              <w:t>Здійснення фото та відеодокументування заходів (оплата послуг</w:t>
            </w:r>
            <w:r>
              <w:rPr>
                <w:rFonts w:ascii="Times New Roman" w:hAnsi="Times New Roman"/>
                <w:sz w:val="28"/>
              </w:rPr>
              <w:t xml:space="preserve"> у разі потреби</w:t>
            </w:r>
            <w:r>
              <w:rPr>
                <w:rFonts w:ascii="Times New Roman" w:hAnsi="Times New Roman"/>
                <w:sz w:val="28"/>
              </w:rPr>
              <w:t>)</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освіти і науки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Жовтень 2026 року – квітень 2027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15 000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15 000</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30 000</w:t>
            </w:r>
          </w:p>
        </w:tc>
      </w:tr>
      <w:tr>
        <w:tblPrEx>
          <w:tblW w:w="14953" w:type="dxa"/>
          <w:shd w:val="clear" w:color="auto" w:fill="FFFFFF"/>
          <w:tblLayout w:type="fixed"/>
          <w:tblLook w:val="04A0"/>
        </w:tblPrEx>
        <w:trPr>
          <w:trHeight w:val="79"/>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sz w:val="28"/>
              </w:rPr>
            </w:pPr>
            <w:r>
              <w:rPr>
                <w:rFonts w:ascii="Times New Roman" w:hAnsi="Times New Roman"/>
                <w:sz w:val="28"/>
              </w:rPr>
              <w:t>Забезпечення продукцією з логотипом Молодіжного фонду кліматичних дій (придбання товару, оплата послуг)</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Жовтень – грудень 2026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40 000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40 000</w:t>
            </w:r>
          </w:p>
        </w:tc>
      </w:tr>
      <w:tr>
        <w:tblPrEx>
          <w:tblW w:w="14953" w:type="dxa"/>
          <w:shd w:val="clear" w:color="auto" w:fill="FFFFFF"/>
          <w:tblLayout w:type="fixed"/>
          <w:tblLook w:val="04A0"/>
        </w:tblPrEx>
        <w:trPr>
          <w:trHeight w:val="1018"/>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sz w:val="28"/>
              </w:rPr>
            </w:pPr>
            <w:r>
              <w:rPr>
                <w:rFonts w:ascii="Times New Roman" w:hAnsi="Times New Roman"/>
                <w:sz w:val="28"/>
              </w:rPr>
              <w:t>Виготовлення інформаційних матеріалів  для реалізації проєкту</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Жовтень 2026 року – квітень 2027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20 000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10 000</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30 000</w:t>
            </w:r>
          </w:p>
        </w:tc>
      </w:tr>
      <w:tr>
        <w:tblPrEx>
          <w:tblW w:w="14953" w:type="dxa"/>
          <w:shd w:val="clear" w:color="auto" w:fill="FFFFFF"/>
          <w:tblLayout w:type="fixed"/>
          <w:tblLook w:val="04A0"/>
        </w:tblPrEx>
        <w:trPr>
          <w:trHeight w:val="703"/>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ind w:left="36"/>
              <w:jc w:val="left"/>
              <w:rPr>
                <w:rFonts w:ascii="Times New Roman" w:hAnsi="Times New Roman"/>
                <w:sz w:val="28"/>
              </w:rPr>
            </w:pPr>
            <w:r>
              <w:rPr>
                <w:rFonts w:ascii="Times New Roman" w:hAnsi="Times New Roman"/>
                <w:sz w:val="28"/>
              </w:rPr>
              <w:t>Забезпечення організаційною технікою (купівля/оренда) для потреб реалізації грантової ініціативи</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економіки та інвестицій виконавчого комітету Броварської міської ради Броварського району Київської області, 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Жовтень 2026 року – квітень 2027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60 000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20 000</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80 000</w:t>
            </w:r>
          </w:p>
        </w:tc>
      </w:tr>
      <w:tr>
        <w:tblPrEx>
          <w:tblW w:w="14953" w:type="dxa"/>
          <w:shd w:val="clear" w:color="auto" w:fill="FFFFFF"/>
          <w:tblLayout w:type="fixed"/>
          <w:tblLook w:val="04A0"/>
        </w:tblPrEx>
        <w:trPr>
          <w:trHeight w:val="145"/>
        </w:trPr>
        <w:tc>
          <w:tcPr>
            <w:tcW w:w="845" w:type="dxa"/>
            <w:tcBorders>
              <w:top w:val="single" w:sz="4" w:space="0" w:color="auto"/>
              <w:left w:val="single" w:sz="4" w:space="0" w:color="auto"/>
              <w:bottom w:val="single" w:sz="4" w:space="0" w:color="auto"/>
              <w:right w:val="single" w:sz="4" w:space="0" w:color="auto"/>
            </w:tcBorders>
          </w:tcPr>
          <w:p>
            <w:pPr>
              <w:numPr>
                <w:ilvl w:val="0"/>
                <w:numId w:val="1"/>
              </w:numPr>
              <w:spacing w:beforeAutospacing="0" w:after="0" w:afterAutospacing="0"/>
              <w:jc w:val="center"/>
              <w:rPr>
                <w:rFonts w:ascii="Times New Roman" w:hAnsi="Times New Roman"/>
                <w:iCs/>
                <w:sz w:val="28"/>
                <w:szCs w:val="28"/>
              </w:rPr>
            </w:pPr>
          </w:p>
        </w:tc>
        <w:tc>
          <w:tcPr>
            <w:tcW w:w="3914"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Фінансування проєктних заявок переможців за результатами відбору</w:t>
            </w: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Управління централізованого бухгалтерського обліку виконавчого комітету Броварської міської ради Броварського району Київської області</w:t>
            </w: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left"/>
              <w:rPr>
                <w:rFonts w:ascii="Times New Roman" w:hAnsi="Times New Roman"/>
                <w:sz w:val="28"/>
              </w:rPr>
            </w:pPr>
            <w:r>
              <w:rPr>
                <w:rFonts w:ascii="Times New Roman" w:hAnsi="Times New Roman"/>
                <w:sz w:val="28"/>
              </w:rPr>
              <w:t>Вересень – грудень 2026 року</w:t>
            </w: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1 900 000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1 900 000</w:t>
            </w:r>
          </w:p>
        </w:tc>
      </w:tr>
      <w:tr>
        <w:tblPrEx>
          <w:tblW w:w="14953" w:type="dxa"/>
          <w:shd w:val="clear" w:color="auto" w:fill="FFFFFF"/>
          <w:tblLayout w:type="fixed"/>
          <w:tblLook w:val="04A0"/>
        </w:tblPrEx>
        <w:trPr>
          <w:trHeight w:val="145"/>
        </w:trPr>
        <w:tc>
          <w:tcPr>
            <w:tcW w:w="4759" w:type="dxa"/>
            <w:gridSpan w:val="2"/>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b/>
                <w:sz w:val="28"/>
              </w:rPr>
            </w:pPr>
            <w:r>
              <w:rPr>
                <w:rFonts w:ascii="Times New Roman" w:hAnsi="Times New Roman"/>
                <w:b/>
                <w:sz w:val="28"/>
              </w:rPr>
              <w:t>Всього</w:t>
            </w:r>
          </w:p>
          <w:p>
            <w:pPr>
              <w:spacing w:beforeAutospacing="0" w:after="0" w:afterAutospacing="0" w:line="240" w:lineRule="auto"/>
              <w:jc w:val="center"/>
              <w:rPr>
                <w:rFonts w:ascii="Times New Roman" w:hAnsi="Times New Roman"/>
                <w:b/>
                <w:sz w:val="28"/>
              </w:rPr>
            </w:pPr>
          </w:p>
        </w:tc>
        <w:tc>
          <w:tcPr>
            <w:tcW w:w="300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c>
          <w:tcPr>
            <w:tcW w:w="2253"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iCs/>
                <w:sz w:val="28"/>
                <w:szCs w:val="28"/>
              </w:rPr>
            </w:pPr>
          </w:p>
        </w:tc>
        <w:tc>
          <w:tcPr>
            <w:tcW w:w="155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2 145 000,0</w:t>
            </w:r>
          </w:p>
        </w:tc>
        <w:tc>
          <w:tcPr>
            <w:tcW w:w="1700"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62 856,5</w:t>
            </w:r>
          </w:p>
        </w:tc>
        <w:tc>
          <w:tcPr>
            <w:tcW w:w="1679" w:type="dxa"/>
            <w:tcBorders>
              <w:top w:val="single" w:sz="4" w:space="0" w:color="auto"/>
              <w:left w:val="single" w:sz="4" w:space="0" w:color="auto"/>
              <w:bottom w:val="single" w:sz="4" w:space="0" w:color="auto"/>
              <w:right w:val="single" w:sz="4" w:space="0" w:color="auto"/>
            </w:tcBorders>
          </w:tcPr>
          <w:p>
            <w:pPr>
              <w:spacing w:beforeAutospacing="0" w:after="0" w:afterAutospacing="0" w:line="240" w:lineRule="auto"/>
              <w:jc w:val="center"/>
              <w:rPr>
                <w:rFonts w:ascii="Times New Roman" w:hAnsi="Times New Roman"/>
                <w:sz w:val="28"/>
              </w:rPr>
            </w:pPr>
            <w:r>
              <w:rPr>
                <w:rFonts w:ascii="Times New Roman" w:hAnsi="Times New Roman"/>
                <w:sz w:val="28"/>
              </w:rPr>
              <w:t>2 207 856,5</w:t>
            </w:r>
          </w:p>
        </w:tc>
      </w:tr>
    </w:tbl>
    <w:p>
      <w:pPr>
        <w:spacing w:beforeAutospacing="0" w:after="0" w:afterAutospacing="0" w:line="240" w:lineRule="auto"/>
        <w:jc w:val="both"/>
        <w:rPr>
          <w:rFonts w:ascii="Times New Roman" w:hAnsi="Times New Roman"/>
          <w:iCs/>
          <w:sz w:val="28"/>
          <w:szCs w:val="28"/>
        </w:rPr>
      </w:pPr>
      <w:bookmarkEnd w:id="1"/>
    </w:p>
    <w:p>
      <w:pPr>
        <w:spacing w:beforeAutospacing="0" w:after="0" w:afterAutospacing="0" w:line="240" w:lineRule="auto"/>
        <w:jc w:val="both"/>
        <w:rPr>
          <w:rFonts w:ascii="Times New Roman" w:hAnsi="Times New Roman"/>
          <w:iCs/>
          <w:sz w:val="28"/>
          <w:szCs w:val="28"/>
        </w:rPr>
      </w:pPr>
    </w:p>
    <w:p>
      <w:pPr>
        <w:spacing w:beforeAutospacing="0" w:after="0" w:afterAutospacing="0" w:line="240" w:lineRule="auto"/>
        <w:jc w:val="both"/>
        <w:rPr>
          <w:rFonts w:ascii="Times New Roman" w:hAnsi="Times New Roman"/>
          <w:sz w:val="28"/>
        </w:rPr>
      </w:pPr>
      <w:r>
        <w:rPr>
          <w:rFonts w:ascii="Times New Roman" w:hAnsi="Times New Roman"/>
          <w:sz w:val="28"/>
        </w:rPr>
        <w:t xml:space="preserve">Міський голова </w:t>
        <w:tab/>
        <w:tab/>
        <w:tab/>
        <w:tab/>
        <w:tab/>
        <w:tab/>
        <w:tab/>
        <w:tab/>
        <w:tab/>
        <w:tab/>
        <w:tab/>
        <w:tab/>
        <w:tab/>
        <w:tab/>
        <w:tab/>
        <w:t xml:space="preserve"> Ігор САПОЖКО</w:t>
      </w:r>
    </w:p>
    <w:p>
      <w:pPr>
        <w:tabs>
          <w:tab w:val="left" w:pos="5610"/>
          <w:tab w:val="left" w:pos="6358"/>
        </w:tabs>
        <w:spacing w:beforeAutospacing="0" w:after="0" w:afterAutospacing="0" w:line="240" w:lineRule="auto"/>
        <w:ind w:left="10206"/>
        <w:jc w:val="center"/>
        <w:rPr>
          <w:rFonts w:ascii="Times New Roman" w:hAnsi="Times New Roman"/>
          <w:iCs/>
          <w:sz w:val="28"/>
          <w:szCs w:val="28"/>
        </w:rPr>
      </w:pPr>
      <w:permEnd w:id="0"/>
    </w:p>
    <w:sectPr>
      <w:headerReference w:type="default" r:id="rId4"/>
      <w:footerReference w:type="default" r:id="rId5"/>
      <w:type w:val="nextPage"/>
      <w:pgSz w:w="16838" w:h="11906" w:orient="landscape" w:code="0"/>
      <w:pgMar w:top="1701" w:right="678" w:bottom="1134" w:left="1276" w:header="708" w:footer="708"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center" w:pos="4819"/>
        <w:tab w:val="right" w:pos="9639"/>
      </w:tabs>
      <w:jc w:val="right"/>
      <w:rPr>
        <w:color w:val="7F7F7F" w:themeColor="text1" w:themeTint="80"/>
      </w:rPr>
    </w:pPr>
    <w:r>
      <w:rPr>
        <w:rFonts w:ascii="Antiqua" w:hAnsi="Antiqua"/>
        <w:color w:val="7F7F7F" w:themeColor="text1" w:themeTint="80"/>
        <w:sz w:val="28"/>
        <w:szCs w:val="20"/>
        <w:lang w:val="hr-HR" w:eastAsia="ru-RU"/>
      </w:rPr>
      <w:t>Продовження додатку</w:t>
    </w:r>
  </w:p>
  <w:p>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spacing w:beforeAutospacing="0" w:afterAutospacing="0" w:line="240" w:lineRule="auto"/>
        <w:ind w:left="644" w:hanging="360"/>
      </w:pPr>
    </w:lvl>
    <w:lvl w:ilvl="1">
      <w:start w:val="1"/>
      <w:numFmt w:val="lowerLetter"/>
      <w:lvlText w:val="%2."/>
      <w:lvlJc w:val="left"/>
      <w:pPr>
        <w:spacing w:beforeAutospacing="0" w:afterAutospacing="0" w:line="240" w:lineRule="auto"/>
        <w:ind w:left="1364" w:hanging="360"/>
      </w:pPr>
    </w:lvl>
    <w:lvl w:ilvl="2">
      <w:start w:val="1"/>
      <w:numFmt w:val="lowerRoman"/>
      <w:lvlText w:val="%3."/>
      <w:lvlJc w:val="right"/>
      <w:pPr>
        <w:spacing w:beforeAutospacing="0" w:afterAutospacing="0" w:line="240" w:lineRule="auto"/>
        <w:ind w:left="2084" w:hanging="180"/>
      </w:pPr>
    </w:lvl>
    <w:lvl w:ilvl="3">
      <w:start w:val="1"/>
      <w:numFmt w:val="decimal"/>
      <w:lvlText w:val="%4."/>
      <w:lvlJc w:val="left"/>
      <w:pPr>
        <w:spacing w:beforeAutospacing="0" w:afterAutospacing="0" w:line="240" w:lineRule="auto"/>
        <w:ind w:left="2804" w:hanging="360"/>
      </w:pPr>
    </w:lvl>
    <w:lvl w:ilvl="4">
      <w:start w:val="1"/>
      <w:numFmt w:val="lowerLetter"/>
      <w:lvlText w:val="%5."/>
      <w:lvlJc w:val="left"/>
      <w:pPr>
        <w:spacing w:beforeAutospacing="0" w:afterAutospacing="0" w:line="240" w:lineRule="auto"/>
        <w:ind w:left="3524" w:hanging="360"/>
      </w:pPr>
    </w:lvl>
    <w:lvl w:ilvl="5">
      <w:start w:val="1"/>
      <w:numFmt w:val="lowerRoman"/>
      <w:lvlText w:val="%6."/>
      <w:lvlJc w:val="right"/>
      <w:pPr>
        <w:spacing w:beforeAutospacing="0" w:afterAutospacing="0" w:line="240" w:lineRule="auto"/>
        <w:ind w:left="4244" w:hanging="180"/>
      </w:pPr>
    </w:lvl>
    <w:lvl w:ilvl="6">
      <w:start w:val="1"/>
      <w:numFmt w:val="decimal"/>
      <w:lvlText w:val="%7."/>
      <w:lvlJc w:val="left"/>
      <w:pPr>
        <w:spacing w:beforeAutospacing="0" w:afterAutospacing="0" w:line="240" w:lineRule="auto"/>
        <w:ind w:left="4964" w:hanging="360"/>
      </w:pPr>
    </w:lvl>
    <w:lvl w:ilvl="7">
      <w:start w:val="1"/>
      <w:numFmt w:val="lowerLetter"/>
      <w:lvlText w:val="%8."/>
      <w:lvlJc w:val="left"/>
      <w:pPr>
        <w:spacing w:beforeAutospacing="0" w:afterAutospacing="0" w:line="240" w:lineRule="auto"/>
        <w:ind w:left="5684" w:hanging="360"/>
      </w:pPr>
    </w:lvl>
    <w:lvl w:ilvl="8">
      <w:start w:val="1"/>
      <w:numFmt w:val="lowerRoman"/>
      <w:lvlText w:val="%9."/>
      <w:lvlJc w:val="right"/>
      <w:pPr>
        <w:spacing w:beforeAutospacing="0" w:afterAutospacing="0" w:line="240" w:lineRule="auto"/>
        <w:ind w:left="6404" w:hanging="180"/>
      </w:pPr>
    </w:lvl>
  </w:abstractNum>
  <w:abstractNum w:abstractNumId="1">
    <w:nsid w:val="00000002"/>
    <w:multiLevelType w:val="hybridMultilevel"/>
    <w:tmpl w:val="00000000"/>
    <w:lvl w:ilvl="0">
      <w:start w:val="1"/>
      <w:numFmt w:val="decimal"/>
      <w:lvlText w:val="%1"/>
      <w:lvlJc w:val="left"/>
      <w:pPr>
        <w:spacing w:beforeAutospacing="0" w:afterAutospacing="0" w:line="240" w:lineRule="auto"/>
        <w:ind w:left="720" w:hanging="360"/>
      </w:pPr>
    </w:lvl>
    <w:lvl w:ilvl="1">
      <w:start w:val="1"/>
      <w:numFmt w:val="lowerLetter"/>
      <w:lvlText w:val="%2."/>
      <w:lvlJc w:val="left"/>
      <w:pPr>
        <w:spacing w:beforeAutospacing="0" w:afterAutospacing="0" w:line="240" w:lineRule="auto"/>
        <w:ind w:left="1440" w:hanging="360"/>
      </w:pPr>
    </w:lvl>
    <w:lvl w:ilvl="2">
      <w:start w:val="1"/>
      <w:numFmt w:val="lowerRoman"/>
      <w:lvlText w:val="%3."/>
      <w:lvlJc w:val="right"/>
      <w:pPr>
        <w:spacing w:beforeAutospacing="0" w:afterAutospacing="0" w:line="240" w:lineRule="auto"/>
        <w:ind w:left="2160" w:hanging="180"/>
      </w:pPr>
    </w:lvl>
    <w:lvl w:ilvl="3">
      <w:start w:val="1"/>
      <w:numFmt w:val="decimal"/>
      <w:lvlText w:val="%4."/>
      <w:lvlJc w:val="left"/>
      <w:pPr>
        <w:spacing w:beforeAutospacing="0" w:afterAutospacing="0" w:line="240" w:lineRule="auto"/>
        <w:ind w:left="2880" w:hanging="360"/>
      </w:pPr>
    </w:lvl>
    <w:lvl w:ilvl="4">
      <w:start w:val="1"/>
      <w:numFmt w:val="lowerLetter"/>
      <w:lvlText w:val="%5."/>
      <w:lvlJc w:val="left"/>
      <w:pPr>
        <w:spacing w:beforeAutospacing="0" w:afterAutospacing="0" w:line="240" w:lineRule="auto"/>
        <w:ind w:left="3600" w:hanging="360"/>
      </w:pPr>
    </w:lvl>
    <w:lvl w:ilvl="5">
      <w:start w:val="1"/>
      <w:numFmt w:val="lowerRoman"/>
      <w:lvlText w:val="%6."/>
      <w:lvlJc w:val="right"/>
      <w:pPr>
        <w:spacing w:beforeAutospacing="0" w:afterAutospacing="0" w:line="240" w:lineRule="auto"/>
        <w:ind w:left="4320" w:hanging="180"/>
      </w:pPr>
    </w:lvl>
    <w:lvl w:ilvl="6">
      <w:start w:val="1"/>
      <w:numFmt w:val="decimal"/>
      <w:lvlText w:val="%7."/>
      <w:lvlJc w:val="left"/>
      <w:pPr>
        <w:spacing w:beforeAutospacing="0" w:afterAutospacing="0" w:line="240" w:lineRule="auto"/>
        <w:ind w:left="5040" w:hanging="360"/>
      </w:pPr>
    </w:lvl>
    <w:lvl w:ilvl="7">
      <w:start w:val="1"/>
      <w:numFmt w:val="lowerLetter"/>
      <w:lvlText w:val="%8."/>
      <w:lvlJc w:val="left"/>
      <w:pPr>
        <w:spacing w:beforeAutospacing="0" w:afterAutospacing="0" w:line="240" w:lineRule="auto"/>
        <w:ind w:left="5760" w:hanging="360"/>
      </w:pPr>
    </w:lvl>
    <w:lvl w:ilvl="8">
      <w:start w:val="1"/>
      <w:numFmt w:val="lowerRoman"/>
      <w:lvlText w:val="%9."/>
      <w:lvlJc w:val="right"/>
      <w:pPr>
        <w:spacing w:beforeAutospacing="0" w:afterAutospacing="0" w:line="240" w:lineRule="auto"/>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l76JaJok92b2pX/0ko/KlWZAG6n90MaQKqH+HTf0spl+wA+0sD9Re6PibV0YinWXuLEN330JL/9D&#10;PVJ+zU7gOA==&#10;" w:salt="4ZBNdUCahv72AcEy7OX8rQ==&#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paragraph" w:styleId="FootnoteText">
    <w:name w:val="footnote text"/>
    <w:link w:val="FootnoteTextChar"/>
    <w:semiHidden/>
    <w:pPr>
      <w:spacing w:after="0" w:line="240" w:lineRule="auto"/>
    </w:pPr>
    <w:rPr>
      <w:sz w:val="20"/>
      <w:szCs w:val="20"/>
    </w:rPr>
  </w:style>
  <w:style w:type="paragraph" w:styleId="EndnoteText">
    <w:name w:val="endnote text"/>
    <w:link w:val="EndnoteTextChar"/>
    <w:semiHidden/>
    <w:pPr>
      <w:spacing w:after="0" w:line="240" w:lineRule="auto"/>
    </w:pPr>
    <w:rPr>
      <w:sz w:val="20"/>
      <w:szCs w:val="20"/>
    </w:r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character" w:styleId="FootnoteReference">
    <w:name w:val="footnote reference"/>
    <w:semiHidden/>
    <w:rPr>
      <w:vertAlign w:val="superscript"/>
    </w:rPr>
  </w:style>
  <w:style w:type="character" w:customStyle="1" w:styleId="FootnoteTextChar">
    <w:name w:val="Footnote Text Char"/>
    <w:link w:val="FootnoteText"/>
    <w:semiHidden/>
    <w:rPr>
      <w:sz w:val="20"/>
      <w:szCs w:val="20"/>
    </w:rPr>
  </w:style>
  <w:style w:type="character" w:styleId="EndnoteReference">
    <w:name w:val="endnote reference"/>
    <w:semiHidden/>
    <w:rPr>
      <w:vertAlign w:val="superscript"/>
    </w:rPr>
  </w:style>
  <w:style w:type="character" w:customStyle="1" w:styleId="EndnoteTextChar">
    <w:name w:val="Endnote Text Char"/>
    <w:link w:val="EndnoteText"/>
    <w:semiHidden/>
    <w:rPr>
      <w:sz w:val="20"/>
      <w:szCs w:val="20"/>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20</cp:revision>
  <dcterms:created xsi:type="dcterms:W3CDTF">2023-03-27T06:23:00Z</dcterms:created>
  <dcterms:modified xsi:type="dcterms:W3CDTF">2026-09-09T07:46:45Z</dcterms:modified>
</cp:coreProperties>
</file>