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>ПРОЄКТ</w:t>
        <w:tab/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ПС-446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permStart w:id="0" w:edGrp="everyone"/>
      <w:r>
        <w:rPr>
          <w:rFonts w:ascii="Times New Roman" w:hAnsi="Times New Roman"/>
          <w:sz w:val="28"/>
          <w:szCs w:val="28"/>
        </w:rPr>
        <w:t>Додаток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</w:rPr>
        <w:t>ЗАТВЕРДЖЕНО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Рішення Броварської міської ради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Броварського району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Київської області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36"/>
          <w:szCs w:val="36"/>
          <w:u w:val="none"/>
          <w:shd w:val="clear" w:color="auto" w:fill="FFFFFF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36"/>
          <w:szCs w:val="36"/>
          <w:u w:val="none"/>
          <w:shd w:val="clear" w:color="auto" w:fill="FFFFFF"/>
          <w:vertAlign w:val="baseline"/>
          <w:lang w:val="x-none"/>
        </w:rPr>
        <w:t>П Р О Г Р А М А</w:t>
      </w: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65" w:right="0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auto"/>
          <w:vertAlign w:val="baseline"/>
          <w:lang w:val="x-none"/>
        </w:rPr>
        <w:t>участі Броварської міської територіальної громади у міжнародній грантовій ініціативі</w:t>
      </w:r>
    </w:p>
    <w:p>
      <w:pPr>
        <w:widowControl/>
        <w:bidi w:val="0"/>
        <w:spacing w:after="0" w:line="240" w:lineRule="auto"/>
        <w:ind w:left="65" w:right="0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«Молодіжний фонд кліматичних дій»</w:t>
      </w:r>
    </w:p>
    <w:p>
      <w:pPr>
        <w:widowControl/>
        <w:bidi w:val="0"/>
        <w:spacing w:after="0" w:line="240" w:lineRule="auto"/>
        <w:ind w:left="65" w:right="0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на 2026-2027 роки</w:t>
      </w: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</w:t>
      </w: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  <w:t xml:space="preserve"> </w:t>
      </w: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</w:t>
      </w: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  <w:t xml:space="preserve"> </w:t>
      </w: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 </w:t>
      </w: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  </w:t>
      </w: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  <w:t>м. Бровари</w:t>
      </w: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  <w:t>2026</w:t>
      </w: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  <w:t>ПАСПОРТ</w:t>
      </w: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  <w:t>(загальна характеристика проєкту)</w:t>
      </w:r>
    </w:p>
    <w:p>
      <w:pPr>
        <w:widowControl/>
        <w:bidi w:val="0"/>
        <w:spacing w:after="0" w:line="240" w:lineRule="auto"/>
        <w:ind w:left="65" w:right="0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auto"/>
          <w:vertAlign w:val="baseline"/>
          <w:lang w:val="x-none"/>
        </w:rPr>
        <w:t>Програми участі Броварської міської територіальної громади у міжнародній грантовій ініціативі</w:t>
      </w:r>
    </w:p>
    <w:p>
      <w:pPr>
        <w:widowControl/>
        <w:bidi w:val="0"/>
        <w:spacing w:after="0" w:line="240" w:lineRule="auto"/>
        <w:ind w:left="65" w:right="0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«Молодіжний фонд кліматичних дій»</w:t>
      </w:r>
    </w:p>
    <w:p>
      <w:pPr>
        <w:widowControl/>
        <w:bidi w:val="0"/>
        <w:spacing w:after="0" w:line="240" w:lineRule="auto"/>
        <w:ind w:left="65" w:right="0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на 2026-2027 роки</w:t>
      </w:r>
    </w:p>
    <w:p>
      <w:pPr>
        <w:widowControl/>
        <w:bidi w:val="0"/>
        <w:spacing w:after="0" w:line="240" w:lineRule="auto"/>
        <w:ind w:left="0" w:right="142" w:firstLine="425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shd w:val="clear" w:color="auto" w:fill="FFFFFF"/>
        <w:tblCellMar>
          <w:top w:w="0" w:type="dxa"/>
          <w:bottom w:w="0" w:type="dxa"/>
        </w:tblCellMar>
        <w:tblLook w:val="0000"/>
      </w:tblPr>
      <w:tblGrid>
        <w:gridCol w:w="2252"/>
        <w:gridCol w:w="1807"/>
        <w:gridCol w:w="1776"/>
        <w:gridCol w:w="1365"/>
      </w:tblGrid>
      <w:tr>
        <w:tblPrEx>
          <w:tblW w:w="0" w:type="auto"/>
          <w:shd w:val="clear" w:color="auto" w:fill="FFFFFF"/>
          <w:tblLook w:val="0000"/>
        </w:tblPrEx>
        <w:trPr>
          <w:trHeight w:val="868"/>
        </w:trPr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left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1.Ініціатор   розроблення проєкту</w:t>
            </w:r>
          </w:p>
        </w:tc>
        <w:tc>
          <w:tcPr>
            <w:tcW w:w="6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Виконавчий комітет Броварської міської ради Броварського району Київської області</w:t>
            </w:r>
          </w:p>
        </w:tc>
      </w:tr>
      <w:tr>
        <w:tblPrEx>
          <w:tblW w:w="0" w:type="auto"/>
          <w:shd w:val="clear" w:color="auto" w:fill="FFFFFF"/>
          <w:tblLook w:val="0000"/>
        </w:tblPrEx>
        <w:trPr>
          <w:trHeight w:val="1295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left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2. Розробник   проєкту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Управління економіки та інвестицій виконавчого   комітету Броварської міської ради Броварського району Київської області</w:t>
            </w:r>
          </w:p>
        </w:tc>
      </w:tr>
      <w:tr>
        <w:tblPrEx>
          <w:tblW w:w="0" w:type="auto"/>
          <w:shd w:val="clear" w:color="auto" w:fill="FFFFFF"/>
          <w:tblLook w:val="0000"/>
        </w:tblPrEx>
        <w:trPr>
          <w:trHeight w:val="868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left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3. Виконавці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Виконавчі органи Броварської міської ради Броварського району Київської області та структурні підрозділи виконавчого комітету Броварської міської ради Броварського району Київської області</w:t>
            </w:r>
          </w:p>
        </w:tc>
      </w:tr>
      <w:tr>
        <w:tblPrEx>
          <w:tblW w:w="0" w:type="auto"/>
          <w:shd w:val="clear" w:color="auto" w:fill="FFFFFF"/>
          <w:tblLook w:val="0000"/>
        </w:tblPrEx>
        <w:trPr>
          <w:trHeight w:val="1700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left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4.Цільові групи Програми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Виконавчі органи Броварської міської ради Броварського району Київської області, навчальній заклади, позашкільні заклади, Молодіжна рада Броварської міської територіальної громади, молодіжні організації та благодійні організації</w:t>
            </w:r>
          </w:p>
          <w:p>
            <w:pPr>
              <w:widowControl/>
              <w:bidi w:val="0"/>
              <w:spacing w:after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szCs w:val="28"/>
                <w:u w:val="none"/>
                <w:shd w:val="clear" w:color="auto" w:fill="auto"/>
                <w:vertAlign w:val="baseline"/>
                <w:lang w:val="x-none"/>
              </w:rPr>
              <w:t xml:space="preserve">      </w:t>
            </w: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 xml:space="preserve"> </w:t>
            </w:r>
          </w:p>
        </w:tc>
      </w:tr>
      <w:tr>
        <w:tblPrEx>
          <w:tblW w:w="0" w:type="auto"/>
          <w:shd w:val="clear" w:color="auto" w:fill="FFFFFF"/>
          <w:tblLook w:val="0000"/>
        </w:tblPrEx>
        <w:trPr>
          <w:trHeight w:val="749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left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5. Термін   реалізації проєкту</w:t>
            </w:r>
          </w:p>
          <w:p>
            <w:pPr>
              <w:widowControl/>
              <w:bidi w:val="0"/>
              <w:spacing w:after="0" w:line="240" w:lineRule="auto"/>
              <w:ind w:left="0" w:right="140" w:firstLine="426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2026-2027 роки</w:t>
            </w:r>
          </w:p>
        </w:tc>
      </w:tr>
      <w:tr>
        <w:tblPrEx>
          <w:tblW w:w="0" w:type="auto"/>
          <w:shd w:val="clear" w:color="auto" w:fill="FFFFFF"/>
          <w:tblLook w:val="0000"/>
        </w:tblPrEx>
        <w:trPr>
          <w:trHeight w:val="1295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left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6. Фінансування проєкту</w:t>
            </w:r>
          </w:p>
          <w:p>
            <w:pPr>
              <w:widowControl/>
              <w:bidi w:val="0"/>
              <w:spacing w:after="0" w:line="240" w:lineRule="auto"/>
              <w:ind w:left="0" w:right="140" w:firstLine="426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 xml:space="preserve">Кошти </w:t>
            </w: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szCs w:val="28"/>
                <w:u w:val="none"/>
                <w:shd w:val="clear" w:color="auto" w:fill="auto"/>
                <w:vertAlign w:val="baseline"/>
                <w:lang w:val="x-none"/>
              </w:rPr>
              <w:t xml:space="preserve">Молодіжного фонду кліматичних дій (Youth Climate Action Fund) </w:t>
            </w: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у сумі 50 000 доларів (в еквіваленті) згідно курсу НБУ, отримані на рахунок виконавчого комітету Броварської міської ради Броварського району Київської області  31 серпня 2026 року, складають 2 207 856,5 грн.</w:t>
            </w:r>
          </w:p>
        </w:tc>
      </w:tr>
      <w:tr>
        <w:tblPrEx>
          <w:tblW w:w="0" w:type="auto"/>
          <w:shd w:val="clear" w:color="auto" w:fill="FFFFFF"/>
          <w:tblLook w:val="0000"/>
        </w:tblPrEx>
        <w:trPr>
          <w:trHeight w:val="441"/>
        </w:trPr>
        <w:tc>
          <w:tcPr>
            <w:tcW w:w="3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szCs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szCs w:val="28"/>
                <w:u w:val="none"/>
                <w:shd w:val="clear" w:color="auto" w:fill="auto"/>
                <w:vertAlign w:val="baseline"/>
                <w:lang w:val="x-none"/>
              </w:rPr>
              <w:t>Обсяг   фінансування</w:t>
            </w:r>
          </w:p>
          <w:p>
            <w:pPr>
              <w:widowControl/>
              <w:bidi w:val="0"/>
              <w:spacing w:after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(грн)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Всього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2026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2027</w:t>
            </w:r>
          </w:p>
        </w:tc>
      </w:tr>
      <w:tr>
        <w:tblPrEx>
          <w:tblW w:w="0" w:type="auto"/>
          <w:shd w:val="clear" w:color="auto" w:fill="FFFFFF"/>
          <w:tblLook w:val="0000"/>
        </w:tblPrEx>
        <w:trPr>
          <w:trHeight w:val="194"/>
        </w:trPr>
        <w:tc>
          <w:tcPr>
            <w:tcW w:w="3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szCs w:val="28"/>
                <w:u w:val="none"/>
                <w:shd w:val="clear" w:color="auto" w:fill="FFFFFF"/>
                <w:vertAlign w:val="baseline"/>
                <w:lang w:val="x-none"/>
              </w:rPr>
              <w:t>2 207 856,5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szCs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szCs w:val="28"/>
                <w:u w:val="none"/>
                <w:shd w:val="clear" w:color="auto" w:fill="auto"/>
                <w:vertAlign w:val="baseline"/>
                <w:lang w:val="x-none"/>
              </w:rPr>
              <w:t>2 145 000,0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bidi w:val="0"/>
              <w:spacing w:after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szCs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szCs w:val="28"/>
                <w:u w:val="none"/>
                <w:shd w:val="clear" w:color="auto" w:fill="auto"/>
                <w:vertAlign w:val="baseline"/>
                <w:lang w:val="x-none"/>
              </w:rPr>
              <w:t>62 856,5</w:t>
            </w:r>
          </w:p>
        </w:tc>
      </w:tr>
    </w:tbl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</w:t>
      </w: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  <w:t xml:space="preserve"> </w:t>
      </w: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</w:t>
      </w:r>
    </w:p>
    <w:p>
      <w:pPr>
        <w:widowControl/>
        <w:bidi w:val="0"/>
        <w:spacing w:after="0" w:line="240" w:lineRule="auto"/>
        <w:ind w:left="0" w:right="140" w:firstLine="426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140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numPr>
          <w:ilvl w:val="0"/>
          <w:numId w:val="1"/>
        </w:numPr>
        <w:bidi w:val="0"/>
        <w:spacing w:after="0" w:line="240" w:lineRule="auto"/>
        <w:ind w:left="786" w:right="140" w:hanging="360"/>
        <w:contextualSpacing w:val="0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FFFFFF"/>
          <w:vertAlign w:val="baseline"/>
          <w:lang w:val="x-none"/>
        </w:rPr>
        <w:t>З</w:t>
      </w: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  <w:t>агальні положення</w:t>
      </w:r>
    </w:p>
    <w:p>
      <w:pPr>
        <w:widowControl/>
        <w:bidi w:val="0"/>
        <w:spacing w:after="0" w:line="240" w:lineRule="auto"/>
        <w:ind w:left="0" w:right="140" w:firstLine="426"/>
        <w:jc w:val="center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Дана Програма розроблена відповідно до Законів України «Про місцеве самоврядування в Україні» №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  <w:t xml:space="preserve">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280/97-ВР від 21 травня 1997 року, «Про основні засади молодіжної політики» № 1414-IX від 27 квітня 2021 року, «Про охорону навколишнього природнього середовища» №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  <w:t xml:space="preserve">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1264-XII від 25 червня 1991 року та в межах Грантової угоди між виконавчим комітетом Броварської міської ради Броварського району Київської області та Молодіжним фондом кліматичних дій (Youth Climate Action Fund).</w:t>
      </w: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Молодіжний фонд кліматичних дій (Youth Climate Action Fund) — це міжнародна грантова програма (глобальна ініціатива), яка надає муніципалітетам фінансовий капітал і технічну підтримку для залучення молоді віком від 15 до 24 років до розробки та реалізації місцевих кліматичних і екологічних проєктів. Ініціатива заснована та підтримується Bloomberg Philanthropies і впроваджується у партнерстві з Bloomberg Center for Public Innovation (BCPI) при Університеті Джонса Гопкінса, C40 Cities та United Cities and Local Governments (UCLG) за фінансування проєкту Rockefeller Philanthropy Advisors (RPA). </w:t>
      </w: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1A2A2A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1A2A2A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Молодіжний фонд кліматичних дій передбачає створення умов для ефективного партнерства між містами та молоддю у розробці й впровадженні рішень для місцевих екологічних викликів. </w:t>
      </w: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FFFFFF"/>
          <w:vertAlign w:val="baseline"/>
          <w:lang w:val="x-none"/>
        </w:rPr>
        <w:t>У процесі виконання до Програми можуть вноситись зміни та доповнення, які затверджуються міською радою.</w:t>
      </w:r>
    </w:p>
    <w:p>
      <w:pPr>
        <w:widowControl/>
        <w:bidi w:val="0"/>
        <w:spacing w:after="0"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numPr>
          <w:ilvl w:val="0"/>
          <w:numId w:val="1"/>
        </w:numPr>
        <w:bidi w:val="0"/>
        <w:spacing w:after="0" w:line="240" w:lineRule="auto"/>
        <w:ind w:left="786" w:right="0" w:hanging="360"/>
        <w:contextualSpacing w:val="0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Мета та завдання Програми</w:t>
      </w: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1A2A2A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1A2A2A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Метою Програми є забезпечення чітких механізмів переходу молодіжних ініціатив від концепцій до практичної реалізації відповідно до стратегічних пріоритетів громади, формуючи стійкий інституційний потенціал і міські структури для системної співпраці. </w:t>
      </w: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1A2A2A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1A2A2A"/>
          <w:sz w:val="28"/>
          <w:szCs w:val="28"/>
          <w:u w:val="none"/>
          <w:shd w:val="clear" w:color="auto" w:fill="auto"/>
          <w:vertAlign w:val="baseline"/>
          <w:lang w:val="x-none"/>
        </w:rPr>
        <w:t>Завдання Програми:</w:t>
      </w: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1A2A2A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1A2A2A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- мотивувати молодь брати активну участь у прийнятті місцевих рішень щодо подолання кліматичних викликів; </w:t>
      </w: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1A2A2A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1A2A2A"/>
          <w:sz w:val="28"/>
          <w:szCs w:val="28"/>
          <w:u w:val="none"/>
          <w:shd w:val="clear" w:color="auto" w:fill="auto"/>
          <w:vertAlign w:val="baseline"/>
          <w:lang w:val="x-none"/>
        </w:rPr>
        <w:t>-</w:t>
        <w:tab/>
        <w:t>створювати шляхи для переходу молодіжних ідей від внеску до реалізації відповідно до міських пріоритетів;</w:t>
      </w: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1A2A2A"/>
          <w:sz w:val="28"/>
          <w:szCs w:val="28"/>
          <w:u w:val="none"/>
          <w:shd w:val="clear" w:color="auto" w:fill="auto"/>
          <w:vertAlign w:val="baseline"/>
          <w:lang w:val="x-none"/>
        </w:rPr>
        <w:t>- підвищувати довіру між громадою та молодими мешканцями через ефективну співпрацю та результати.</w:t>
      </w: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numPr>
          <w:ilvl w:val="0"/>
          <w:numId w:val="1"/>
        </w:numPr>
        <w:bidi w:val="0"/>
        <w:spacing w:after="0" w:line="240" w:lineRule="auto"/>
        <w:ind w:left="786" w:right="0" w:hanging="360"/>
        <w:contextualSpacing w:val="0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Заходи та фінансування Програми</w:t>
      </w:r>
    </w:p>
    <w:p>
      <w:pPr>
        <w:widowControl/>
        <w:bidi w:val="0"/>
        <w:spacing w:after="0" w:line="240" w:lineRule="auto"/>
        <w:ind w:left="426" w:right="0"/>
        <w:contextualSpacing w:val="0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Заходи та потреба у фінансуванні викладені у Додатку Програми. Фінансування Програми здійснюється за рахунок коштів Молодіжного фонду кліматичних дій (Youth Climate Action Fund), які надійшли на рахунок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виконавчого комітету Броварської міської ради Броварського району Київської області як бенефіціара цього проєкту. </w:t>
      </w: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 </w:t>
      </w:r>
    </w:p>
    <w:p>
      <w:pPr>
        <w:widowControl/>
        <w:numPr>
          <w:ilvl w:val="0"/>
          <w:numId w:val="1"/>
        </w:numPr>
        <w:bidi w:val="0"/>
        <w:spacing w:after="0" w:line="240" w:lineRule="auto"/>
        <w:ind w:left="786" w:right="0" w:hanging="360"/>
        <w:contextualSpacing w:val="0"/>
        <w:jc w:val="center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Очікувані результати </w:t>
      </w:r>
    </w:p>
    <w:p>
      <w:pPr>
        <w:widowControl/>
        <w:bidi w:val="0"/>
        <w:spacing w:after="0" w:line="240" w:lineRule="auto"/>
        <w:ind w:left="66" w:right="0"/>
        <w:jc w:val="left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Реалізація заходів Програми дозволить:</w:t>
      </w:r>
    </w:p>
    <w:p>
      <w:pPr>
        <w:widowControl/>
        <w:numPr>
          <w:ilvl w:val="0"/>
          <w:numId w:val="2"/>
        </w:numPr>
        <w:bidi w:val="0"/>
        <w:spacing w:after="0" w:line="240" w:lineRule="auto"/>
        <w:ind w:left="0" w:right="0" w:firstLine="426"/>
        <w:contextualSpacing w:val="0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підвищити рівень еко-свідомості мешканців громади; </w:t>
      </w:r>
    </w:p>
    <w:p>
      <w:pPr>
        <w:widowControl/>
        <w:numPr>
          <w:ilvl w:val="0"/>
          <w:numId w:val="2"/>
        </w:numPr>
        <w:bidi w:val="0"/>
        <w:spacing w:after="0" w:line="240" w:lineRule="auto"/>
        <w:ind w:left="0" w:right="0" w:firstLine="426"/>
        <w:contextualSpacing w:val="0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створити молодіжні еко-ініціативи;</w:t>
      </w:r>
    </w:p>
    <w:p>
      <w:pPr>
        <w:widowControl/>
        <w:numPr>
          <w:ilvl w:val="0"/>
          <w:numId w:val="2"/>
        </w:numPr>
        <w:bidi w:val="0"/>
        <w:spacing w:after="0" w:line="240" w:lineRule="auto"/>
        <w:ind w:left="0" w:right="0" w:firstLine="426"/>
        <w:contextualSpacing w:val="0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>залучити молодь до прямої розробки проєктів щодо пом’якшення змін клімату.</w:t>
      </w:r>
    </w:p>
    <w:p>
      <w:pPr>
        <w:widowControl/>
        <w:bidi w:val="0"/>
        <w:spacing w:after="0" w:line="240" w:lineRule="auto"/>
        <w:ind w:left="786" w:right="0"/>
        <w:contextualSpacing w:val="0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tabs>
          <w:tab w:val="left" w:pos="7087"/>
        </w:tabs>
        <w:bidi w:val="0"/>
        <w:spacing w:after="0"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>
      <w:pPr>
        <w:widowControl/>
        <w:bidi w:val="0"/>
        <w:spacing w:after="0" w:line="240" w:lineRule="auto"/>
        <w:ind w:left="0" w:right="0"/>
        <w:jc w:val="both"/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Міський голова</w:t>
        <w:tab/>
        <w:tab/>
        <w:t xml:space="preserve"> </w:t>
        <w:tab/>
        <w:tab/>
        <w:tab/>
        <w:tab/>
        <w:tab/>
        <w:t xml:space="preserve">            Ігор САПОЖКО</w:t>
      </w:r>
    </w:p>
    <w:p>
      <w:pPr>
        <w:widowControl/>
        <w:bidi w:val="0"/>
        <w:spacing w:after="0" w:line="240" w:lineRule="auto"/>
        <w:ind w:left="0" w:right="0" w:firstLine="426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 </w:t>
      </w: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</w:t>
      </w:r>
    </w:p>
    <w:p>
      <w:pPr>
        <w:widowControl/>
        <w:bidi w:val="0"/>
        <w:spacing w:after="0" w:line="240" w:lineRule="auto"/>
        <w:ind w:left="0" w:right="0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  </w:t>
      </w:r>
    </w:p>
    <w:p>
      <w:pPr>
        <w:widowControl/>
        <w:bidi w:val="0"/>
        <w:spacing w:after="0" w:line="240" w:lineRule="auto"/>
        <w:ind w:left="0" w:right="0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szCs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line="240" w:lineRule="auto"/>
        <w:ind w:left="0" w:right="0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line="240" w:lineRule="auto"/>
        <w:ind w:left="0" w:right="0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line="240" w:lineRule="auto"/>
        <w:ind w:left="0" w:right="0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line="240" w:lineRule="auto"/>
        <w:ind w:left="0" w:right="0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line="240" w:lineRule="auto"/>
        <w:ind w:left="0" w:right="0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line="240" w:lineRule="auto"/>
        <w:ind w:left="0" w:right="0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  <w:t xml:space="preserve">  </w:t>
      </w:r>
    </w:p>
    <w:p>
      <w:pPr>
        <w:widowControl/>
        <w:bidi w:val="0"/>
        <w:spacing w:line="240" w:lineRule="auto"/>
        <w:ind w:left="0" w:right="0"/>
        <w:jc w:val="both"/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/>
          <w:bCs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  <w:t xml:space="preserve">   </w:t>
      </w:r>
    </w:p>
    <w:p>
      <w:pPr>
        <w:widowControl/>
        <w:bidi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>
      <w:pPr>
        <w:spacing w:beforeAutospacing="0" w:after="0" w:afterAutospacing="0"/>
        <w:ind w:left="142"/>
        <w:jc w:val="both"/>
        <w:rPr>
          <w:rFonts w:ascii="Times New Roman" w:hAnsi="Times New Roman"/>
          <w:sz w:val="28"/>
          <w:szCs w:val="28"/>
        </w:rPr>
      </w:pPr>
      <w:permEnd w:id="0"/>
    </w:p>
    <w:sectPr>
      <w:headerReference w:type="default" r:id="rId4"/>
      <w:footerReference w:type="default" r:id="rId5"/>
      <w:type w:val="nextPage"/>
      <w:pgSz w:w="11906" w:h="16838" w:code="0"/>
      <w:pgMar w:top="1135" w:right="707" w:bottom="993" w:left="1701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  <w:lang w:val="ru-RU"/>
      </w:rPr>
      <w:t>#</w:t>
    </w:r>
    <w:r>
      <w:rPr>
        <w:rFonts w:ascii="Times New Roman" w:hAnsi="Times New Roman"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819"/>
        <w:tab w:val="right" w:pos="9639"/>
      </w:tabs>
      <w:spacing w:beforeAutospacing="0" w:after="0" w:afterAutospacing="0" w:line="240" w:lineRule="auto"/>
      <w:jc w:val="right"/>
      <w:rPr>
        <w:rFonts w:ascii="Antiqua" w:hAnsi="Antiqua"/>
        <w:color w:val="7F7F7F"/>
        <w:sz w:val="28"/>
        <w:szCs w:val="20"/>
        <w:lang w:val="hr-HR" w:eastAsia="ru-RU"/>
      </w:rPr>
    </w:pPr>
    <w:r>
      <w:rPr>
        <w:rFonts w:ascii="Antiqua" w:hAnsi="Antiqua"/>
        <w:color w:val="7F7F7F" w:themeColor="text1" w:themeTint="80"/>
        <w:sz w:val="28"/>
        <w:szCs w:val="20"/>
        <w:lang w:val="hr-HR" w:eastAsia="ru-RU"/>
      </w:rPr>
      <w:t>Продовження додатку</w:t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hybridMultilevel"/>
    <w:tmpl w:val="00000000"/>
    <w:lvl w:ilvl="0">
      <w:start w:val="1"/>
      <w:numFmt w:val="decimal"/>
      <w:lvlText w:val="%1."/>
      <w:lvlJc w:val="left"/>
      <w:pPr>
        <w:spacing w:line="240" w:lineRule="auto"/>
        <w:ind w:left="786" w:hanging="360"/>
      </w:pPr>
      <w:rPr>
        <w:b/>
      </w:rPr>
    </w:lvl>
    <w:lvl w:ilvl="1">
      <w:start w:val="1"/>
      <w:numFmt w:val="lowerLetter"/>
      <w:lvlText w:val="%2."/>
      <w:lvlJc w:val="left"/>
      <w:pPr>
        <w:spacing w:line="240" w:lineRule="auto"/>
        <w:ind w:left="1506" w:hanging="360"/>
      </w:pPr>
    </w:lvl>
    <w:lvl w:ilvl="2">
      <w:start w:val="1"/>
      <w:numFmt w:val="lowerRoman"/>
      <w:lvlText w:val="%3."/>
      <w:lvlJc w:val="right"/>
      <w:pPr>
        <w:spacing w:line="240" w:lineRule="auto"/>
        <w:ind w:left="2226" w:hanging="180"/>
      </w:pPr>
    </w:lvl>
    <w:lvl w:ilvl="3">
      <w:start w:val="1"/>
      <w:numFmt w:val="decimal"/>
      <w:lvlText w:val="%4."/>
      <w:lvlJc w:val="left"/>
      <w:pPr>
        <w:spacing w:line="240" w:lineRule="auto"/>
        <w:ind w:left="2946" w:hanging="360"/>
      </w:pPr>
    </w:lvl>
    <w:lvl w:ilvl="4">
      <w:start w:val="1"/>
      <w:numFmt w:val="lowerLetter"/>
      <w:lvlText w:val="%5."/>
      <w:lvlJc w:val="left"/>
      <w:pPr>
        <w:spacing w:line="240" w:lineRule="auto"/>
        <w:ind w:left="3666" w:hanging="360"/>
      </w:pPr>
    </w:lvl>
    <w:lvl w:ilvl="5">
      <w:start w:val="1"/>
      <w:numFmt w:val="lowerRoman"/>
      <w:lvlText w:val="%6."/>
      <w:lvlJc w:val="right"/>
      <w:pPr>
        <w:spacing w:line="240" w:lineRule="auto"/>
        <w:ind w:left="4386" w:hanging="180"/>
      </w:pPr>
    </w:lvl>
    <w:lvl w:ilvl="6">
      <w:start w:val="1"/>
      <w:numFmt w:val="decimal"/>
      <w:lvlText w:val="%7."/>
      <w:lvlJc w:val="left"/>
      <w:pPr>
        <w:spacing w:line="240" w:lineRule="auto"/>
        <w:ind w:left="5106" w:hanging="360"/>
      </w:pPr>
    </w:lvl>
    <w:lvl w:ilvl="7">
      <w:start w:val="1"/>
      <w:numFmt w:val="lowerLetter"/>
      <w:lvlText w:val="%8."/>
      <w:lvlJc w:val="left"/>
      <w:pPr>
        <w:spacing w:line="240" w:lineRule="auto"/>
        <w:ind w:left="5826" w:hanging="360"/>
      </w:pPr>
    </w:lvl>
    <w:lvl w:ilvl="8">
      <w:start w:val="1"/>
      <w:numFmt w:val="lowerRoman"/>
      <w:lvlText w:val="%9."/>
      <w:lvlJc w:val="right"/>
      <w:pPr>
        <w:spacing w:line="240" w:lineRule="auto"/>
        <w:ind w:left="6546" w:hanging="180"/>
      </w:pPr>
    </w:lvl>
  </w:abstractNum>
  <w:abstractNum w:abstractNumId="1">
    <w:nsid w:val="00000002"/>
    <w:multiLevelType w:val="hybridMultilevel"/>
    <w:tmpl w:val="00000000"/>
    <w:lvl w:ilvl="0">
      <w:start w:val="4"/>
      <w:numFmt w:val="bullet"/>
      <w:lvlText w:val="-"/>
      <w:lvlJc w:val="left"/>
      <w:pPr>
        <w:spacing w:line="240" w:lineRule="auto"/>
        <w:ind w:left="786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spacing w:line="240" w:lineRule="auto"/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spacing w:line="240" w:lineRule="auto"/>
        <w:ind w:left="2226" w:hanging="360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spacing w:line="240" w:lineRule="auto"/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spacing w:line="240" w:lineRule="auto"/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spacing w:line="240" w:lineRule="auto"/>
        <w:ind w:left="4386" w:hanging="360"/>
      </w:pPr>
      <w:rPr>
        <w:rFonts w:ascii="Times New Roman" w:hAnsi="Times New Roman"/>
      </w:rPr>
    </w:lvl>
    <w:lvl w:ilvl="6">
      <w:start w:val="1"/>
      <w:numFmt w:val="bullet"/>
      <w:lvlText w:val=""/>
      <w:lvlJc w:val="left"/>
      <w:pPr>
        <w:spacing w:line="240" w:lineRule="auto"/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spacing w:line="240" w:lineRule="auto"/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spacing w:line="240" w:lineRule="auto"/>
        <w:ind w:left="6546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/>
        <w:sz w:val="22"/>
        <w:szCs w:val="22"/>
        <w:lang w:val="uk-UA" w:eastAsia="uk-UA" w:bidi="ar-SA"/>
      </w:rPr>
    </w:rPrDefault>
    <w:pPrDefault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200" w:afterAutospacing="0" w:line="276" w:lineRule="auto"/>
        <w:ind w:left="0" w:right="0" w:firstLine="0"/>
        <w:contextualSpacing w:val="0"/>
        <w:jc w:val="left"/>
        <w:outlineLvl w:val="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paragraph" w:styleId="Header">
    <w:name w:val="header"/>
    <w:basedOn w:val="Normal"/>
    <w:link w:val="a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styleId="Footer">
    <w:name w:val="footer"/>
    <w:basedOn w:val="Normal"/>
    <w:link w:val="a0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25.0002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ASKOD</cp:lastModifiedBy>
  <cp:revision>15</cp:revision>
  <dcterms:created xsi:type="dcterms:W3CDTF">2023-03-27T06:26:00Z</dcterms:created>
  <dcterms:modified xsi:type="dcterms:W3CDTF">2026-09-04T06:52:35Z</dcterms:modified>
</cp:coreProperties>
</file>