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colors10.xml" ContentType="application/vnd.ms-office.chartcolorstyle+xml"/>
  <Override PartName="/word/charts/chart/colors11.xml" ContentType="application/vnd.ms-office.chartcolorstyle+xml"/>
  <Override PartName="/word/charts/chart/colors12.xml" ContentType="application/vnd.ms-office.chartcolorstyle+xml"/>
  <Override PartName="/word/charts/chart/colors13.xml" ContentType="application/vnd.ms-office.chartcolorstyle+xml"/>
  <Override PartName="/word/charts/chart/colors14.xml" ContentType="application/vnd.ms-office.chartcolorstyle+xml"/>
  <Override PartName="/word/charts/chart/colors15.xml" ContentType="application/vnd.ms-office.chartcolorstyle+xml"/>
  <Override PartName="/word/charts/chart/colors16.xml" ContentType="application/vnd.ms-office.chartcolorstyle+xml"/>
  <Override PartName="/word/charts/chart/colors17.xml" ContentType="application/vnd.ms-office.chartcolorstyle+xml"/>
  <Override PartName="/word/charts/chart/colors18.xml" ContentType="application/vnd.ms-office.chartcolorstyle+xml"/>
  <Override PartName="/word/charts/chart/colors19.xml" ContentType="application/vnd.ms-office.chartcolorstyle+xml"/>
  <Override PartName="/word/charts/chart/colors2.xml" ContentType="application/vnd.ms-office.chartcolorstyle+xml"/>
  <Override PartName="/word/charts/chart/colors20.xml" ContentType="application/vnd.ms-office.chartcolorstyle+xml"/>
  <Override PartName="/word/charts/chart/colors21.xml" ContentType="application/vnd.ms-office.chartcolorstyle+xml"/>
  <Override PartName="/word/charts/chart/colors3.xml" ContentType="application/vnd.ms-office.chartcolorstyle+xml"/>
  <Override PartName="/word/charts/chart/colors4.xml" ContentType="application/vnd.ms-office.chartcolorstyle+xml"/>
  <Override PartName="/word/charts/chart/colors5.xml" ContentType="application/vnd.ms-office.chartcolorstyle+xml"/>
  <Override PartName="/word/charts/chart/colors6.xml" ContentType="application/vnd.ms-office.chartcolorstyle+xml"/>
  <Override PartName="/word/charts/chart/colors7.xml" ContentType="application/vnd.ms-office.chartcolorstyle+xml"/>
  <Override PartName="/word/charts/chart/colors8.xml" ContentType="application/vnd.ms-office.chartcolorstyle+xml"/>
  <Override PartName="/word/charts/chart/colors9.xml" ContentType="application/vnd.ms-office.chartcolorstyle+xml"/>
  <Override PartName="/word/charts/chart/style1.xml" ContentType="application/vnd.ms-office.chartstyle+xml"/>
  <Override PartName="/word/charts/chart/style10.xml" ContentType="application/vnd.ms-office.chartstyle+xml"/>
  <Override PartName="/word/charts/chart/style11.xml" ContentType="application/vnd.ms-office.chartstyle+xml"/>
  <Override PartName="/word/charts/chart/style12.xml" ContentType="application/vnd.ms-office.chartstyle+xml"/>
  <Override PartName="/word/charts/chart/style13.xml" ContentType="application/vnd.ms-office.chartstyle+xml"/>
  <Override PartName="/word/charts/chart/style14.xml" ContentType="application/vnd.ms-office.chartstyle+xml"/>
  <Override PartName="/word/charts/chart/style15.xml" ContentType="application/vnd.ms-office.chartstyle+xml"/>
  <Override PartName="/word/charts/chart/style16.xml" ContentType="application/vnd.ms-office.chartstyle+xml"/>
  <Override PartName="/word/charts/chart/style17.xml" ContentType="application/vnd.ms-office.chartstyle+xml"/>
  <Override PartName="/word/charts/chart/style18.xml" ContentType="application/vnd.ms-office.chartstyle+xml"/>
  <Override PartName="/word/charts/chart/style19.xml" ContentType="application/vnd.ms-office.chartstyle+xml"/>
  <Override PartName="/word/charts/chart/style2.xml" ContentType="application/vnd.ms-office.chartstyle+xml"/>
  <Override PartName="/word/charts/chart/style20.xml" ContentType="application/vnd.ms-office.chartstyle+xml"/>
  <Override PartName="/word/charts/chart/style21.xml" ContentType="application/vnd.ms-office.chartstyle+xml"/>
  <Override PartName="/word/charts/chart/style3.xml" ContentType="application/vnd.ms-office.chartstyle+xml"/>
  <Override PartName="/word/charts/chart/style4.xml" ContentType="application/vnd.ms-office.chartstyle+xml"/>
  <Override PartName="/word/charts/chart/style5.xml" ContentType="application/vnd.ms-office.chartstyle+xml"/>
  <Override PartName="/word/charts/chart/style6.xml" ContentType="application/vnd.ms-office.chartstyle+xml"/>
  <Override PartName="/word/charts/chart/style7.xml" ContentType="application/vnd.ms-office.chartstyle+xml"/>
  <Override PartName="/word/charts/chart/style8.xml" ContentType="application/vnd.ms-office.chartstyle+xml"/>
  <Override PartName="/word/charts/chart/style9.xml" ContentType="application/vnd.ms-office.chartstyle+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Ex1.xml" ContentType="application/vnd.ms-office.chartex+xml"/>
  <Override PartName="/word/diagrams/colors1.xml" ContentType="application/vnd.openxmlformats-officedocument.drawingml.diagramColors+xml"/>
  <Override PartName="/word/diagrams/colors2.xml" ContentType="application/vnd.openxmlformats-officedocument.drawingml.diagramColors+xml"/>
  <Override PartName="/word/diagrams/colors3.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data3.xml" ContentType="application/vnd.openxmlformats-officedocument.drawingml.diagramData+xml"/>
  <Override PartName="/word/diagrams/drawing1.xml" ContentType="application/vnd.ms-office.drawingml.diagramDrawing+xml"/>
  <Override PartName="/word/diagrams/drawing2.xml" ContentType="application/vnd.ms-office.drawingml.diagramDrawing+xml"/>
  <Override PartName="/word/diagrams/drawing3.xml" ContentType="application/vnd.ms-office.drawingml.diagramDrawing+xml"/>
  <Override PartName="/word/diagrams/layout1.xml" ContentType="application/vnd.openxmlformats-officedocument.drawingml.diagramLayout+xml"/>
  <Override PartName="/word/diagrams/layout2.xml" ContentType="application/vnd.openxmlformats-officedocument.drawingml.diagramLayout+xml"/>
  <Override PartName="/word/diagrams/layout3.xml" ContentType="application/vnd.openxmlformats-officedocument.drawingml.diagramLayout+xml"/>
  <Override PartName="/word/diagrams/quickStyle1.xml" ContentType="application/vnd.openxmlformats-officedocument.drawingml.diagramStyle+xml"/>
  <Override PartName="/word/diagrams/quickStyle2.xml" ContentType="application/vnd.openxmlformats-officedocument.drawingml.diagramStyle+xml"/>
  <Override PartName="/word/diagrams/quickStyle3.xml" ContentType="application/vnd.openxmlformats-officedocument.drawingml.diagramStyle+xml"/>
  <Override PartName="/word/document.xml" ContentType="application/vnd.openxmlformats-officedocument.wordprocessingml.document.main+xml"/>
  <Override PartName="/word/embeddings/Microsoft_Excel_Worksheet1.xlsx" ContentType="application/vnd.openxmlformats-officedocument.spreadsheetml.sheet"/>
  <Override PartName="/word/embeddings/Microsoft_Excel_Worksheet2.xlsx" ContentType="application/vnd.openxmlformats-officedocument.spreadsheetml.sheet"/>
  <Override PartName="/word/embeddings/Microsoft_Excel_Worksheet3.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10.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Override PartName="/word/theme/themeOverride15.xml" ContentType="application/vnd.openxmlformats-officedocument.themeOverride+xml"/>
  <Override PartName="/word/theme/themeOverride16.xml" ContentType="application/vnd.openxmlformats-officedocument.themeOverride+xml"/>
  <Override PartName="/word/theme/themeOverride17.xml" ContentType="application/vnd.openxmlformats-officedocument.themeOverride+xml"/>
  <Override PartName="/word/theme/themeOverride18.xml" ContentType="application/vnd.openxmlformats-officedocument.themeOverride+xml"/>
  <Override PartName="/word/theme/themeOverride19.xml" ContentType="application/vnd.openxmlformats-officedocument.themeOverride+xml"/>
  <Override PartName="/word/theme/themeOverride2.xml" ContentType="application/vnd.openxmlformats-officedocument.themeOverride+xml"/>
  <Override PartName="/word/theme/themeOverride20.xml" ContentType="application/vnd.openxmlformats-officedocument.themeOverride+xml"/>
  <Override PartName="/word/theme/themeOverride21.xml" ContentType="application/vnd.openxmlformats-officedocument.themeOverride+xml"/>
  <Override PartName="/word/theme/themeOverride22.xml" ContentType="application/vnd.openxmlformats-officedocument.themeOverride+xml"/>
  <Override PartName="/word/theme/themeOverride23.xml" ContentType="application/vnd.openxmlformats-officedocument.themeOverride+xml"/>
  <Override PartName="/word/theme/themeOverride24.xml" ContentType="application/vnd.openxmlformats-officedocument.themeOverride+xml"/>
  <Override PartName="/word/theme/themeOverride25.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Override PartName="/word/theme/themeOverride8.xml" ContentType="application/vnd.openxmlformats-officedocument.themeOverride+xml"/>
  <Override PartName="/word/theme/themeOverride9.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BE6BBD" w:rsidP="00B3670E" w14:paraId="5C916CD2" w14:textId="06276755">
      <w:pPr>
        <w:tabs>
          <w:tab w:val="left" w:pos="5610"/>
          <w:tab w:val="left" w:pos="6358"/>
        </w:tabs>
        <w:spacing w:after="0"/>
        <w:ind w:left="5103"/>
        <w:jc w:val="center"/>
        <w:rPr>
          <w:rFonts w:ascii="Times New Roman" w:hAnsi="Times New Roman" w:cs="Times New Roman"/>
          <w:sz w:val="28"/>
          <w:szCs w:val="28"/>
          <w:lang w:val="ru-RU"/>
        </w:rPr>
      </w:pPr>
      <w:r w:rsidRPr="004208DA">
        <w:rPr>
          <w:rFonts w:ascii="Times New Roman" w:hAnsi="Times New Roman" w:cs="Times New Roman"/>
          <w:sz w:val="28"/>
          <w:szCs w:val="28"/>
        </w:rPr>
        <w:t>Додаток</w:t>
      </w:r>
      <w:r w:rsidRPr="00456BA9" w:rsidR="00456BA9">
        <w:rPr>
          <w:rFonts w:ascii="Times New Roman" w:hAnsi="Times New Roman" w:cs="Times New Roman"/>
          <w:sz w:val="28"/>
          <w:szCs w:val="28"/>
          <w:lang w:val="ru-RU"/>
        </w:rPr>
        <w:t xml:space="preserve"> </w:t>
      </w:r>
      <w:permStart w:id="0" w:edGrp="everyone"/>
      <w:r w:rsidRPr="00E75D37" w:rsidR="00456BA9">
        <w:rPr>
          <w:rFonts w:ascii="Times New Roman" w:hAnsi="Times New Roman" w:cs="Times New Roman"/>
          <w:sz w:val="28"/>
          <w:szCs w:val="28"/>
          <w:lang w:val="ru-RU"/>
        </w:rPr>
        <w:t xml:space="preserve">      </w:t>
      </w:r>
      <w:permEnd w:id="0"/>
    </w:p>
    <w:p w:rsidR="007C582E" w:rsidP="00B3670E" w14:paraId="6E2C2E53" w14:textId="690770F3">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ішення 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P="003530E1" w14:paraId="78288CAD" w14:textId="6BF749C1">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3530E1" w:rsidRPr="004208DA" w:rsidP="003530E1" w14:paraId="08D553CC" w14:textId="4476E2EB">
      <w:pPr>
        <w:tabs>
          <w:tab w:val="left" w:pos="5610"/>
          <w:tab w:val="left" w:pos="6358"/>
        </w:tabs>
        <w:spacing w:after="0"/>
        <w:ind w:left="5103"/>
        <w:jc w:val="center"/>
        <w:rPr>
          <w:rFonts w:ascii="Times New Roman" w:hAnsi="Times New Roman" w:cs="Times New Roman"/>
          <w:sz w:val="28"/>
          <w:szCs w:val="28"/>
        </w:rPr>
      </w:pPr>
      <w:r w:rsidRPr="00E75D37">
        <w:rPr>
          <w:rFonts w:ascii="Times New Roman" w:hAnsi="Times New Roman" w:cs="Times New Roman"/>
          <w:sz w:val="28"/>
          <w:szCs w:val="28"/>
        </w:rPr>
        <w:t xml:space="preserve">від </w:t>
      </w:r>
      <w:r w:rsidRPr="00E75D37">
        <w:rPr>
          <w:rFonts w:ascii="Times New Roman" w:hAnsi="Times New Roman" w:cs="Times New Roman"/>
          <w:sz w:val="28"/>
          <w:szCs w:val="28"/>
        </w:rPr>
        <w:t>27.08.2026</w:t>
      </w:r>
      <w:r w:rsidRPr="00E75D37">
        <w:rPr>
          <w:rFonts w:ascii="Times New Roman" w:hAnsi="Times New Roman" w:cs="Times New Roman"/>
          <w:sz w:val="28"/>
          <w:szCs w:val="28"/>
        </w:rPr>
        <w:t xml:space="preserve"> № </w:t>
      </w:r>
      <w:r w:rsidRPr="00E75D37">
        <w:rPr>
          <w:rFonts w:ascii="Times New Roman" w:hAnsi="Times New Roman" w:cs="Times New Roman"/>
          <w:sz w:val="28"/>
          <w:szCs w:val="28"/>
        </w:rPr>
        <w:t>2868-122-08</w:t>
      </w:r>
    </w:p>
    <w:p w:rsidR="004208DA" w:rsidRPr="007C582E" w:rsidP="004208DA" w14:paraId="0A449B32" w14:textId="77777777">
      <w:pPr>
        <w:spacing w:after="0"/>
        <w:rPr>
          <w:rFonts w:ascii="Times New Roman" w:hAnsi="Times New Roman" w:cs="Times New Roman"/>
          <w:sz w:val="28"/>
          <w:szCs w:val="28"/>
        </w:rPr>
      </w:pPr>
    </w:p>
    <w:p w:rsidR="00051B2D" w:rsidRPr="00407A55" w:rsidP="00051B2D" w14:paraId="7D8CFF81" w14:textId="77777777">
      <w:pPr>
        <w:spacing w:after="0" w:line="240" w:lineRule="auto"/>
        <w:ind w:firstLine="567"/>
        <w:jc w:val="center"/>
        <w:rPr>
          <w:rFonts w:ascii="Times New Roman" w:eastAsia="Times New Roman" w:hAnsi="Times New Roman" w:cs="Times New Roman"/>
          <w:b/>
          <w:sz w:val="27"/>
          <w:szCs w:val="27"/>
          <w:lang w:eastAsia="ru-RU"/>
        </w:rPr>
      </w:pPr>
      <w:permStart w:id="1" w:edGrp="everyone"/>
      <w:r w:rsidRPr="00407A55">
        <w:rPr>
          <w:rFonts w:ascii="Times New Roman" w:eastAsia="Times New Roman" w:hAnsi="Times New Roman" w:cs="Times New Roman"/>
          <w:b/>
          <w:sz w:val="27"/>
          <w:szCs w:val="27"/>
          <w:lang w:eastAsia="ru-RU"/>
        </w:rPr>
        <w:t>Звіт про виконання</w:t>
      </w:r>
    </w:p>
    <w:p w:rsidR="00051B2D" w:rsidRPr="00407A55" w:rsidP="00051B2D" w14:paraId="2532F60B" w14:textId="77777777">
      <w:pPr>
        <w:spacing w:after="0" w:line="240" w:lineRule="auto"/>
        <w:ind w:firstLine="567"/>
        <w:jc w:val="center"/>
        <w:rPr>
          <w:rFonts w:ascii="Times New Roman" w:eastAsia="Times New Roman" w:hAnsi="Times New Roman" w:cs="Times New Roman"/>
          <w:b/>
          <w:sz w:val="27"/>
          <w:szCs w:val="27"/>
          <w:lang w:eastAsia="ru-RU"/>
        </w:rPr>
      </w:pPr>
      <w:r w:rsidRPr="00407A55">
        <w:rPr>
          <w:rFonts w:ascii="Times New Roman" w:eastAsia="Times New Roman" w:hAnsi="Times New Roman" w:cs="Times New Roman"/>
          <w:b/>
          <w:sz w:val="27"/>
          <w:szCs w:val="27"/>
          <w:lang w:eastAsia="ru-RU"/>
        </w:rPr>
        <w:t xml:space="preserve"> Програми соціально-економічного та культурного розвитку Броварської міської територіальної громади</w:t>
      </w:r>
    </w:p>
    <w:p w:rsidR="00051B2D" w:rsidRPr="00407A55" w:rsidP="00051B2D" w14:paraId="2F15D957" w14:textId="77777777">
      <w:pPr>
        <w:spacing w:after="0" w:line="240" w:lineRule="auto"/>
        <w:ind w:firstLine="567"/>
        <w:jc w:val="center"/>
        <w:rPr>
          <w:rFonts w:ascii="Times New Roman" w:eastAsia="Times New Roman" w:hAnsi="Times New Roman" w:cs="Times New Roman"/>
          <w:b/>
          <w:sz w:val="27"/>
          <w:szCs w:val="27"/>
          <w:lang w:eastAsia="ru-RU"/>
        </w:rPr>
      </w:pPr>
      <w:r w:rsidRPr="00407A55">
        <w:rPr>
          <w:rFonts w:ascii="Times New Roman" w:eastAsia="Times New Roman" w:hAnsi="Times New Roman" w:cs="Times New Roman"/>
          <w:b/>
          <w:sz w:val="27"/>
          <w:szCs w:val="27"/>
          <w:lang w:eastAsia="ru-RU"/>
        </w:rPr>
        <w:t>за І півріччя 2026 року</w:t>
      </w:r>
    </w:p>
    <w:p w:rsidR="00051B2D" w:rsidRPr="00407A55" w:rsidP="00051B2D" w14:paraId="743FB42C" w14:textId="77777777">
      <w:pPr>
        <w:spacing w:after="0" w:line="240" w:lineRule="auto"/>
        <w:ind w:firstLine="567"/>
        <w:jc w:val="center"/>
        <w:rPr>
          <w:rFonts w:ascii="Times New Roman" w:eastAsia="Times New Roman" w:hAnsi="Times New Roman" w:cs="Times New Roman"/>
          <w:b/>
          <w:sz w:val="27"/>
          <w:szCs w:val="27"/>
          <w:lang w:eastAsia="ru-RU"/>
        </w:rPr>
      </w:pPr>
    </w:p>
    <w:p w:rsidR="00051B2D" w:rsidRPr="00407A55" w:rsidP="00051B2D" w14:paraId="4AEFE675" w14:textId="77777777">
      <w:pPr>
        <w:shd w:val="clear" w:color="auto" w:fill="FFFFFF"/>
        <w:spacing w:after="0" w:line="240" w:lineRule="auto"/>
        <w:ind w:firstLine="567"/>
        <w:contextualSpacing/>
        <w:jc w:val="both"/>
        <w:rPr>
          <w:rFonts w:ascii="Times New Roman" w:eastAsia="Times New Roman" w:hAnsi="Times New Roman" w:cs="Times New Roman"/>
          <w:b/>
          <w:sz w:val="27"/>
          <w:szCs w:val="27"/>
          <w:lang w:eastAsia="ru-RU"/>
        </w:rPr>
      </w:pPr>
      <w:bookmarkStart w:id="2" w:name="_Hlk108764492"/>
      <w:r w:rsidRPr="00407A55">
        <w:rPr>
          <w:rFonts w:ascii="Times New Roman" w:eastAsia="Times New Roman" w:hAnsi="Times New Roman" w:cs="Times New Roman"/>
          <w:sz w:val="27"/>
          <w:szCs w:val="27"/>
          <w:lang w:eastAsia="ru-RU"/>
        </w:rPr>
        <w:t>На виконання основних завдань «Стратегії розвитку Київської області на 2021-2027 роки», затвердженої рішенням Київської обласної ради від 19.12.2019 №</w:t>
      </w:r>
      <w:r w:rsidRPr="00407A55">
        <w:rPr>
          <w:rFonts w:ascii="Times New Roman" w:eastAsia="Times New Roman" w:hAnsi="Times New Roman" w:cs="Times New Roman"/>
          <w:sz w:val="27"/>
          <w:szCs w:val="27"/>
          <w:lang w:val="ru-RU" w:eastAsia="ru-RU"/>
        </w:rPr>
        <w:t> </w:t>
      </w:r>
      <w:r w:rsidRPr="00407A55">
        <w:rPr>
          <w:rFonts w:ascii="Times New Roman" w:eastAsia="Times New Roman" w:hAnsi="Times New Roman" w:cs="Times New Roman"/>
          <w:sz w:val="27"/>
          <w:szCs w:val="27"/>
          <w:lang w:eastAsia="ru-RU"/>
        </w:rPr>
        <w:t>789-32-</w:t>
      </w:r>
      <w:r w:rsidRPr="00407A55">
        <w:rPr>
          <w:rFonts w:ascii="Times New Roman" w:eastAsia="Times New Roman" w:hAnsi="Times New Roman" w:cs="Times New Roman"/>
          <w:sz w:val="27"/>
          <w:szCs w:val="27"/>
          <w:lang w:val="ru-RU" w:eastAsia="ru-RU"/>
        </w:rPr>
        <w:t>VII</w:t>
      </w:r>
      <w:r w:rsidRPr="00407A55">
        <w:rPr>
          <w:rFonts w:ascii="Times New Roman" w:eastAsia="Times New Roman" w:hAnsi="Times New Roman" w:cs="Times New Roman"/>
          <w:sz w:val="27"/>
          <w:szCs w:val="27"/>
          <w:lang w:eastAsia="ru-RU"/>
        </w:rPr>
        <w:t xml:space="preserve"> (зі</w:t>
      </w:r>
      <w:r w:rsidRPr="00407A55">
        <w:rPr>
          <w:rFonts w:ascii="Times New Roman" w:eastAsia="Times New Roman" w:hAnsi="Times New Roman" w:cs="Times New Roman"/>
          <w:sz w:val="27"/>
          <w:szCs w:val="27"/>
          <w:lang w:val="ru-RU" w:eastAsia="ru-RU"/>
        </w:rPr>
        <w:t> </w:t>
      </w:r>
      <w:r w:rsidRPr="00407A55">
        <w:rPr>
          <w:rFonts w:ascii="Times New Roman" w:eastAsia="Times New Roman" w:hAnsi="Times New Roman" w:cs="Times New Roman"/>
          <w:sz w:val="27"/>
          <w:szCs w:val="27"/>
          <w:lang w:eastAsia="ru-RU"/>
        </w:rPr>
        <w:t>змінами); Бюджетної декларації на 2026-2028 роки, затвердженої постановою Кабінету Міністрів України від 27 червня 2025 року № 774; ц</w:t>
      </w:r>
      <w:r w:rsidRPr="00407A55">
        <w:rPr>
          <w:rFonts w:ascii="Times New Roman" w:eastAsia="Times New Roman" w:hAnsi="Times New Roman" w:cs="Times New Roman"/>
          <w:color w:val="000000"/>
          <w:sz w:val="27"/>
          <w:szCs w:val="27"/>
          <w:lang w:eastAsia="ru-RU"/>
        </w:rPr>
        <w:t>ілей сталого розвитку України на період до 2030 року (Указ Президента України від 30.09.2019 № 722); завдань щодо досягнення</w:t>
      </w:r>
      <w:r w:rsidRPr="00407A55">
        <w:rPr>
          <w:rFonts w:ascii="Times New Roman" w:eastAsia="Times New Roman" w:hAnsi="Times New Roman" w:cs="Times New Roman"/>
          <w:color w:val="000000"/>
          <w:sz w:val="27"/>
          <w:szCs w:val="27"/>
          <w:lang w:val="ru-RU" w:eastAsia="ru-RU"/>
        </w:rPr>
        <w:t> </w:t>
      </w:r>
      <w:hyperlink r:id="rId4" w:tgtFrame="_blank" w:history="1">
        <w:r w:rsidRPr="00407A55">
          <w:rPr>
            <w:rFonts w:ascii="Times New Roman" w:eastAsia="Times New Roman" w:hAnsi="Times New Roman" w:cs="Times New Roman"/>
            <w:color w:val="000000"/>
            <w:sz w:val="27"/>
            <w:szCs w:val="27"/>
            <w:lang w:eastAsia="ru-RU"/>
          </w:rPr>
          <w:t>Цілей сталого розвитку на період до 2030 року</w:t>
        </w:r>
      </w:hyperlink>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 xml:space="preserve">та індикаторів їх досягнення (затверджених розпорядженням Кабінету Міністрів України від 29 листопада 2024 р. № 1190-р «Деякі питання забезпечення досягнення Цілей сталого розвитку в Україні»); державної стратегії регіонального розвитку на 2021-2027 роки, затвердженої постановою Кабінету Міністрів України від </w:t>
      </w:r>
      <w:r w:rsidRPr="00407A55">
        <w:rPr>
          <w:rFonts w:ascii="Times New Roman" w:eastAsia="Times New Roman" w:hAnsi="Times New Roman" w:cs="Times New Roman"/>
          <w:color w:val="000000"/>
          <w:spacing w:val="-4"/>
          <w:sz w:val="27"/>
          <w:szCs w:val="27"/>
          <w:lang w:eastAsia="ru-RU"/>
        </w:rPr>
        <w:t>05.08.2020 № 695 (зі змінами)</w:t>
      </w:r>
      <w:r w:rsidRPr="00407A55">
        <w:rPr>
          <w:rFonts w:ascii="Times New Roman" w:eastAsia="Times New Roman" w:hAnsi="Times New Roman" w:cs="Times New Roman"/>
          <w:color w:val="000000"/>
          <w:sz w:val="27"/>
          <w:szCs w:val="27"/>
          <w:lang w:eastAsia="ru-RU"/>
        </w:rPr>
        <w:t>; п</w:t>
      </w:r>
      <w:r w:rsidRPr="00407A55">
        <w:rPr>
          <w:rFonts w:ascii="Times New Roman" w:eastAsia="Times New Roman" w:hAnsi="Times New Roman" w:cs="Times New Roman"/>
          <w:spacing w:val="-4"/>
          <w:sz w:val="27"/>
          <w:szCs w:val="27"/>
          <w:lang w:eastAsia="ru-RU"/>
        </w:rPr>
        <w:t>лану заходів на 2025-2027 роки з реалізації Державної стратегії регіонального розвитку на 2021-2027 роки, затвердженого розпорядженням Кабінету Міністрів України від 25 вересня 2025 року № 1047-р; п</w:t>
      </w:r>
      <w:r w:rsidRPr="00407A55">
        <w:rPr>
          <w:rFonts w:ascii="Times New Roman" w:eastAsia="Times New Roman" w:hAnsi="Times New Roman" w:cs="Times New Roman"/>
          <w:color w:val="000000"/>
          <w:sz w:val="27"/>
          <w:szCs w:val="27"/>
          <w:lang w:eastAsia="ru-RU"/>
        </w:rPr>
        <w:t>рогнозу економічного і соціального розвитку України на 2024-2026 роки, затвердженого постановою Кабінету Міністрів України від</w:t>
      </w:r>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15.12.2023 №</w:t>
      </w:r>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1315; стратегії розвитку Броварської міської територіальної громади</w:t>
      </w:r>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 xml:space="preserve"> до 2027 року та Плану заходів з реалізації Стратегії розвитку Броварської міської територіальної громади</w:t>
      </w:r>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 xml:space="preserve"> до 2027 року, затвердженої рішенням сесії Броварської міської ради Броварського району Київської області від 31.07.2025 № 2203-96-08;</w:t>
      </w:r>
      <w:bookmarkEnd w:id="2"/>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sz w:val="27"/>
          <w:szCs w:val="27"/>
          <w:lang w:eastAsia="ru-RU"/>
        </w:rPr>
        <w:t xml:space="preserve">Програми соціально-економічного та культурного розвитку Броварської міської територіальної громади Броварського району Київської області на 2026 рік, затвердженої рішенням Броварської міської ради Броварського району </w:t>
      </w:r>
      <w:r w:rsidRPr="00407A55">
        <w:rPr>
          <w:rFonts w:ascii="Times New Roman" w:eastAsia="Times New Roman" w:hAnsi="Times New Roman" w:cs="Times New Roman"/>
          <w:color w:val="000000"/>
          <w:sz w:val="27"/>
          <w:szCs w:val="27"/>
          <w:lang w:eastAsia="ru-RU"/>
        </w:rPr>
        <w:t>Київської області від 29.01.2026 № 2521-110-08 (зі змінами) у Броварській міській територіальній громаді (далі - громада) протягом І півріччя 2026 року проведена відповідна</w:t>
      </w:r>
      <w:r w:rsidRPr="00407A55">
        <w:rPr>
          <w:rFonts w:ascii="Times New Roman" w:eastAsia="Times New Roman" w:hAnsi="Times New Roman" w:cs="Times New Roman"/>
          <w:sz w:val="27"/>
          <w:szCs w:val="27"/>
          <w:lang w:eastAsia="ru-RU"/>
        </w:rPr>
        <w:t xml:space="preserve"> робота.</w:t>
      </w:r>
      <w:r w:rsidRPr="00407A55">
        <w:rPr>
          <w:rFonts w:ascii="Times New Roman" w:eastAsia="Times New Roman" w:hAnsi="Times New Roman" w:cs="Times New Roman"/>
          <w:b/>
          <w:sz w:val="27"/>
          <w:szCs w:val="27"/>
          <w:lang w:eastAsia="ru-RU"/>
        </w:rPr>
        <w:t xml:space="preserve">      </w:t>
      </w:r>
    </w:p>
    <w:p w:rsidR="00051B2D" w:rsidRPr="00407A55" w:rsidP="00051B2D" w14:paraId="7068F4B0" w14:textId="77777777">
      <w:pPr>
        <w:shd w:val="clear" w:color="auto" w:fill="FFFFFF"/>
        <w:spacing w:after="0" w:line="240" w:lineRule="auto"/>
        <w:ind w:firstLine="567"/>
        <w:contextualSpacing/>
        <w:jc w:val="both"/>
        <w:rPr>
          <w:rFonts w:ascii="Times New Roman" w:eastAsia="Times New Roman" w:hAnsi="Times New Roman" w:cs="Times New Roman"/>
          <w:b/>
          <w:sz w:val="27"/>
          <w:szCs w:val="27"/>
          <w:lang w:eastAsia="ru-RU"/>
        </w:rPr>
      </w:pPr>
      <w:r w:rsidRPr="00407A55">
        <w:rPr>
          <w:rFonts w:ascii="Times New Roman" w:eastAsia="Times New Roman" w:hAnsi="Times New Roman" w:cs="Times New Roman"/>
          <w:b/>
          <w:sz w:val="27"/>
          <w:szCs w:val="27"/>
          <w:lang w:eastAsia="ru-RU"/>
        </w:rPr>
        <w:t xml:space="preserve">                                    </w:t>
      </w:r>
    </w:p>
    <w:p w:rsidR="00051B2D" w:rsidRPr="00407A55" w:rsidP="00051B2D" w14:paraId="057FEA25" w14:textId="77777777">
      <w:pPr>
        <w:spacing w:after="0" w:line="240" w:lineRule="auto"/>
        <w:ind w:firstLine="567"/>
        <w:contextualSpacing/>
        <w:jc w:val="center"/>
        <w:rPr>
          <w:rFonts w:ascii="Times New Roman" w:eastAsia="Times New Roman" w:hAnsi="Times New Roman" w:cs="Times New Roman"/>
          <w:b/>
          <w:bCs/>
          <w:i/>
          <w:iCs/>
          <w:sz w:val="27"/>
          <w:szCs w:val="27"/>
        </w:rPr>
      </w:pPr>
      <w:r w:rsidRPr="00407A55">
        <w:rPr>
          <w:rFonts w:ascii="Times New Roman" w:eastAsia="Times New Roman" w:hAnsi="Times New Roman" w:cs="Times New Roman"/>
          <w:b/>
          <w:bCs/>
          <w:i/>
          <w:iCs/>
          <w:sz w:val="27"/>
          <w:szCs w:val="27"/>
        </w:rPr>
        <w:t>Безпека життєдіяльності та цивільний захист</w:t>
      </w:r>
    </w:p>
    <w:p w:rsidR="00051B2D" w:rsidRPr="00407A55" w:rsidP="00051B2D" w14:paraId="174637A1" w14:textId="77777777">
      <w:pPr>
        <w:widowControl w:val="0"/>
        <w:spacing w:after="0" w:line="240" w:lineRule="auto"/>
        <w:ind w:firstLine="567"/>
        <w:jc w:val="both"/>
        <w:rPr>
          <w:rFonts w:ascii="Times New Roman" w:eastAsia="Calibri" w:hAnsi="Times New Roman" w:cs="Times New Roman"/>
          <w:color w:val="000000"/>
          <w:sz w:val="27"/>
          <w:szCs w:val="27"/>
          <w:lang w:eastAsia="en-US"/>
        </w:rPr>
      </w:pPr>
      <w:bookmarkStart w:id="3" w:name="_Hlk219895690"/>
      <w:r w:rsidRPr="00407A55">
        <w:rPr>
          <w:rFonts w:ascii="Times New Roman" w:eastAsia="Calibri" w:hAnsi="Times New Roman" w:cs="Times New Roman"/>
          <w:color w:val="000000"/>
          <w:sz w:val="27"/>
          <w:szCs w:val="27"/>
          <w:lang w:eastAsia="en-US"/>
        </w:rPr>
        <w:t>У зв’язку зі збройною агресією російської федерації, що призводить до жертв серед мирного населення, руйнувань та пошкоджень об’єктів критичної та соціальної інфраструктури, житлових будинків питання забезпечення надійної та сталої роботи системи оповіщення, оновлення фонду захисних споруд для укриття населення, накопичення та використання місцевого матеріального резерву для першочергових відновлювальних та ремонтних робіт є головним завданням місцевої влади.</w:t>
      </w:r>
    </w:p>
    <w:p w:rsidR="00051B2D" w:rsidRPr="00407A55" w:rsidP="00051B2D" w14:paraId="7BD0D913"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Calibri" w:hAnsi="Times New Roman" w:cs="Times New Roman"/>
          <w:color w:val="000000"/>
          <w:sz w:val="27"/>
          <w:szCs w:val="27"/>
          <w:lang w:eastAsia="ru-RU"/>
        </w:rPr>
        <w:t xml:space="preserve">З початку повномасштабної агресії російської федерації проти України на території громади пошкоджень зазнали </w:t>
      </w:r>
      <w:r w:rsidRPr="00407A55">
        <w:rPr>
          <w:rFonts w:ascii="Times New Roman" w:eastAsia="Times New Roman" w:hAnsi="Times New Roman" w:cs="Times New Roman"/>
          <w:color w:val="000000"/>
          <w:sz w:val="27"/>
          <w:szCs w:val="27"/>
          <w:lang w:eastAsia="ru-RU"/>
        </w:rPr>
        <w:t xml:space="preserve">172 житлових будинків громади, з них 140 приватних будинків та 32 багатоквартирних житлових будинків. </w:t>
      </w:r>
    </w:p>
    <w:p w:rsidR="00051B2D" w:rsidRPr="00407A55" w:rsidP="00051B2D" w14:paraId="1624B9F2" w14:textId="77777777">
      <w:pPr>
        <w:spacing w:after="0" w:line="240" w:lineRule="auto"/>
        <w:ind w:firstLine="567"/>
        <w:jc w:val="both"/>
        <w:rPr>
          <w:rFonts w:ascii="Times New Roman" w:eastAsia="Times New Roman" w:hAnsi="Times New Roman" w:cs="Times New Roman"/>
          <w:b/>
          <w:bCs/>
          <w:sz w:val="27"/>
          <w:szCs w:val="27"/>
          <w:lang w:val="ru-RU"/>
        </w:rPr>
      </w:pPr>
      <w:r w:rsidRPr="00407A55">
        <w:rPr>
          <w:rFonts w:ascii="Times New Roman" w:eastAsia="Times New Roman" w:hAnsi="Times New Roman" w:cs="Times New Roman"/>
          <w:color w:val="000000"/>
          <w:sz w:val="27"/>
          <w:szCs w:val="27"/>
          <w:lang w:val="ru-RU" w:eastAsia="ru-RU"/>
        </w:rPr>
        <w:t xml:space="preserve">Для відновлення домогосподарств у І півріччі 2026 року за рахунок коштів місцевого бюджету відповідно місцевої програми «З турботою про кожного» виплачено компенсацію постраждалим у сумі </w:t>
      </w:r>
      <w:r w:rsidRPr="00407A55">
        <w:rPr>
          <w:rFonts w:ascii="Times New Roman" w:eastAsia="Times New Roman" w:hAnsi="Times New Roman" w:cs="Times New Roman"/>
          <w:sz w:val="27"/>
          <w:szCs w:val="27"/>
          <w:lang w:val="ru-RU"/>
        </w:rPr>
        <w:t>4 115,7 тис.грн.</w:t>
      </w:r>
      <w:r w:rsidRPr="00407A55">
        <w:rPr>
          <w:rFonts w:ascii="Times New Roman" w:eastAsia="Times New Roman" w:hAnsi="Times New Roman" w:cs="Times New Roman"/>
          <w:color w:val="000000"/>
          <w:sz w:val="27"/>
          <w:szCs w:val="27"/>
          <w:lang w:val="ru-RU" w:eastAsia="ru-RU"/>
        </w:rPr>
        <w:t xml:space="preserve"> </w:t>
      </w:r>
    </w:p>
    <w:p w:rsidR="00051B2D" w:rsidRPr="00407A55" w:rsidP="00051B2D" w14:paraId="19FE3F20"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sz w:val="27"/>
          <w:szCs w:val="27"/>
          <w:lang w:val="ru-RU" w:eastAsia="ru-RU"/>
        </w:rPr>
        <w:t>Відповідно до державної програми «єВідновлення» кількість власників пошкодженого та знищеного майна, які звернулися за допомогою (станом на 30.06.2026), становить 142 особи.</w:t>
      </w:r>
      <w:r w:rsidRPr="00407A55">
        <w:rPr>
          <w:rFonts w:ascii="Times New Roman" w:eastAsia="Times New Roman" w:hAnsi="Times New Roman" w:cs="Times New Roman"/>
          <w:color w:val="000000"/>
          <w:sz w:val="27"/>
          <w:szCs w:val="27"/>
          <w:lang w:val="ru-RU" w:eastAsia="ru-RU"/>
        </w:rPr>
        <w:t xml:space="preserve"> </w:t>
      </w:r>
    </w:p>
    <w:p w:rsidR="00051B2D" w:rsidRPr="00407A55" w:rsidP="00051B2D" w14:paraId="49C869AB"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sz w:val="27"/>
          <w:szCs w:val="27"/>
          <w:lang w:val="ru-RU" w:eastAsia="ru-RU"/>
        </w:rPr>
        <w:t>Відповідно до «Програм</w:t>
      </w:r>
      <w:r w:rsidRPr="00407A55">
        <w:rPr>
          <w:rFonts w:ascii="Times New Roman" w:eastAsia="Times New Roman" w:hAnsi="Times New Roman" w:cs="Times New Roman"/>
          <w:sz w:val="27"/>
          <w:szCs w:val="27"/>
          <w:lang w:eastAsia="ru-RU"/>
        </w:rPr>
        <w:t>и</w:t>
      </w:r>
      <w:r w:rsidRPr="00407A55">
        <w:rPr>
          <w:rFonts w:ascii="Times New Roman" w:eastAsia="Times New Roman" w:hAnsi="Times New Roman" w:cs="Times New Roman"/>
          <w:sz w:val="27"/>
          <w:szCs w:val="27"/>
          <w:lang w:val="ru-RU" w:eastAsia="ru-RU"/>
        </w:rPr>
        <w:t xml:space="preserve"> капітального, поточного ремонту та реконструкції об'єктів житлового фонду Броварської міської територіальної громади Київської області на 2025-2029 роки» </w:t>
      </w:r>
      <w:r w:rsidRPr="00407A55">
        <w:rPr>
          <w:rFonts w:ascii="Times New Roman" w:eastAsia="Times New Roman" w:hAnsi="Times New Roman" w:cs="Times New Roman"/>
          <w:sz w:val="27"/>
          <w:szCs w:val="27"/>
          <w:lang w:eastAsia="ru-RU"/>
        </w:rPr>
        <w:t>виконано роботи з</w:t>
      </w:r>
      <w:r w:rsidRPr="00407A55">
        <w:rPr>
          <w:rFonts w:ascii="Times New Roman" w:eastAsia="Times New Roman" w:hAnsi="Times New Roman" w:cs="Times New Roman"/>
          <w:sz w:val="27"/>
          <w:szCs w:val="27"/>
          <w:lang w:val="ru-RU" w:eastAsia="ru-RU"/>
        </w:rPr>
        <w:t xml:space="preserve"> капітальн</w:t>
      </w:r>
      <w:r w:rsidRPr="00407A55">
        <w:rPr>
          <w:rFonts w:ascii="Times New Roman" w:eastAsia="Times New Roman" w:hAnsi="Times New Roman" w:cs="Times New Roman"/>
          <w:sz w:val="27"/>
          <w:szCs w:val="27"/>
          <w:lang w:eastAsia="ru-RU"/>
        </w:rPr>
        <w:t>ого</w:t>
      </w:r>
      <w:r w:rsidRPr="00407A55">
        <w:rPr>
          <w:rFonts w:ascii="Times New Roman" w:eastAsia="Times New Roman" w:hAnsi="Times New Roman" w:cs="Times New Roman"/>
          <w:sz w:val="27"/>
          <w:szCs w:val="27"/>
          <w:lang w:val="ru-RU" w:eastAsia="ru-RU"/>
        </w:rPr>
        <w:t xml:space="preserve"> ремонт</w:t>
      </w:r>
      <w:r w:rsidRPr="00407A55">
        <w:rPr>
          <w:rFonts w:ascii="Times New Roman" w:eastAsia="Times New Roman" w:hAnsi="Times New Roman" w:cs="Times New Roman"/>
          <w:sz w:val="27"/>
          <w:szCs w:val="27"/>
          <w:lang w:eastAsia="ru-RU"/>
        </w:rPr>
        <w:t>у</w:t>
      </w:r>
      <w:r w:rsidRPr="00407A55">
        <w:rPr>
          <w:rFonts w:ascii="Times New Roman" w:eastAsia="Times New Roman" w:hAnsi="Times New Roman" w:cs="Times New Roman"/>
          <w:sz w:val="27"/>
          <w:szCs w:val="27"/>
          <w:lang w:val="ru-RU" w:eastAsia="ru-RU"/>
        </w:rPr>
        <w:t xml:space="preserve"> (для ліквідації надзвичайної ситуації внаслідок збройної агресії) конструктивних елементів багатоквартирного будинку по вул. Чорних Запорожців, 54-А м. Бровари Броварського району Київської області</w:t>
      </w:r>
      <w:r w:rsidRPr="00407A55">
        <w:rPr>
          <w:rFonts w:ascii="Times New Roman" w:eastAsia="Times New Roman" w:hAnsi="Times New Roman" w:cs="Times New Roman"/>
          <w:sz w:val="27"/>
          <w:szCs w:val="27"/>
          <w:lang w:eastAsia="ru-RU"/>
        </w:rPr>
        <w:t xml:space="preserve"> на суму </w:t>
      </w:r>
      <w:r w:rsidRPr="00407A55">
        <w:rPr>
          <w:rFonts w:ascii="Times New Roman" w:eastAsia="Times New Roman" w:hAnsi="Times New Roman" w:cs="Times New Roman"/>
          <w:sz w:val="27"/>
          <w:szCs w:val="27"/>
          <w:lang w:val="ru-RU" w:eastAsia="ru-RU"/>
        </w:rPr>
        <w:t>962,4 тис. грн.</w:t>
      </w:r>
    </w:p>
    <w:p w:rsidR="00051B2D" w:rsidRPr="00407A55" w:rsidP="00051B2D" w14:paraId="288AA40F"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З метою надання допомоги власникам пошкодженого майна діє Програма проведення робіт з обстеження пошкоджених об`єктів Броварської міської територіальної громади на 2025-2026 роки" від 30.01.2025р. №1965-86-08 (зі змінами), яка профінансована в І півріччі 2026 року на суму 126,16 тис. грн.</w:t>
      </w:r>
    </w:p>
    <w:p w:rsidR="00051B2D" w:rsidRPr="00407A55" w:rsidP="00051B2D" w14:paraId="69C48C3E"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 умовах війни вжиття заходів щодо цивільного захисту, безпеки та оборони має домінуюче значення. З метою забезпечення цивільного захисту та безпеки населення громади у 2026 році діють місцеві програми: </w:t>
      </w:r>
    </w:p>
    <w:p w:rsidR="00051B2D" w:rsidRPr="00407A55" w:rsidP="00051B2D" w14:paraId="34451A97" w14:textId="77777777">
      <w:pPr>
        <w:numPr>
          <w:ilvl w:val="0"/>
          <w:numId w:val="2"/>
        </w:numPr>
        <w:spacing w:after="0" w:line="240" w:lineRule="auto"/>
        <w:ind w:left="0"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 xml:space="preserve">Цільова програма захисту населення і територій від надзвичайних ситуацій техногенного та природного характеру у Броварській міській територіальній громаді на 2022-2026 роки – 4 851,3 тис. грн.; </w:t>
      </w:r>
    </w:p>
    <w:p w:rsidR="00051B2D" w:rsidRPr="00407A55" w:rsidP="00051B2D" w14:paraId="5A19D431" w14:textId="77777777">
      <w:pPr>
        <w:numPr>
          <w:ilvl w:val="0"/>
          <w:numId w:val="2"/>
        </w:numPr>
        <w:spacing w:after="0" w:line="240" w:lineRule="auto"/>
        <w:ind w:left="0"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Програма заходів з територіальної оборони в Броварській міській територіальній громаді на 2026 рік – 84 850,7 тис. грн.;</w:t>
      </w:r>
    </w:p>
    <w:p w:rsidR="00051B2D" w:rsidRPr="00407A55" w:rsidP="00051B2D" w14:paraId="2BEE44A1" w14:textId="77777777">
      <w:pPr>
        <w:numPr>
          <w:ilvl w:val="0"/>
          <w:numId w:val="2"/>
        </w:numPr>
        <w:spacing w:after="0" w:line="240" w:lineRule="auto"/>
        <w:ind w:left="0"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Цільова програма профілактики злочинності, забезпечення громадського порядку та громадської безпеки, охорони прав і свободи громадян на території Броварської міської територіальної громади на 2025 рік – 8 936,0 тис. грн.;</w:t>
      </w:r>
    </w:p>
    <w:p w:rsidR="00051B2D" w:rsidRPr="00407A55" w:rsidP="00051B2D" w14:paraId="6ECB8C62" w14:textId="77777777">
      <w:pPr>
        <w:numPr>
          <w:ilvl w:val="0"/>
          <w:numId w:val="2"/>
        </w:numPr>
        <w:spacing w:after="0" w:line="240" w:lineRule="auto"/>
        <w:ind w:left="0"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 xml:space="preserve">Програма стійкості та забезпечення </w:t>
      </w:r>
      <w:r w:rsidRPr="00407A55">
        <w:rPr>
          <w:rFonts w:ascii="Times New Roman" w:eastAsia="Times New Roman" w:hAnsi="Times New Roman" w:cs="Times New Roman"/>
          <w:sz w:val="27"/>
          <w:szCs w:val="27"/>
          <w:lang w:val="ru-RU" w:eastAsia="ru-RU"/>
        </w:rPr>
        <w:t>життєдіяльності</w:t>
      </w:r>
      <w:r w:rsidRPr="00407A55">
        <w:rPr>
          <w:rFonts w:ascii="Times New Roman" w:eastAsia="Times New Roman" w:hAnsi="Times New Roman" w:cs="Times New Roman"/>
          <w:color w:val="000000"/>
          <w:sz w:val="27"/>
          <w:szCs w:val="27"/>
          <w:lang w:val="ru-RU" w:eastAsia="ru-RU"/>
        </w:rPr>
        <w:t xml:space="preserve"> Броварської міської територіальної громади Київської області на 2023-2027 роки – 13 976,1 тис. грн.; </w:t>
      </w:r>
    </w:p>
    <w:p w:rsidR="00051B2D" w:rsidRPr="00407A55" w:rsidP="00051B2D" w14:paraId="11D578C6" w14:textId="77777777">
      <w:pPr>
        <w:numPr>
          <w:ilvl w:val="0"/>
          <w:numId w:val="2"/>
        </w:numPr>
        <w:spacing w:after="0" w:line="240" w:lineRule="auto"/>
        <w:ind w:left="0" w:firstLine="567"/>
        <w:rPr>
          <w:rFonts w:ascii="Times New Roman" w:eastAsia="Times New Roman" w:hAnsi="Times New Roman" w:cs="Times New Roman"/>
          <w:b/>
          <w:bCs/>
          <w:sz w:val="27"/>
          <w:szCs w:val="27"/>
          <w:lang w:val="ru-RU" w:eastAsia="ru-RU"/>
        </w:rPr>
      </w:pPr>
      <w:r w:rsidRPr="00407A55">
        <w:rPr>
          <w:rFonts w:ascii="Times New Roman" w:eastAsia="Times New Roman" w:hAnsi="Times New Roman" w:cs="Times New Roman"/>
          <w:color w:val="000000"/>
          <w:sz w:val="27"/>
          <w:szCs w:val="27"/>
          <w:lang w:val="ru-RU" w:eastAsia="ru-RU"/>
        </w:rPr>
        <w:t>Програма «Безпечна громада» на 2025-2029 роки – 2 269,8</w:t>
      </w:r>
      <w:r w:rsidRPr="00407A55">
        <w:rPr>
          <w:rFonts w:ascii="Times New Roman" w:eastAsia="Times New Roman" w:hAnsi="Times New Roman" w:cs="Times New Roman"/>
          <w:b/>
          <w:bCs/>
          <w:sz w:val="27"/>
          <w:szCs w:val="27"/>
          <w:lang w:val="ru-RU" w:eastAsia="ru-RU"/>
        </w:rPr>
        <w:t xml:space="preserve"> </w:t>
      </w:r>
      <w:r w:rsidRPr="00407A55">
        <w:rPr>
          <w:rFonts w:ascii="Times New Roman" w:eastAsia="Times New Roman" w:hAnsi="Times New Roman" w:cs="Times New Roman"/>
          <w:color w:val="000000"/>
          <w:sz w:val="27"/>
          <w:szCs w:val="27"/>
          <w:lang w:val="ru-RU" w:eastAsia="ru-RU"/>
        </w:rPr>
        <w:t>тис. грн.</w:t>
      </w:r>
      <w:r w:rsidRPr="00407A55">
        <w:rPr>
          <w:rFonts w:ascii="Times New Roman" w:eastAsia="Times New Roman" w:hAnsi="Times New Roman" w:cs="Times New Roman"/>
          <w:b/>
          <w:bCs/>
          <w:sz w:val="27"/>
          <w:szCs w:val="27"/>
          <w:lang w:val="ru-RU" w:eastAsia="ru-RU"/>
        </w:rPr>
        <w:t xml:space="preserve"> </w:t>
      </w:r>
    </w:p>
    <w:p w:rsidR="00051B2D" w:rsidRPr="00407A55" w:rsidP="00051B2D" w14:paraId="4587106E" w14:textId="77777777">
      <w:pPr>
        <w:spacing w:after="0" w:line="240" w:lineRule="auto"/>
        <w:ind w:firstLine="567"/>
        <w:contextualSpacing/>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 xml:space="preserve">У громаді забезпечено цілодобовий та безперешкодний доступ до наявного фонду захисних споруд цивільного захисту, придатного до використання за призначенням. Проведені роботи по облаштуванню укриттів в закладах освіти, приміщеннях комунальної власності, житлово-експлуатаційних контор, тощо.  </w:t>
      </w:r>
    </w:p>
    <w:p w:rsidR="00051B2D" w:rsidRPr="00407A55" w:rsidP="00051B2D" w14:paraId="698E3742"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7"/>
          <w:szCs w:val="27"/>
          <w:lang w:val="uk" w:eastAsia="ru-RU"/>
        </w:rPr>
      </w:pPr>
      <w:r w:rsidRPr="00407A55">
        <w:rPr>
          <w:rFonts w:ascii="Times New Roman" w:eastAsia="Times New Roman" w:hAnsi="Times New Roman" w:cs="Times New Roman"/>
          <w:color w:val="000000"/>
          <w:sz w:val="27"/>
          <w:szCs w:val="27"/>
          <w:lang w:val="ru-RU" w:eastAsia="ru-RU"/>
        </w:rPr>
        <w:t>Д</w:t>
      </w:r>
      <w:r w:rsidRPr="00407A55">
        <w:rPr>
          <w:rFonts w:ascii="Times New Roman" w:eastAsia="Times New Roman" w:hAnsi="Times New Roman" w:cs="Times New Roman"/>
          <w:color w:val="000000"/>
          <w:sz w:val="27"/>
          <w:szCs w:val="27"/>
          <w:lang w:val="uk" w:eastAsia="ru-RU"/>
        </w:rPr>
        <w:t>ля захисту населення громади фонд захисних споруд цивільного захисту станом на 30.06.2026 налічує 8</w:t>
      </w:r>
      <w:r w:rsidRPr="00407A55">
        <w:rPr>
          <w:rFonts w:ascii="Times New Roman" w:eastAsia="Times New Roman" w:hAnsi="Times New Roman" w:cs="Times New Roman"/>
          <w:color w:val="000000"/>
          <w:sz w:val="27"/>
          <w:szCs w:val="27"/>
          <w:lang w:val="ru-RU" w:eastAsia="ru-RU"/>
        </w:rPr>
        <w:t>5</w:t>
      </w:r>
      <w:r w:rsidRPr="00407A55">
        <w:rPr>
          <w:rFonts w:ascii="Times New Roman" w:eastAsia="Times New Roman" w:hAnsi="Times New Roman" w:cs="Times New Roman"/>
          <w:color w:val="000000"/>
          <w:sz w:val="27"/>
          <w:szCs w:val="27"/>
          <w:lang w:val="uk" w:eastAsia="ru-RU"/>
        </w:rPr>
        <w:t xml:space="preserve"> одиниці місткістю 33706 осіб (забезпечує укриття 29 % населення), з них: 23 сховища місткістю 10420 осіб, 12 протирадіаційних укриттів місткістю 3270 осіб; 50 найпростіших укриттів місткістю 20016 осіб.</w:t>
      </w:r>
    </w:p>
    <w:p w:rsidR="00051B2D" w:rsidRPr="00407A55" w:rsidP="00051B2D" w14:paraId="0FEABD04"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Населенню громади надано онлайн-доступ до інформації про наявні захисні споруди цивільного захисту громади за посиланням </w:t>
      </w:r>
      <w:hyperlink r:id="rId5" w:history="1">
        <w:r w:rsidRPr="00407A55">
          <w:rPr>
            <w:rFonts w:ascii="Times New Roman" w:eastAsia="Times New Roman" w:hAnsi="Times New Roman" w:cs="Times New Roman"/>
            <w:color w:val="0000FF"/>
            <w:sz w:val="27"/>
            <w:szCs w:val="27"/>
            <w:u w:val="single"/>
            <w:lang w:eastAsia="ru-RU"/>
          </w:rPr>
          <w:t>https://brovary-rada.gov.ua/meshkantsiu/bezpeka</w:t>
        </w:r>
      </w:hyperlink>
      <w:r w:rsidRPr="00407A55">
        <w:rPr>
          <w:rFonts w:ascii="Times New Roman" w:eastAsia="Times New Roman" w:hAnsi="Times New Roman" w:cs="Times New Roman"/>
          <w:sz w:val="27"/>
          <w:szCs w:val="27"/>
          <w:lang w:eastAsia="ru-RU"/>
        </w:rPr>
        <w:t xml:space="preserve">, та Київської області за посиланням: </w:t>
      </w:r>
      <w:hyperlink r:id="rId6" w:history="1">
        <w:r w:rsidRPr="00407A55">
          <w:rPr>
            <w:rFonts w:ascii="Times New Roman" w:eastAsia="Times New Roman" w:hAnsi="Times New Roman" w:cs="Times New Roman"/>
            <w:color w:val="0000FF"/>
            <w:sz w:val="27"/>
            <w:szCs w:val="27"/>
            <w:u w:val="single"/>
            <w:lang w:eastAsia="ru-RU"/>
          </w:rPr>
          <w:t>https://koda.gov.ua/gromadskosti/vidkryti-dani/ukryttya/</w:t>
        </w:r>
      </w:hyperlink>
      <w:r w:rsidRPr="00407A55">
        <w:rPr>
          <w:rFonts w:ascii="Times New Roman" w:eastAsia="Times New Roman" w:hAnsi="Times New Roman" w:cs="Times New Roman"/>
          <w:sz w:val="27"/>
          <w:szCs w:val="27"/>
          <w:lang w:eastAsia="ru-RU"/>
        </w:rPr>
        <w:t xml:space="preserve">. </w:t>
      </w:r>
    </w:p>
    <w:p w:rsidR="00051B2D" w:rsidRPr="00407A55" w:rsidP="00051B2D" w14:paraId="3B61F45B" w14:textId="77777777">
      <w:pPr>
        <w:spacing w:after="0" w:line="240" w:lineRule="auto"/>
        <w:ind w:firstLine="567"/>
        <w:jc w:val="both"/>
        <w:rPr>
          <w:rFonts w:ascii="Times New Roman" w:eastAsia="Calibri" w:hAnsi="Times New Roman" w:cs="Times New Roman"/>
          <w:color w:val="000000"/>
          <w:sz w:val="27"/>
          <w:szCs w:val="27"/>
          <w:lang w:eastAsia="en-US"/>
        </w:rPr>
      </w:pPr>
      <w:r w:rsidRPr="00407A55">
        <w:rPr>
          <w:rFonts w:ascii="Times New Roman" w:eastAsia="Calibri" w:hAnsi="Times New Roman" w:cs="Times New Roman"/>
          <w:color w:val="000000"/>
          <w:sz w:val="27"/>
          <w:szCs w:val="27"/>
          <w:lang w:eastAsia="en-US"/>
        </w:rPr>
        <w:t>У випадку аварійного відключення електроенергії передбачено функціонування 8  стаціонарних «Пунктів незламності».</w:t>
      </w:r>
    </w:p>
    <w:p w:rsidR="00051B2D" w:rsidRPr="00407A55" w:rsidP="00051B2D" w14:paraId="37E81FD9" w14:textId="77777777">
      <w:pPr>
        <w:widowControl w:val="0"/>
        <w:tabs>
          <w:tab w:val="center" w:pos="4820"/>
          <w:tab w:val="right" w:pos="9641"/>
        </w:tabs>
        <w:snapToGrid w:val="0"/>
        <w:spacing w:after="0" w:line="240" w:lineRule="auto"/>
        <w:ind w:firstLine="567"/>
        <w:contextualSpacing/>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У селах Требухів та Княжичі діють поліцейські станції, які забезпечено усім необхідним обладнанням та транспортом. Правопорядок у м. Бровари забезпечується Броварським районним управлінням поліції ГУ Національної поліції України в Київській області.</w:t>
      </w:r>
    </w:p>
    <w:p w:rsidR="00051B2D" w:rsidRPr="00407A55" w:rsidP="00051B2D" w14:paraId="5F1AAB09" w14:textId="77777777">
      <w:pPr>
        <w:widowControl w:val="0"/>
        <w:tabs>
          <w:tab w:val="center" w:pos="4820"/>
          <w:tab w:val="right" w:pos="9641"/>
        </w:tabs>
        <w:snapToGrid w:val="0"/>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В одинадцяти ліцеях громади організовано  роботу «класів безпеки» (№ 2, № 3, № 4 ім. С.І. Олійника, № 5 ім. Василя Стуса, № 7, № 9, № 10, № 11, Княжицькому, Требухівському та початковій школі № 12). У цих класах проводяться заняття з правил пожежної та мінної безпеки, вивчаються алгоритми дій під час сигналу «Повітряна тривога», інших надзвичайних ситуацій із залученням фахівців.</w:t>
      </w:r>
    </w:p>
    <w:p w:rsidR="00051B2D" w:rsidRPr="00407A55" w:rsidP="00051B2D" w14:paraId="1D2064FE"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У громаді реалізується проєкт «Офіцери Служби освітньої безпеки (СОБ)», який спрямований на захист дітей в умовах повномасштабної війни та формування надійного безпекового середовища після її завершення. У рамках проєкту офіцери СОБ проводять навчання, тренування та консультації з питань безпеки в умовах надзвичайних ситуацій, організовують інформаційно-роз’яснювальну роботу з учнями та їх батьками, спрямовану на запобігання втягуванню підлітків у протиправну діяльність під час воєнного стану. Також здійснюється профілактика правопорушень серед дітей та надаються роз’яснення щодо відповідальності за протиправні дії в умовах війни. Загалом у закладах загальної середньої освіти працюють 10 офіцерів (у ліцеях № 1, № 4 ім. С.І. Олійника, № 5 ім. Василя Стуса,  № 6, № 7, № 10, № 11, початкова школа № 12, Княжицький та Требухівський). Планується забезпечити всі заклади офіцерами, у зв’язку з чим наразі проводяться конкурсні відбори та відповідне навчання.</w:t>
      </w:r>
    </w:p>
    <w:p w:rsidR="00051B2D" w:rsidRPr="00407A55" w:rsidP="00051B2D" w14:paraId="7ECF2D40" w14:textId="77777777">
      <w:pPr>
        <w:widowControl w:val="0"/>
        <w:spacing w:after="0" w:line="240" w:lineRule="auto"/>
        <w:ind w:firstLine="567"/>
        <w:jc w:val="both"/>
        <w:rPr>
          <w:rFonts w:ascii="Times New Roman" w:eastAsia="Calibri" w:hAnsi="Times New Roman" w:cs="Times New Roman"/>
          <w:color w:val="000000"/>
          <w:sz w:val="27"/>
          <w:szCs w:val="27"/>
          <w:lang w:val="ru-RU" w:eastAsia="ru-RU"/>
        </w:rPr>
      </w:pPr>
      <w:r w:rsidRPr="00407A55">
        <w:rPr>
          <w:rFonts w:ascii="Times New Roman" w:eastAsia="Calibri" w:hAnsi="Times New Roman" w:cs="Times New Roman"/>
          <w:color w:val="000000"/>
          <w:sz w:val="27"/>
          <w:szCs w:val="27"/>
          <w:lang w:val="ru-RU" w:eastAsia="ru-RU"/>
        </w:rPr>
        <w:t>Для забезпечення громадської безпеки на вулицях громади, скверах, парках, зупинках громадського транспорту, об’єктах комунальної власності, зокрема навчальних закладах та закладах охорони здоров’я встановлено та підключено 222 камери відеоспостереження.</w:t>
      </w:r>
    </w:p>
    <w:p w:rsidR="00051B2D" w:rsidRPr="00407A55" w:rsidP="00051B2D" w14:paraId="6D07ED4E"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В місті Бровари впроваджується пілотний проект ДУ ЦІТ Міністерства внутрішніх справ України з додаткової фіксації встановленими комплексами автоматичної фото- та відеофіксації правопорушень у сфері забезпечення безпеки дорожнього руху (далі – КАФ), саме: перевищення встановлених обмежень швидкості руху транспортними засобами, проїзд на заборонений сигнал світлофора. Чотири установлених КАФ в м. Бровари вже працюють на перехрестях вул. Київської – вул. Шевченка та вул. Київської – вул. Героїв України – вул. Чорновола В’ячеслава (перевищення встановлених обмежень швидкості руху транспортними засобами), ще 2 КАФ на перехресті вул. Київської – вул. Відродження – вул. Красницького повіту працюють у тестовому режимі (перевищення встановлених обмежень швидкості руху транспортними засобами, проїзд на заборонений сигнал світлофора). Наразі документи для фіксації КАФ проїзд на заборонений сигнал світлофора перебувають на погодженні в Департаменті патрульної поліції Національної поліції України. </w:t>
      </w:r>
    </w:p>
    <w:p w:rsidR="00051B2D" w:rsidRPr="00407A55" w:rsidP="00051B2D" w14:paraId="6427A951"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sz w:val="27"/>
          <w:szCs w:val="27"/>
          <w:lang w:val="ru-RU" w:eastAsia="ru-RU"/>
        </w:rPr>
        <w:t>В м. Бровари встановлено 30 світлофорних об’єкта, 29 з яких під’єднані до резервних джерел живлення, що дозволяє їм працювати</w:t>
      </w:r>
      <w:r w:rsidRPr="00407A55">
        <w:rPr>
          <w:rFonts w:ascii="Times New Roman" w:eastAsia="Times New Roman" w:hAnsi="Times New Roman" w:cs="Times New Roman"/>
          <w:color w:val="000000"/>
          <w:sz w:val="27"/>
          <w:szCs w:val="27"/>
          <w:lang w:val="ru-RU" w:eastAsia="ru-RU"/>
        </w:rPr>
        <w:t xml:space="preserve"> за відсутності електроенергії та забезпечує комфортний і безпечний рух транспорту і пішоходів. </w:t>
      </w:r>
    </w:p>
    <w:p w:rsidR="00051B2D" w:rsidRPr="00407A55" w:rsidP="00051B2D" w14:paraId="60977C7D" w14:textId="77777777">
      <w:pPr>
        <w:spacing w:after="0" w:line="240" w:lineRule="auto"/>
        <w:ind w:firstLine="567"/>
        <w:contextualSpacing/>
        <w:jc w:val="both"/>
        <w:rPr>
          <w:rFonts w:ascii="Times New Roman" w:eastAsia="Times New Roman" w:hAnsi="Times New Roman" w:cs="Times New Roman"/>
          <w:color w:val="000000"/>
          <w:sz w:val="27"/>
          <w:szCs w:val="27"/>
        </w:rPr>
      </w:pPr>
      <w:r w:rsidRPr="00407A55">
        <w:rPr>
          <w:rFonts w:ascii="Times New Roman" w:eastAsia="Times New Roman" w:hAnsi="Times New Roman" w:cs="Times New Roman"/>
          <w:color w:val="000000"/>
          <w:sz w:val="27"/>
          <w:szCs w:val="27"/>
        </w:rPr>
        <w:t>З метою сприяння обороні України шляхом максимально широкого залучення громадян до дій, спрямованих на забезпечення воєнної безпеки, суверенітету і територіальної цілісності держави, стримування і відсіч агресії та завдання противнику неприйнятних втрат, рішенням сесії Броварської міської ради від 28.11.2024 № 1855-82-08 створено Комунальний заклад Броварської міської ради Броварського району Київської області «Броварський центр підготовки населення до цивільної оборони» (далі – Центр), який проводить базові курси, з підготовки курсантів, які розуміють необхідність базових військових навичок в умовах повномасштабної війни.</w:t>
      </w:r>
    </w:p>
    <w:p w:rsidR="00051B2D" w:rsidRPr="00407A55" w:rsidP="00051B2D" w14:paraId="2E8FAF1D" w14:textId="77777777">
      <w:pPr>
        <w:spacing w:after="0" w:line="240" w:lineRule="auto"/>
        <w:ind w:firstLine="567"/>
        <w:contextualSpacing/>
        <w:jc w:val="both"/>
        <w:rPr>
          <w:rFonts w:ascii="Times New Roman" w:eastAsia="Times New Roman" w:hAnsi="Times New Roman" w:cs="Times New Roman"/>
          <w:color w:val="000000"/>
          <w:sz w:val="27"/>
          <w:szCs w:val="27"/>
        </w:rPr>
      </w:pPr>
      <w:r w:rsidRPr="00407A55">
        <w:rPr>
          <w:rFonts w:ascii="Times New Roman" w:eastAsia="Times New Roman" w:hAnsi="Times New Roman" w:cs="Times New Roman"/>
          <w:color w:val="000000"/>
          <w:sz w:val="27"/>
          <w:szCs w:val="27"/>
        </w:rPr>
        <w:t>Протягом І півріччя 2026 року Центр провів  5 курсів навчання для 140 осіб. Крім того, спільно з Броварським центром національно-патріотичного виховання проведено курс з тактичної підготовки та тактичної медицини для 100 дітей.</w:t>
      </w:r>
    </w:p>
    <w:bookmarkEnd w:id="3"/>
    <w:p w:rsidR="00051B2D" w:rsidRPr="00407A55" w:rsidP="00051B2D" w14:paraId="593DADFF" w14:textId="77777777">
      <w:pPr>
        <w:spacing w:after="0" w:line="240" w:lineRule="auto"/>
        <w:ind w:firstLine="567"/>
        <w:jc w:val="both"/>
        <w:rPr>
          <w:rFonts w:ascii="Times New Roman" w:eastAsia="Times New Roman" w:hAnsi="Times New Roman" w:cs="Times New Roman"/>
          <w:sz w:val="27"/>
          <w:szCs w:val="27"/>
          <w:lang w:eastAsia="ru-RU"/>
        </w:rPr>
      </w:pPr>
    </w:p>
    <w:p w:rsidR="00051B2D" w:rsidRPr="00407A55" w:rsidP="00051B2D" w14:paraId="2E48EDE6" w14:textId="77777777">
      <w:pPr>
        <w:autoSpaceDE w:val="0"/>
        <w:autoSpaceDN w:val="0"/>
        <w:adjustRightInd w:val="0"/>
        <w:spacing w:after="0" w:line="240" w:lineRule="auto"/>
        <w:ind w:firstLine="567"/>
        <w:jc w:val="both"/>
        <w:rPr>
          <w:rFonts w:ascii="Times New Roman" w:eastAsia="Times New Roman" w:hAnsi="Times New Roman" w:cs="Times New Roman"/>
          <w:b/>
          <w:i/>
          <w:sz w:val="27"/>
          <w:szCs w:val="27"/>
          <w:lang w:eastAsia="ru-RU"/>
        </w:rPr>
      </w:pPr>
      <w:r w:rsidRPr="00407A55">
        <w:rPr>
          <w:rFonts w:ascii="Times New Roman" w:eastAsia="Times New Roman" w:hAnsi="Times New Roman" w:cs="Times New Roman"/>
          <w:b/>
          <w:sz w:val="27"/>
          <w:szCs w:val="27"/>
          <w:lang w:eastAsia="ru-RU"/>
        </w:rPr>
        <w:t xml:space="preserve">                              </w:t>
      </w:r>
      <w:r w:rsidRPr="00407A55">
        <w:rPr>
          <w:rFonts w:ascii="Times New Roman" w:eastAsia="Times New Roman" w:hAnsi="Times New Roman" w:cs="Times New Roman"/>
          <w:b/>
          <w:i/>
          <w:sz w:val="27"/>
          <w:szCs w:val="27"/>
          <w:lang w:eastAsia="ru-RU"/>
        </w:rPr>
        <w:t>Соціальний захист населення</w:t>
      </w:r>
    </w:p>
    <w:p w:rsidR="00051B2D" w:rsidRPr="00407A55" w:rsidP="00051B2D" w14:paraId="3EDB575D" w14:textId="77777777">
      <w:pPr>
        <w:shd w:val="clear" w:color="auto" w:fill="FFFFFF"/>
        <w:spacing w:after="0" w:line="240" w:lineRule="auto"/>
        <w:ind w:firstLine="567"/>
        <w:contextualSpacing/>
        <w:jc w:val="both"/>
        <w:rPr>
          <w:rFonts w:ascii="Times New Roman" w:eastAsia="Times New Roman" w:hAnsi="Times New Roman" w:cs="Times New Roman"/>
          <w:color w:val="000000"/>
          <w:sz w:val="27"/>
          <w:szCs w:val="27"/>
        </w:rPr>
      </w:pPr>
      <w:r w:rsidRPr="00407A55">
        <w:rPr>
          <w:rFonts w:ascii="Times New Roman" w:eastAsia="Times New Roman" w:hAnsi="Times New Roman" w:cs="Times New Roman"/>
          <w:color w:val="000000"/>
          <w:sz w:val="27"/>
          <w:szCs w:val="27"/>
        </w:rPr>
        <w:t>За умов повномасштабної військової агресії російської федерації проти України, яка продовжує завдавати непоправної шкоди соціальній безпеці України, на особливу увагу з боку органів державної влади заслуговує питання надання підтримки соціально вразливим верствам населення та удосконалення наявного переліку соціальних послуг.</w:t>
      </w:r>
    </w:p>
    <w:p w:rsidR="00051B2D" w:rsidRPr="00407A55" w:rsidP="00051B2D" w14:paraId="7FB35735"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Відповідно реєстру Броварської міської територіальної громади станом на 01.07.2026 року в громаді зареєстровано 116686 осіб, в тому числі: місто Бровари – 104222 особи, село Княжичі – 5854 особи, село Требухів – 6571 особа, село Сотницьке – 39 осіб.</w:t>
      </w:r>
    </w:p>
    <w:p w:rsidR="00051B2D" w:rsidRPr="00407A55" w:rsidP="00051B2D" w14:paraId="1E2596F3"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p>
    <w:p w:rsidR="00051B2D" w:rsidRPr="00407A55" w:rsidP="00051B2D" w14:paraId="231CA426"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b/>
          <w:bCs/>
          <w:color w:val="000000"/>
          <w:sz w:val="27"/>
          <w:szCs w:val="27"/>
          <w:lang w:eastAsia="ru-RU"/>
        </w:rPr>
        <w:t xml:space="preserve">Населення Броварської міської територіальної </w:t>
      </w:r>
    </w:p>
    <w:p w:rsidR="00051B2D" w:rsidRPr="00407A55" w:rsidP="00051B2D" w14:paraId="1CD1FE4E"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b/>
          <w:bCs/>
          <w:color w:val="000000"/>
          <w:sz w:val="27"/>
          <w:szCs w:val="27"/>
          <w:lang w:eastAsia="ru-RU"/>
        </w:rPr>
        <w:t>громади у 2025-2026 роках, (осіб)</w:t>
      </w:r>
    </w:p>
    <w:p w:rsidR="00051B2D" w:rsidRPr="00407A55" w:rsidP="00051B2D" w14:paraId="3F15A82A" w14:textId="77777777">
      <w:pPr>
        <w:spacing w:after="0" w:line="240" w:lineRule="auto"/>
        <w:ind w:firstLine="567"/>
        <w:jc w:val="both"/>
        <w:rPr>
          <w:rFonts w:ascii="Times New Roman" w:eastAsia="Times New Roman" w:hAnsi="Times New Roman" w:cs="Times New Roman"/>
          <w:noProof/>
          <w:sz w:val="27"/>
          <w:szCs w:val="27"/>
          <w:lang w:val="ru-RU" w:eastAsia="ru-RU"/>
        </w:rPr>
      </w:pPr>
      <w:r w:rsidRPr="00407A55">
        <w:rPr>
          <w:rFonts w:ascii="Times New Roman" w:eastAsia="Times New Roman" w:hAnsi="Times New Roman" w:cs="Times New Roman"/>
          <w:noProof/>
          <w:sz w:val="27"/>
          <w:szCs w:val="27"/>
          <w:lang w:val="ru-RU" w:eastAsia="ru-RU"/>
        </w:rPr>
        <w:drawing>
          <wp:inline distT="0" distB="0" distL="0" distR="0">
            <wp:extent cx="5265420" cy="2933065"/>
            <wp:effectExtent l="0" t="0" r="11430" b="63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51B2D" w:rsidRPr="00407A55" w:rsidP="00051B2D" w14:paraId="3CE12514" w14:textId="77777777">
      <w:pPr>
        <w:spacing w:after="0" w:line="240" w:lineRule="auto"/>
        <w:ind w:firstLine="567"/>
        <w:jc w:val="center"/>
        <w:rPr>
          <w:rFonts w:ascii="Times New Roman" w:eastAsia="Times New Roman" w:hAnsi="Times New Roman" w:cs="Times New Roman"/>
          <w:b/>
          <w:bCs/>
          <w:noProof/>
          <w:sz w:val="27"/>
          <w:szCs w:val="27"/>
          <w:lang w:eastAsia="ru-RU"/>
        </w:rPr>
      </w:pPr>
    </w:p>
    <w:p w:rsidR="00051B2D" w:rsidP="00051B2D" w14:paraId="24585798" w14:textId="77777777">
      <w:pPr>
        <w:spacing w:after="0" w:line="240" w:lineRule="auto"/>
        <w:ind w:firstLine="567"/>
        <w:jc w:val="center"/>
        <w:rPr>
          <w:rFonts w:ascii="Times New Roman" w:eastAsia="Times New Roman" w:hAnsi="Times New Roman" w:cs="Times New Roman"/>
          <w:b/>
          <w:bCs/>
          <w:noProof/>
          <w:sz w:val="27"/>
          <w:szCs w:val="27"/>
          <w:lang w:eastAsia="ru-RU"/>
        </w:rPr>
      </w:pPr>
    </w:p>
    <w:p w:rsidR="00051B2D" w:rsidP="00051B2D" w14:paraId="6C252833" w14:textId="77777777">
      <w:pPr>
        <w:spacing w:after="0" w:line="240" w:lineRule="auto"/>
        <w:ind w:firstLine="567"/>
        <w:jc w:val="center"/>
        <w:rPr>
          <w:rFonts w:ascii="Times New Roman" w:eastAsia="Times New Roman" w:hAnsi="Times New Roman" w:cs="Times New Roman"/>
          <w:b/>
          <w:bCs/>
          <w:noProof/>
          <w:sz w:val="27"/>
          <w:szCs w:val="27"/>
          <w:lang w:eastAsia="ru-RU"/>
        </w:rPr>
      </w:pPr>
    </w:p>
    <w:p w:rsidR="00051B2D" w:rsidP="00051B2D" w14:paraId="68841F64" w14:textId="77777777">
      <w:pPr>
        <w:spacing w:after="0" w:line="240" w:lineRule="auto"/>
        <w:ind w:firstLine="567"/>
        <w:jc w:val="center"/>
        <w:rPr>
          <w:rFonts w:ascii="Times New Roman" w:eastAsia="Times New Roman" w:hAnsi="Times New Roman" w:cs="Times New Roman"/>
          <w:b/>
          <w:bCs/>
          <w:noProof/>
          <w:sz w:val="27"/>
          <w:szCs w:val="27"/>
          <w:lang w:eastAsia="ru-RU"/>
        </w:rPr>
      </w:pPr>
    </w:p>
    <w:p w:rsidR="00051B2D" w:rsidP="00051B2D" w14:paraId="2FB52AB4" w14:textId="77777777">
      <w:pPr>
        <w:spacing w:after="0" w:line="240" w:lineRule="auto"/>
        <w:ind w:firstLine="567"/>
        <w:jc w:val="center"/>
        <w:rPr>
          <w:rFonts w:ascii="Times New Roman" w:eastAsia="Times New Roman" w:hAnsi="Times New Roman" w:cs="Times New Roman"/>
          <w:b/>
          <w:bCs/>
          <w:noProof/>
          <w:sz w:val="27"/>
          <w:szCs w:val="27"/>
          <w:lang w:eastAsia="ru-RU"/>
        </w:rPr>
      </w:pPr>
    </w:p>
    <w:p w:rsidR="00051B2D" w:rsidRPr="00407A55" w:rsidP="00051B2D" w14:paraId="5433FA08" w14:textId="77777777">
      <w:pPr>
        <w:spacing w:after="0" w:line="240" w:lineRule="auto"/>
        <w:ind w:firstLine="567"/>
        <w:jc w:val="center"/>
        <w:rPr>
          <w:rFonts w:ascii="Times New Roman" w:eastAsia="Times New Roman" w:hAnsi="Times New Roman" w:cs="Times New Roman"/>
          <w:b/>
          <w:bCs/>
          <w:noProof/>
          <w:sz w:val="27"/>
          <w:szCs w:val="27"/>
          <w:lang w:eastAsia="ru-RU"/>
        </w:rPr>
      </w:pPr>
      <w:r w:rsidRPr="00407A55">
        <w:rPr>
          <w:rFonts w:ascii="Times New Roman" w:eastAsia="Times New Roman" w:hAnsi="Times New Roman" w:cs="Times New Roman"/>
          <w:b/>
          <w:bCs/>
          <w:noProof/>
          <w:sz w:val="27"/>
          <w:szCs w:val="27"/>
          <w:lang w:eastAsia="ru-RU"/>
        </w:rPr>
        <w:t>Демографічний стан у громаді у 2025-2026 роках, (осіб)</w:t>
      </w:r>
    </w:p>
    <w:p w:rsidR="00051B2D" w:rsidRPr="00407A55" w:rsidP="00051B2D" w14:paraId="690BD90C"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661660" cy="2656840"/>
            <wp:effectExtent l="0" t="0" r="15240" b="1016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51B2D" w:rsidRPr="00407A55" w:rsidP="00051B2D" w14:paraId="0692A0E4" w14:textId="77777777">
      <w:pPr>
        <w:shd w:val="clear" w:color="auto" w:fill="FFFFFF"/>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У зв’язку з продовженням активних бойових дій у низці регіонів України станом на 01.07.2026 в Єдиній інформаційній базі внутрішньо переміщених осіб (далі - ВПО) перебувало 23267 ВПО, в тому числі 4370 дітей. Порівняно з початком 2026 року чисельність ВПО збільшилась на 542 особи.</w:t>
      </w:r>
    </w:p>
    <w:p w:rsidR="00051B2D" w:rsidRPr="00407A55" w:rsidP="00051B2D" w14:paraId="42330426" w14:textId="77777777">
      <w:pPr>
        <w:shd w:val="clear" w:color="auto" w:fill="FFFFFF"/>
        <w:spacing w:after="0" w:line="240" w:lineRule="auto"/>
        <w:ind w:firstLine="567"/>
        <w:contextualSpacing/>
        <w:jc w:val="both"/>
        <w:rPr>
          <w:rFonts w:ascii="Times New Roman" w:eastAsia="Times New Roman" w:hAnsi="Times New Roman" w:cs="Times New Roman"/>
          <w:color w:val="000000"/>
          <w:sz w:val="27"/>
          <w:szCs w:val="27"/>
          <w:lang w:eastAsia="ru-RU"/>
        </w:rPr>
      </w:pPr>
    </w:p>
    <w:p w:rsidR="00051B2D" w:rsidRPr="00407A55" w:rsidP="00051B2D" w14:paraId="3A32FDEC"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b/>
          <w:bCs/>
          <w:color w:val="000000"/>
          <w:sz w:val="27"/>
          <w:szCs w:val="27"/>
          <w:lang w:eastAsia="ru-RU"/>
        </w:rPr>
        <w:t xml:space="preserve">Кількість зареєстрованих внутрішньо переміщених осіб </w:t>
      </w:r>
    </w:p>
    <w:p w:rsidR="00051B2D" w:rsidRPr="00407A55" w:rsidP="00051B2D" w14:paraId="51441196"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b/>
          <w:bCs/>
          <w:color w:val="000000"/>
          <w:sz w:val="27"/>
          <w:szCs w:val="27"/>
          <w:lang w:eastAsia="ru-RU"/>
        </w:rPr>
        <w:t>в Броварській міській територіальній громаді, (осіб)</w:t>
      </w:r>
    </w:p>
    <w:p w:rsidR="00051B2D" w:rsidRPr="00407A55" w:rsidP="00051B2D" w14:paraId="3B6392F1"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585460" cy="2549525"/>
            <wp:effectExtent l="0" t="0" r="15240" b="317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51B2D" w:rsidRPr="00407A55" w:rsidP="00051B2D" w14:paraId="7608ED28" w14:textId="77777777">
      <w:pPr>
        <w:spacing w:after="0" w:line="240" w:lineRule="auto"/>
        <w:ind w:firstLine="567"/>
        <w:jc w:val="center"/>
        <w:rPr>
          <w:rFonts w:ascii="Times New Roman" w:eastAsia="Times New Roman" w:hAnsi="Times New Roman" w:cs="Times New Roman"/>
          <w:b/>
          <w:bCs/>
          <w:color w:val="000000"/>
          <w:sz w:val="27"/>
          <w:szCs w:val="27"/>
          <w:lang w:eastAsia="ru-RU"/>
        </w:rPr>
      </w:pPr>
    </w:p>
    <w:p w:rsidR="00051B2D" w:rsidRPr="00407A55" w:rsidP="00051B2D" w14:paraId="4F7F0DEB"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Для ВПО в громаді функціонує модульне містечко, яке облаштоване всім необхідним для проживання. Проживання в модульному містечку безкоштовне. Станом на 01.07.2026 проживало 157 осіб.  </w:t>
      </w:r>
    </w:p>
    <w:p w:rsidR="00051B2D" w:rsidRPr="00407A55" w:rsidP="00051B2D" w14:paraId="5845C9E9"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З метою підтримки найбільш вразливих та соціально незахищених верств населення, в рамках міської Програми «З турботою про кожного», за рахунок коштів місцевого бюджету у звітному періоді профінансовано на суму 20142,0 тис. грн.</w:t>
      </w:r>
    </w:p>
    <w:p w:rsidR="00051B2D" w:rsidRPr="00407A55" w:rsidP="00051B2D" w14:paraId="085FCBCF" w14:textId="77777777">
      <w:pPr>
        <w:spacing w:after="0" w:line="240" w:lineRule="auto"/>
        <w:ind w:firstLine="567"/>
        <w:jc w:val="both"/>
        <w:rPr>
          <w:rFonts w:ascii="Times New Roman" w:eastAsia="Times New Roman" w:hAnsi="Times New Roman" w:cs="Times New Roman"/>
          <w:sz w:val="27"/>
          <w:szCs w:val="27"/>
          <w:lang w:val="ru-RU" w:eastAsia="ru-RU"/>
        </w:rPr>
      </w:pPr>
    </w:p>
    <w:p w:rsidR="00051B2D" w:rsidRPr="00407A55" w:rsidP="00051B2D" w14:paraId="5E1A87B5" w14:textId="77777777">
      <w:pPr>
        <w:spacing w:after="0" w:line="240" w:lineRule="auto"/>
        <w:ind w:firstLine="567"/>
        <w:jc w:val="center"/>
        <w:rPr>
          <w:rFonts w:ascii="Times New Roman" w:eastAsia="Times New Roman" w:hAnsi="Times New Roman" w:cs="Times New Roman"/>
          <w:b/>
          <w:bCs/>
          <w:sz w:val="27"/>
          <w:szCs w:val="27"/>
          <w:lang w:eastAsia="ru-RU"/>
        </w:rPr>
      </w:pPr>
    </w:p>
    <w:p w:rsidR="00051B2D" w:rsidRPr="00407A55" w:rsidP="00051B2D" w14:paraId="3AD51DD8" w14:textId="77777777">
      <w:pPr>
        <w:spacing w:after="0" w:line="240" w:lineRule="auto"/>
        <w:ind w:firstLine="567"/>
        <w:jc w:val="center"/>
        <w:rPr>
          <w:rFonts w:ascii="Times New Roman" w:eastAsia="Times New Roman" w:hAnsi="Times New Roman" w:cs="Times New Roman"/>
          <w:b/>
          <w:bCs/>
          <w:sz w:val="27"/>
          <w:szCs w:val="27"/>
          <w:lang w:eastAsia="ru-RU"/>
        </w:rPr>
      </w:pPr>
    </w:p>
    <w:p w:rsidR="00051B2D" w:rsidRPr="00407A55" w:rsidP="00051B2D" w14:paraId="1CE6C14F"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Фінансування заходів програми «З турботою про кожного»</w:t>
      </w:r>
    </w:p>
    <w:p w:rsidR="00051B2D" w:rsidRPr="00407A55" w:rsidP="00051B2D" w14:paraId="5B92C55F"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 xml:space="preserve"> у 2025-2026 роках, (тис. грн.)</w:t>
      </w:r>
    </w:p>
    <w:p w:rsidR="00051B2D" w:rsidRPr="00407A55" w:rsidP="00051B2D" w14:paraId="28AAA6E7" w14:textId="77777777">
      <w:pPr>
        <w:spacing w:after="0" w:line="240" w:lineRule="auto"/>
        <w:ind w:firstLine="567"/>
        <w:jc w:val="center"/>
        <w:rPr>
          <w:rFonts w:ascii="Times New Roman" w:eastAsia="Times New Roman" w:hAnsi="Times New Roman" w:cs="Times New Roman"/>
          <w:noProof/>
          <w:sz w:val="27"/>
          <w:szCs w:val="27"/>
          <w:lang w:val="ru-RU" w:eastAsia="ru-RU"/>
        </w:rPr>
      </w:pPr>
      <w:r w:rsidRPr="00407A55">
        <w:rPr>
          <w:rFonts w:ascii="Times New Roman" w:eastAsia="Times New Roman" w:hAnsi="Times New Roman" w:cs="Times New Roman"/>
          <w:noProof/>
          <w:sz w:val="27"/>
          <w:szCs w:val="27"/>
          <w:lang w:val="ru-RU" w:eastAsia="ru-RU"/>
        </w:rPr>
        <w:drawing>
          <wp:inline distT="0" distB="0" distL="0" distR="0">
            <wp:extent cx="5760720" cy="2751455"/>
            <wp:effectExtent l="0" t="0" r="11430" b="1079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51B2D" w:rsidRPr="00407A55" w:rsidP="00051B2D" w14:paraId="35D1BA25" w14:textId="77777777">
      <w:pPr>
        <w:tabs>
          <w:tab w:val="left" w:pos="426"/>
          <w:tab w:val="left" w:pos="2410"/>
        </w:tabs>
        <w:spacing w:after="0" w:line="240" w:lineRule="auto"/>
        <w:ind w:firstLine="567"/>
        <w:jc w:val="both"/>
        <w:rPr>
          <w:rFonts w:ascii="Times New Roman" w:eastAsia="Times New Roman" w:hAnsi="Times New Roman" w:cs="Times New Roman"/>
          <w:color w:val="000000"/>
          <w:sz w:val="27"/>
          <w:szCs w:val="27"/>
          <w:shd w:val="clear" w:color="auto" w:fill="FFFFFF"/>
        </w:rPr>
      </w:pPr>
      <w:r w:rsidRPr="00407A55">
        <w:rPr>
          <w:rFonts w:ascii="Times New Roman" w:eastAsia="Calibri" w:hAnsi="Times New Roman" w:cs="Times New Roman"/>
          <w:color w:val="000000"/>
          <w:sz w:val="27"/>
          <w:szCs w:val="27"/>
          <w:shd w:val="clear" w:color="auto" w:fill="FFFFFF"/>
          <w:lang w:eastAsia="en-US"/>
        </w:rPr>
        <w:t xml:space="preserve">В громаді запроваджена послуга «Соціальне таксі», яка надається мешканцям громади, </w:t>
      </w:r>
      <w:r w:rsidRPr="00407A55">
        <w:rPr>
          <w:rFonts w:ascii="Times New Roman" w:eastAsia="Times New Roman" w:hAnsi="Times New Roman" w:cs="Times New Roman"/>
          <w:color w:val="000000"/>
          <w:sz w:val="27"/>
          <w:szCs w:val="27"/>
          <w:shd w:val="clear" w:color="auto" w:fill="FFFFFF"/>
        </w:rPr>
        <w:t>які не можуть самостійно пересуватися або пересуваються з використанням допоміжних засобів реабілітації, та не можуть скористатися громадським транспортом. У І півріччі 2026 року здійснено 270 послуг.</w:t>
      </w:r>
    </w:p>
    <w:p w:rsidR="00051B2D" w:rsidRPr="00407A55" w:rsidP="00051B2D" w14:paraId="49DEE932"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Станом на 01.07.2026 року на обліку в управлінні перебувало 197 одержувачів компенсацій, з них: 187 - одержувачі компенсацій з надання соціальних послуг, 7 - одержувачі компенсації «Муніципальна няня» та 3 одержувача одноразової допомоги, що постраждали від торгівлі людьми.</w:t>
      </w:r>
    </w:p>
    <w:p w:rsidR="00051B2D" w:rsidRPr="00407A55" w:rsidP="00051B2D" w14:paraId="07A4EF25" w14:textId="77777777">
      <w:pPr>
        <w:tabs>
          <w:tab w:val="left" w:pos="426"/>
        </w:tabs>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За рахунок коштів державного бюджету у 1 півріччі 2026 року профінансовано компенсації в сумі 498,98 тис. грн.</w:t>
      </w:r>
    </w:p>
    <w:p w:rsidR="00051B2D" w:rsidRPr="00407A55" w:rsidP="00051B2D" w14:paraId="5D7718F5" w14:textId="77777777">
      <w:pPr>
        <w:tabs>
          <w:tab w:val="left" w:pos="426"/>
        </w:tabs>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 xml:space="preserve">На обліку в Броварському міському територіальному центрі соціального обслуговування Броварської міської ради Броварського району Київської області (далі – Центр обслуговування) перебувало 1749 осіб, які потребують соціальних послуг, з них 1481 одиноких та самотньо проживаючих. </w:t>
      </w:r>
    </w:p>
    <w:p w:rsidR="00051B2D" w:rsidRPr="00407A55" w:rsidP="00051B2D" w14:paraId="3D0569E3" w14:textId="77777777">
      <w:pPr>
        <w:tabs>
          <w:tab w:val="left" w:pos="426"/>
        </w:tabs>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У звітному періоді Броварським міським територіальним центром соціального обслуговування надано 69197 послуг. У відділенні стаціонарного догляду перебуває 12 осіб, крім того щоденно надаються гарячі обіди 116 особам.</w:t>
      </w:r>
    </w:p>
    <w:p w:rsidR="00051B2D" w:rsidRPr="00407A55" w:rsidP="00051B2D" w14:paraId="13BBFF1C" w14:textId="77777777">
      <w:pPr>
        <w:tabs>
          <w:tab w:val="left" w:pos="426"/>
        </w:tabs>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У Міському центрі комплексної реабілітації дітей з інвалідністю Броварської міської ради Броварського району Київської області (далі – Центр) станом на 01.07.2026 на обліку перебувало 255 дітей, які потребують реабілітації.</w:t>
      </w:r>
    </w:p>
    <w:p w:rsidR="00051B2D" w:rsidRPr="00407A55" w:rsidP="00051B2D" w14:paraId="2E36A040" w14:textId="77777777">
      <w:pPr>
        <w:tabs>
          <w:tab w:val="left" w:pos="426"/>
        </w:tabs>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В Центрі функціонують: діагностично-консультативне відділення, медичний реабілітаційний центр, відділення психологічно-педагогічної реабілітації, соціальної реабілітації, професійної орієнтації та 5 груп денного перебування. Працівниками Центру надано 30910 реабілітаційних послуг для дітей з інвалідністю.</w:t>
      </w:r>
    </w:p>
    <w:p w:rsidR="00051B2D" w:rsidRPr="00407A55" w:rsidP="00051B2D" w14:paraId="00AE913E" w14:textId="77777777">
      <w:pPr>
        <w:tabs>
          <w:tab w:val="left" w:pos="426"/>
        </w:tabs>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 xml:space="preserve">Станом на 01.07.2026 на обліку в управлінні соціального захисту населення перебувало 4104 осіб, постраждалих внаслідок аварії на ЧАЕС, з них: 1645 ліквідаторів першої, другої та третьої  категорії, 1666 евакуйованих та відселених із забруднених територій, 483 потерпілих дітей, 310 вдів померлих громадян із числа ліквідаторів, смерть яких пов’язана з Чорнобильською катастрофою.  </w:t>
      </w:r>
    </w:p>
    <w:p w:rsidR="00051B2D" w:rsidRPr="00407A55" w:rsidP="00051B2D" w14:paraId="4406B0C5" w14:textId="77777777">
      <w:pPr>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Станом на 30.06.2026 року з</w:t>
      </w:r>
      <w:r w:rsidRPr="00407A55">
        <w:rPr>
          <w:rFonts w:ascii="Times New Roman" w:eastAsia="Times New Roman" w:hAnsi="Times New Roman" w:cs="Times New Roman"/>
          <w:sz w:val="27"/>
          <w:szCs w:val="27"/>
          <w:lang w:val="ru-RU" w:eastAsia="ru-RU"/>
        </w:rPr>
        <w:t>афіксован</w:t>
      </w:r>
      <w:r w:rsidRPr="00407A55">
        <w:rPr>
          <w:rFonts w:ascii="Times New Roman" w:eastAsia="Times New Roman" w:hAnsi="Times New Roman" w:cs="Times New Roman"/>
          <w:sz w:val="27"/>
          <w:szCs w:val="27"/>
          <w:lang w:eastAsia="ru-RU"/>
        </w:rPr>
        <w:t>а</w:t>
      </w:r>
      <w:r w:rsidRPr="00407A55">
        <w:rPr>
          <w:rFonts w:ascii="Times New Roman" w:eastAsia="Times New Roman" w:hAnsi="Times New Roman" w:cs="Times New Roman"/>
          <w:sz w:val="27"/>
          <w:szCs w:val="27"/>
          <w:lang w:val="ru-RU" w:eastAsia="ru-RU"/>
        </w:rPr>
        <w:t xml:space="preserve"> заборгованість із виплати заробітної плати на підприємствах громади</w:t>
      </w:r>
      <w:r w:rsidRPr="00407A55">
        <w:rPr>
          <w:rFonts w:ascii="Times New Roman" w:eastAsia="Times New Roman" w:hAnsi="Times New Roman" w:cs="Times New Roman"/>
          <w:sz w:val="27"/>
          <w:szCs w:val="27"/>
        </w:rPr>
        <w:t>:</w:t>
      </w:r>
    </w:p>
    <w:p w:rsidR="00051B2D" w:rsidRPr="00407A55" w:rsidP="00051B2D" w14:paraId="4FB846B7" w14:textId="77777777">
      <w:pPr>
        <w:numPr>
          <w:ilvl w:val="0"/>
          <w:numId w:val="3"/>
        </w:numPr>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ДП «Завод порошкової металургії» - у сумі 24308,1 тис. грн;</w:t>
      </w:r>
    </w:p>
    <w:p w:rsidR="00051B2D" w:rsidRPr="00407A55" w:rsidP="00051B2D" w14:paraId="6B7DB4EB" w14:textId="77777777">
      <w:pPr>
        <w:numPr>
          <w:ilvl w:val="0"/>
          <w:numId w:val="3"/>
        </w:numPr>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ДП СЛГП «Укрспирт» - 52394,1 тис. грн.</w:t>
      </w:r>
    </w:p>
    <w:p w:rsidR="00051B2D" w:rsidRPr="00407A55" w:rsidP="00051B2D" w14:paraId="50927E6D"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В звітному періоді для вирішення проблеми легалізації виплати заробітної плати та зайнятості населення проведено наступні заходи, а саме:</w:t>
      </w:r>
    </w:p>
    <w:p w:rsidR="00051B2D" w:rsidRPr="00407A55" w:rsidP="00051B2D" w14:paraId="1F08FA89" w14:textId="77777777">
      <w:pPr>
        <w:spacing w:after="0" w:line="240" w:lineRule="auto"/>
        <w:ind w:firstLine="567"/>
        <w:contextualSpacing/>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 xml:space="preserve">- за інформацією Головного управління ДПС у Київській області  суб’єктам господарювання направлено 69 запитів про надання пояснень з долученням копій підтверджуючих документів щодо донарахування законодавчо встановленої мінімальної заробітної плати найманим працівникам; </w:t>
      </w:r>
    </w:p>
    <w:p w:rsidR="00051B2D" w:rsidRPr="00407A55" w:rsidP="00051B2D" w14:paraId="36801291" w14:textId="77777777">
      <w:pPr>
        <w:spacing w:after="0" w:line="240" w:lineRule="auto"/>
        <w:ind w:firstLine="567"/>
        <w:contextualSpacing/>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 xml:space="preserve">- проведено 4 засідання комісії з питань легалізації виплат заробітної плати і зайнятості населення виконавчого комітету Броварської міської ради Броварського району Київської області; </w:t>
      </w:r>
    </w:p>
    <w:p w:rsidR="00051B2D" w:rsidRPr="00407A55" w:rsidP="00051B2D" w14:paraId="6A551260" w14:textId="77777777">
      <w:pPr>
        <w:spacing w:after="0" w:line="240" w:lineRule="auto"/>
        <w:ind w:firstLine="567"/>
        <w:contextualSpacing/>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 проведено 4 засідання комісії з питань забезпечення своєчасності сплати податків та інших надходжень, виплати заробітної плати, пенсій, стипендій та інших соціальних виплат з питань легалізації виплати заробітної плати і зайнятості населення виконавчого комітету Броварської міської ради Броварського району Київської області;</w:t>
      </w:r>
    </w:p>
    <w:p w:rsidR="00051B2D" w:rsidRPr="00407A55" w:rsidP="00051B2D" w14:paraId="5CAED493" w14:textId="77777777">
      <w:pPr>
        <w:spacing w:after="0" w:line="240" w:lineRule="auto"/>
        <w:ind w:firstLine="567"/>
        <w:contextualSpacing/>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 xml:space="preserve">- проведено інформаційно-роз’яснювальну роботу з суб’єктами господарювання щодо додержання законодавства про працю – 53; </w:t>
      </w:r>
    </w:p>
    <w:p w:rsidR="00051B2D" w:rsidRPr="00407A55" w:rsidP="00051B2D" w14:paraId="3A1DF43A" w14:textId="77777777">
      <w:pPr>
        <w:spacing w:after="0" w:line="240" w:lineRule="auto"/>
        <w:ind w:firstLine="567"/>
        <w:contextualSpacing/>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 проведено повідомну реєстрацію 18 колективних договорів, змін та доповнень до них, та надано рекомендації. Текст зареєстрованих договорів, рекомендацій оприлюднено на офіційному веб-сайті Броварської міської ради.</w:t>
      </w:r>
    </w:p>
    <w:p w:rsidR="00051B2D" w:rsidRPr="00407A55" w:rsidP="00051B2D" w14:paraId="2A2F3355" w14:textId="77777777">
      <w:pPr>
        <w:spacing w:after="0" w:line="240" w:lineRule="auto"/>
        <w:ind w:firstLine="567"/>
        <w:contextualSpacing/>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 xml:space="preserve">За інформацією Головного управління Пенсійного фонду України у Київській області (далі – Пенсійний фонд) на обліку станом на 30.06.2026 перебувало 32313 пенсіонерів громади, середній розмір пенсії становив 7807,02 грн., мінімальна пенсія – 2595 грн. </w:t>
      </w:r>
    </w:p>
    <w:p w:rsidR="00051B2D" w:rsidRPr="00407A55" w:rsidP="00051B2D" w14:paraId="6FD10AAF" w14:textId="77777777">
      <w:pPr>
        <w:spacing w:after="0" w:line="240" w:lineRule="auto"/>
        <w:ind w:firstLine="567"/>
        <w:jc w:val="center"/>
        <w:rPr>
          <w:rFonts w:ascii="Times New Roman" w:eastAsia="Times New Roman" w:hAnsi="Times New Roman" w:cs="Times New Roman"/>
          <w:b/>
          <w:bCs/>
          <w:i/>
          <w:iCs/>
          <w:sz w:val="27"/>
          <w:szCs w:val="27"/>
          <w:lang w:eastAsia="ru-RU"/>
        </w:rPr>
      </w:pPr>
      <w:bookmarkStart w:id="4" w:name="n3"/>
      <w:bookmarkEnd w:id="4"/>
      <w:r w:rsidRPr="00407A55">
        <w:rPr>
          <w:rFonts w:ascii="Times New Roman" w:eastAsia="Times New Roman" w:hAnsi="Times New Roman" w:cs="Times New Roman"/>
          <w:b/>
          <w:bCs/>
          <w:i/>
          <w:iCs/>
          <w:sz w:val="27"/>
          <w:szCs w:val="27"/>
          <w:lang w:eastAsia="ru-RU"/>
        </w:rPr>
        <w:t>Середній розмір пенсій</w:t>
      </w:r>
    </w:p>
    <w:p w:rsidR="00051B2D" w:rsidRPr="00407A55" w:rsidP="00051B2D" w14:paraId="4193CE5D" w14:textId="77777777">
      <w:pPr>
        <w:spacing w:after="0" w:line="240" w:lineRule="auto"/>
        <w:ind w:firstLine="567"/>
        <w:jc w:val="center"/>
        <w:rPr>
          <w:rFonts w:ascii="Times New Roman" w:eastAsia="Times New Roman" w:hAnsi="Times New Roman" w:cs="Times New Roman"/>
          <w:b/>
          <w:bCs/>
          <w:i/>
          <w:iCs/>
          <w:sz w:val="27"/>
          <w:szCs w:val="27"/>
          <w:lang w:eastAsia="ru-RU"/>
        </w:rPr>
      </w:pPr>
      <w:r w:rsidRPr="00407A55">
        <w:rPr>
          <w:rFonts w:ascii="Times New Roman" w:eastAsia="Times New Roman" w:hAnsi="Times New Roman" w:cs="Times New Roman"/>
          <w:b/>
          <w:bCs/>
          <w:i/>
          <w:iCs/>
          <w:sz w:val="27"/>
          <w:szCs w:val="27"/>
          <w:lang w:eastAsia="ru-RU"/>
        </w:rPr>
        <w:t>в Броварській міській територіальній громаді, (грн.)</w:t>
      </w:r>
    </w:p>
    <w:p w:rsidR="00051B2D" w:rsidRPr="00407A55" w:rsidP="00051B2D" w14:paraId="5E60AA1D" w14:textId="77777777">
      <w:pPr>
        <w:spacing w:after="0" w:line="240" w:lineRule="auto"/>
        <w:ind w:firstLine="567"/>
        <w:jc w:val="center"/>
        <w:rPr>
          <w:rFonts w:ascii="Times New Roman" w:eastAsia="Times New Roman" w:hAnsi="Times New Roman" w:cs="Times New Roman"/>
          <w:b/>
          <w:bCs/>
          <w:i/>
          <w:iCs/>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338445" cy="2560320"/>
            <wp:effectExtent l="0" t="0" r="14605" b="1143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51B2D" w:rsidRPr="00407A55" w:rsidP="00051B2D" w14:paraId="3D6AFCB1" w14:textId="77777777">
      <w:pPr>
        <w:spacing w:after="0" w:line="240" w:lineRule="auto"/>
        <w:ind w:firstLine="567"/>
        <w:jc w:val="both"/>
        <w:rPr>
          <w:rFonts w:ascii="Times New Roman" w:eastAsia="Times New Roman" w:hAnsi="Times New Roman" w:cs="Times New Roman"/>
          <w:noProof/>
          <w:sz w:val="27"/>
          <w:szCs w:val="27"/>
          <w:lang w:val="ru-RU" w:eastAsia="ru-RU"/>
        </w:rPr>
      </w:pPr>
    </w:p>
    <w:p w:rsidR="00051B2D" w:rsidRPr="00407A55" w:rsidP="00051B2D" w14:paraId="4C6CEA31"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Надходження власних коштів на рахунки Пенсійного фонду (по страхових внесках та відшкодуванню пенсій призначених на пільгових умовах) склали</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 xml:space="preserve"> </w:t>
      </w:r>
      <w:r w:rsidRPr="00407A55">
        <w:rPr>
          <w:rFonts w:ascii="Times New Roman" w:eastAsia="Times New Roman" w:hAnsi="Times New Roman" w:cs="Times New Roman"/>
          <w:sz w:val="27"/>
          <w:szCs w:val="27"/>
          <w:lang w:eastAsia="ru-RU"/>
        </w:rPr>
        <w:t>1 560,0</w:t>
      </w:r>
      <w:r w:rsidRPr="00407A55">
        <w:rPr>
          <w:rFonts w:ascii="Times New Roman" w:eastAsia="Times New Roman" w:hAnsi="Times New Roman" w:cs="Times New Roman"/>
          <w:sz w:val="27"/>
          <w:szCs w:val="27"/>
          <w:lang w:val="ru-RU" w:eastAsia="ru-RU"/>
        </w:rPr>
        <w:t xml:space="preserve"> тис. грн, план виконано на 100%.  </w:t>
      </w:r>
    </w:p>
    <w:p w:rsidR="00051B2D" w:rsidRPr="00407A55" w:rsidP="00051B2D" w14:paraId="0961361E"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Кількість боржників станом на 01.07.2026 становить 28. Загальна сума заборгованості перед Пенсійним фондом становить 60 334,51</w:t>
      </w:r>
      <w:r w:rsidRPr="00407A55">
        <w:rPr>
          <w:rFonts w:ascii="Times New Roman" w:eastAsia="Times New Roman" w:hAnsi="Times New Roman" w:cs="Times New Roman"/>
          <w:sz w:val="27"/>
          <w:szCs w:val="27"/>
          <w:lang w:val="ru-RU" w:eastAsia="ru-RU"/>
        </w:rPr>
        <w:t xml:space="preserve"> </w:t>
      </w:r>
      <w:r w:rsidRPr="00407A55">
        <w:rPr>
          <w:rFonts w:ascii="Times New Roman" w:eastAsia="Times New Roman" w:hAnsi="Times New Roman" w:cs="Times New Roman"/>
          <w:sz w:val="27"/>
          <w:szCs w:val="27"/>
          <w:lang w:eastAsia="ru-RU"/>
        </w:rPr>
        <w:t>тис. грн. Борг платників, з безнадійним боргом – 6 42032</w:t>
      </w:r>
      <w:r w:rsidRPr="00407A55">
        <w:rPr>
          <w:rFonts w:ascii="Times New Roman" w:eastAsia="Times New Roman" w:hAnsi="Times New Roman" w:cs="Times New Roman"/>
          <w:sz w:val="27"/>
          <w:szCs w:val="27"/>
          <w:lang w:val="ru-RU" w:eastAsia="ru-RU"/>
        </w:rPr>
        <w:t xml:space="preserve"> </w:t>
      </w:r>
      <w:r w:rsidRPr="00407A55">
        <w:rPr>
          <w:rFonts w:ascii="Times New Roman" w:eastAsia="Times New Roman" w:hAnsi="Times New Roman" w:cs="Times New Roman"/>
          <w:sz w:val="27"/>
          <w:szCs w:val="27"/>
          <w:lang w:eastAsia="ru-RU"/>
        </w:rPr>
        <w:t>тис. грн, дієвий борг становить 53 914,19</w:t>
      </w:r>
      <w:r w:rsidRPr="00407A55">
        <w:rPr>
          <w:rFonts w:ascii="Times New Roman" w:eastAsia="Times New Roman" w:hAnsi="Times New Roman" w:cs="Times New Roman"/>
          <w:sz w:val="27"/>
          <w:szCs w:val="27"/>
          <w:lang w:val="ru-RU" w:eastAsia="ru-RU"/>
        </w:rPr>
        <w:t xml:space="preserve"> </w:t>
      </w:r>
      <w:r w:rsidRPr="00407A55">
        <w:rPr>
          <w:rFonts w:ascii="Times New Roman" w:eastAsia="Times New Roman" w:hAnsi="Times New Roman" w:cs="Times New Roman"/>
          <w:sz w:val="27"/>
          <w:szCs w:val="27"/>
          <w:lang w:eastAsia="ru-RU"/>
        </w:rPr>
        <w:t>тис. грн, в тому числі по відшкодуванню пільгових пенсій 58 552,90</w:t>
      </w:r>
      <w:r w:rsidRPr="00407A55">
        <w:rPr>
          <w:rFonts w:ascii="Times New Roman" w:eastAsia="Times New Roman" w:hAnsi="Times New Roman" w:cs="Times New Roman"/>
          <w:sz w:val="27"/>
          <w:szCs w:val="27"/>
          <w:lang w:val="ru-RU" w:eastAsia="ru-RU"/>
        </w:rPr>
        <w:t xml:space="preserve"> </w:t>
      </w:r>
      <w:r w:rsidRPr="00407A55">
        <w:rPr>
          <w:rFonts w:ascii="Times New Roman" w:eastAsia="Times New Roman" w:hAnsi="Times New Roman" w:cs="Times New Roman"/>
          <w:sz w:val="27"/>
          <w:szCs w:val="27"/>
          <w:lang w:eastAsia="ru-RU"/>
        </w:rPr>
        <w:t>тис. грн.</w:t>
      </w:r>
    </w:p>
    <w:p w:rsidR="00051B2D" w:rsidRPr="00407A55" w:rsidP="00051B2D" w14:paraId="7165C7FB"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Найбільші суми заборгованості серед економічно - активних підприємств громади станом на 01.07.2026:</w:t>
      </w:r>
    </w:p>
    <w:p w:rsidR="00051B2D" w:rsidRPr="00407A55" w:rsidP="00051B2D" w14:paraId="68B5D307" w14:textId="77777777">
      <w:pPr>
        <w:numPr>
          <w:ilvl w:val="0"/>
          <w:numId w:val="1"/>
        </w:num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ДП „ЗПМ” – 51 266,43 тис. грн. </w:t>
      </w:r>
    </w:p>
    <w:p w:rsidR="00051B2D" w:rsidRPr="00407A55" w:rsidP="00051B2D" w14:paraId="226DB4A6" w14:textId="77777777">
      <w:pPr>
        <w:numPr>
          <w:ilvl w:val="0"/>
          <w:numId w:val="1"/>
        </w:num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ДП СЛГП „Укрспирт” – 1 866,36 тис. грн. </w:t>
      </w:r>
    </w:p>
    <w:p w:rsidR="00051B2D" w:rsidRPr="00407A55" w:rsidP="00051B2D" w14:paraId="65B7F681"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Постійно вживаються заходи по зменшенню заборгованості, а саме:</w:t>
      </w:r>
    </w:p>
    <w:p w:rsidR="00051B2D" w:rsidRPr="00407A55" w:rsidP="00051B2D" w14:paraId="5D78A786"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на виконанні в органах Державної виконавчої служби Броварського відділу у Броварському районі Центрального міжрегіонального управління Міністерства юстиції знаходиться 4 вимоги на суму боргу 103,28 тис. грн, 152 рішення Київського окружного адміністративного суду на суму 50 381,41 тис. грн., в т.ч. 123 рішення по відшкодуванню витрат на виплату та доставку пільгових пенсій на суму 48 725,14 тис. грн;</w:t>
      </w:r>
    </w:p>
    <w:p w:rsidR="00051B2D" w:rsidRPr="00407A55" w:rsidP="00051B2D" w14:paraId="78BFB8C3" w14:textId="77777777">
      <w:pPr>
        <w:shd w:val="clear" w:color="auto" w:fill="FFFFFF"/>
        <w:tabs>
          <w:tab w:val="left" w:pos="6662"/>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в судових органах знаходиться 3</w:t>
      </w:r>
      <w:r w:rsidRPr="00407A55">
        <w:rPr>
          <w:rFonts w:ascii="Times New Roman" w:eastAsia="Times New Roman" w:hAnsi="Times New Roman" w:cs="Times New Roman"/>
          <w:sz w:val="27"/>
          <w:szCs w:val="27"/>
          <w:lang w:eastAsia="ru-RU"/>
        </w:rPr>
        <w:t>7</w:t>
      </w:r>
      <w:r w:rsidRPr="00407A55">
        <w:rPr>
          <w:rFonts w:ascii="Times New Roman" w:eastAsia="Times New Roman" w:hAnsi="Times New Roman" w:cs="Times New Roman"/>
          <w:sz w:val="27"/>
          <w:szCs w:val="27"/>
          <w:lang w:val="ru-RU" w:eastAsia="ru-RU"/>
        </w:rPr>
        <w:t xml:space="preserve"> позовів на суму </w:t>
      </w:r>
      <w:r w:rsidRPr="00407A55">
        <w:rPr>
          <w:rFonts w:ascii="Times New Roman" w:eastAsia="Times New Roman" w:hAnsi="Times New Roman" w:cs="Times New Roman"/>
          <w:sz w:val="27"/>
          <w:szCs w:val="27"/>
          <w:lang w:eastAsia="ru-RU"/>
        </w:rPr>
        <w:t xml:space="preserve">8981,63 </w:t>
      </w:r>
      <w:r w:rsidRPr="00407A55">
        <w:rPr>
          <w:rFonts w:ascii="Times New Roman" w:eastAsia="Times New Roman" w:hAnsi="Times New Roman" w:cs="Times New Roman"/>
          <w:sz w:val="27"/>
          <w:szCs w:val="27"/>
          <w:lang w:val="ru-RU" w:eastAsia="ru-RU"/>
        </w:rPr>
        <w:t>тис. грн., по відшкодуванню витрат на виплату та доставку пільгових пенсій.</w:t>
      </w:r>
    </w:p>
    <w:p w:rsidR="00051B2D" w:rsidRPr="00407A55" w:rsidP="00051B2D" w14:paraId="6E1FFF0F" w14:textId="77777777">
      <w:pPr>
        <w:shd w:val="clear" w:color="auto" w:fill="FFFFFF"/>
        <w:tabs>
          <w:tab w:val="left" w:pos="6662"/>
        </w:tabs>
        <w:spacing w:after="0" w:line="240" w:lineRule="auto"/>
        <w:ind w:firstLine="567"/>
        <w:jc w:val="center"/>
        <w:rPr>
          <w:rFonts w:ascii="Times New Roman" w:eastAsia="Times New Roman" w:hAnsi="Times New Roman" w:cs="Times New Roman"/>
          <w:b/>
          <w:i/>
          <w:color w:val="000000"/>
          <w:spacing w:val="-2"/>
          <w:sz w:val="27"/>
          <w:szCs w:val="27"/>
          <w:lang w:eastAsia="ru-RU"/>
        </w:rPr>
      </w:pPr>
    </w:p>
    <w:p w:rsidR="00051B2D" w:rsidRPr="00407A55" w:rsidP="00051B2D" w14:paraId="5C88C3C8" w14:textId="77777777">
      <w:pPr>
        <w:shd w:val="clear" w:color="auto" w:fill="FFFFFF"/>
        <w:tabs>
          <w:tab w:val="left" w:pos="6662"/>
        </w:tabs>
        <w:spacing w:after="0" w:line="240" w:lineRule="auto"/>
        <w:ind w:firstLine="567"/>
        <w:jc w:val="center"/>
        <w:rPr>
          <w:rFonts w:ascii="Times New Roman" w:eastAsia="Times New Roman" w:hAnsi="Times New Roman" w:cs="Times New Roman"/>
          <w:b/>
          <w:i/>
          <w:color w:val="000000"/>
          <w:spacing w:val="-2"/>
          <w:sz w:val="27"/>
          <w:szCs w:val="27"/>
          <w:lang w:eastAsia="ru-RU"/>
        </w:rPr>
      </w:pPr>
      <w:r w:rsidRPr="00407A55">
        <w:rPr>
          <w:rFonts w:ascii="Times New Roman" w:eastAsia="Times New Roman" w:hAnsi="Times New Roman" w:cs="Times New Roman"/>
          <w:b/>
          <w:i/>
          <w:color w:val="000000"/>
          <w:spacing w:val="-2"/>
          <w:sz w:val="27"/>
          <w:szCs w:val="27"/>
          <w:lang w:eastAsia="ru-RU"/>
        </w:rPr>
        <w:t>Ветеранська політика</w:t>
      </w:r>
    </w:p>
    <w:p w:rsidR="00051B2D" w:rsidRPr="00407A55" w:rsidP="00051B2D" w14:paraId="05CBA7B3"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Станом на 01.07.2026 року на обліку в управлінні з питань ветеранської політики Броварської міської ради Броварського району Київської області перебува</w:t>
      </w:r>
      <w:r w:rsidRPr="00407A55">
        <w:rPr>
          <w:rFonts w:ascii="Times New Roman" w:eastAsia="Times New Roman" w:hAnsi="Times New Roman" w:cs="Times New Roman"/>
          <w:sz w:val="27"/>
          <w:szCs w:val="27"/>
          <w:lang w:eastAsia="ru-RU"/>
        </w:rPr>
        <w:t>ло</w:t>
      </w:r>
      <w:r w:rsidRPr="00407A55">
        <w:rPr>
          <w:rFonts w:ascii="Times New Roman" w:eastAsia="Times New Roman" w:hAnsi="Times New Roman" w:cs="Times New Roman"/>
          <w:sz w:val="27"/>
          <w:szCs w:val="27"/>
          <w:lang w:val="ru-RU" w:eastAsia="ru-RU"/>
        </w:rPr>
        <w:t>:</w:t>
      </w:r>
    </w:p>
    <w:p w:rsidR="00051B2D" w:rsidRPr="00407A55" w:rsidP="00051B2D" w14:paraId="70ED41E9" w14:textId="77777777">
      <w:pPr>
        <w:numPr>
          <w:ilvl w:val="0"/>
          <w:numId w:val="2"/>
        </w:numPr>
        <w:tabs>
          <w:tab w:val="left" w:pos="426"/>
        </w:tabs>
        <w:spacing w:after="0" w:line="240" w:lineRule="auto"/>
        <w:ind w:left="0"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500 осіб з інвалідністю внаслідок війни;</w:t>
      </w:r>
    </w:p>
    <w:p w:rsidR="00051B2D" w:rsidRPr="00407A55" w:rsidP="00051B2D" w14:paraId="59067736" w14:textId="77777777">
      <w:pPr>
        <w:numPr>
          <w:ilvl w:val="0"/>
          <w:numId w:val="2"/>
        </w:numPr>
        <w:tabs>
          <w:tab w:val="left" w:pos="426"/>
        </w:tabs>
        <w:spacing w:after="0" w:line="240" w:lineRule="auto"/>
        <w:ind w:left="0"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643 члени сімей загиблих Захисників та Захисниць України;</w:t>
      </w:r>
    </w:p>
    <w:p w:rsidR="00051B2D" w:rsidRPr="00407A55" w:rsidP="00051B2D" w14:paraId="68183E49" w14:textId="77777777">
      <w:pPr>
        <w:numPr>
          <w:ilvl w:val="0"/>
          <w:numId w:val="2"/>
        </w:numPr>
        <w:tabs>
          <w:tab w:val="left" w:pos="426"/>
        </w:tabs>
        <w:spacing w:after="0" w:line="240" w:lineRule="auto"/>
        <w:ind w:left="0"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348 загиблих Захисників та Захисниць України;</w:t>
      </w:r>
    </w:p>
    <w:p w:rsidR="00051B2D" w:rsidRPr="00407A55" w:rsidP="00051B2D" w14:paraId="051A7766" w14:textId="77777777">
      <w:pPr>
        <w:numPr>
          <w:ilvl w:val="0"/>
          <w:numId w:val="2"/>
        </w:numPr>
        <w:tabs>
          <w:tab w:val="left" w:pos="426"/>
        </w:tabs>
        <w:spacing w:after="0" w:line="240" w:lineRule="auto"/>
        <w:ind w:left="0"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28 осіб звільнених з полону.</w:t>
      </w:r>
    </w:p>
    <w:p w:rsidR="00051B2D" w:rsidRPr="00407A55" w:rsidP="00051B2D" w14:paraId="636347B7"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Протягом звітного періоду 110 осіб отримали посвідчення особи з інвалідністю внаслідок війни та 110 осіб отримали посвідчення члена сім’ї загиблого Захисника і Захисниці України. </w:t>
      </w:r>
    </w:p>
    <w:p w:rsidR="00051B2D" w:rsidRPr="00407A55" w:rsidP="00051B2D" w14:paraId="72C31224"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Посвідчення для безкоштовного реабілітаційного відвідування плавального басейну «Купава» та КП «Оздоровчо-реабілітаційний центр» отримали 326 Захисників і Захисниць України та членів сімей загиблих Захисників і Захисниць України. </w:t>
      </w:r>
    </w:p>
    <w:p w:rsidR="00051B2D" w:rsidRPr="00407A55" w:rsidP="00051B2D" w14:paraId="409BE70A"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Для безкоштовного проїзду в автобусах міського та міжміського сполучення (Бровари – Київ) членам сімей загиблого (померлого) Захисника і Захисниці України видано 14 посвідчень.</w:t>
      </w:r>
    </w:p>
    <w:p w:rsidR="00051B2D" w:rsidRPr="00407A55" w:rsidP="00051B2D" w14:paraId="37FB3D21"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У рамках Програми підтримки Захисників і Захисниць України, членів сімей загиблих на 2024-2026 роки за рахунок коштів місцевого бюджету у звітному періоді профінансовано заходів на суму 11846,7 тис. грн.:</w:t>
      </w:r>
    </w:p>
    <w:p w:rsidR="00051B2D" w:rsidRPr="00407A55" w:rsidP="00051B2D" w14:paraId="3C64F44E"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noProof/>
          <w:sz w:val="27"/>
          <w:szCs w:val="27"/>
          <w:lang w:val="ru-RU" w:eastAsia="ru-RU"/>
        </w:rPr>
        <w:drawing>
          <wp:inline distT="0" distB="0" distL="0" distR="0">
            <wp:extent cx="5657850" cy="2997835"/>
            <wp:effectExtent l="0" t="0" r="0" b="1206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51B2D" w:rsidRPr="00407A55" w:rsidP="00051B2D" w14:paraId="07FD1B99" w14:textId="77777777">
      <w:pPr>
        <w:tabs>
          <w:tab w:val="left" w:pos="426"/>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eastAsia="ru-RU"/>
        </w:rPr>
        <w:t>У</w:t>
      </w:r>
      <w:r w:rsidRPr="00407A55">
        <w:rPr>
          <w:rFonts w:ascii="Times New Roman" w:eastAsia="Times New Roman" w:hAnsi="Times New Roman" w:cs="Times New Roman"/>
          <w:sz w:val="27"/>
          <w:szCs w:val="27"/>
          <w:lang w:val="ru-RU" w:eastAsia="ru-RU"/>
        </w:rPr>
        <w:t xml:space="preserve"> Броварській міській територіальній громаді функціонує Ветеранський центр «ВЕТЕРАН ПРО» (далі – Ветеранський центр), який є координаційним центром для ветеранів та членів їх сімей, членів родин загиблих (померлих) Захисників чи Захисниць України, членів родин зниклих безвісти військовослужбовців та тих, що перебувають у полоні та органом управління якого є Управління з питань ветеранської політики Броварської міської ради Броварського району Київської області. </w:t>
      </w:r>
    </w:p>
    <w:p w:rsidR="00051B2D" w:rsidRPr="00407A55" w:rsidP="00051B2D" w14:paraId="14186618" w14:textId="77777777">
      <w:pPr>
        <w:tabs>
          <w:tab w:val="left" w:pos="426"/>
          <w:tab w:val="left" w:pos="2410"/>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Фахівцями із супроводу ветеранів війни та демобілізованих осіб, постійно надається необхідна підтримка та супровід щодо отримання статусів, соціальних, освітніх, психологічних, медичних та інших послуг, можливості працевлаштування, супровід в установи/організації. Всього на супроводі у фахівців перебуває 1290 ветеранів та членів їх сімей, членів родин загиблих (померлих) Захисників чи Захисниць України, членів родин зниклих безвісти військовослужбовців та тих, що перебувають у полоні.</w:t>
      </w:r>
    </w:p>
    <w:p w:rsidR="00051B2D" w:rsidRPr="00407A55" w:rsidP="00051B2D" w14:paraId="07117253" w14:textId="77777777">
      <w:pPr>
        <w:tabs>
          <w:tab w:val="left" w:pos="426"/>
          <w:tab w:val="left" w:pos="2410"/>
        </w:tabs>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shd w:val="clear" w:color="auto" w:fill="FFFFFF"/>
          <w:lang w:val="ru-RU" w:eastAsia="ru-RU"/>
        </w:rPr>
        <w:t xml:space="preserve">У </w:t>
      </w:r>
      <w:r w:rsidRPr="00407A55">
        <w:rPr>
          <w:rFonts w:ascii="Times New Roman" w:eastAsia="Times New Roman" w:hAnsi="Times New Roman" w:cs="Times New Roman"/>
          <w:sz w:val="27"/>
          <w:szCs w:val="27"/>
          <w:shd w:val="clear" w:color="auto" w:fill="FFFFFF"/>
          <w:lang w:eastAsia="ru-RU"/>
        </w:rPr>
        <w:t>Ветеранському центрі</w:t>
      </w:r>
      <w:r w:rsidRPr="00407A55">
        <w:rPr>
          <w:rFonts w:ascii="Times New Roman" w:eastAsia="Times New Roman" w:hAnsi="Times New Roman" w:cs="Times New Roman"/>
          <w:sz w:val="27"/>
          <w:szCs w:val="27"/>
          <w:shd w:val="clear" w:color="auto" w:fill="FFFFFF"/>
          <w:lang w:val="ru-RU" w:eastAsia="ru-RU"/>
        </w:rPr>
        <w:t xml:space="preserve"> діє послуга соціального таксі для ветеранів</w:t>
      </w:r>
      <w:r w:rsidRPr="00407A55">
        <w:rPr>
          <w:rFonts w:ascii="Times New Roman" w:eastAsia="Times New Roman" w:hAnsi="Times New Roman" w:cs="Times New Roman"/>
          <w:sz w:val="27"/>
          <w:szCs w:val="27"/>
          <w:shd w:val="clear" w:color="auto" w:fill="FFFFFF"/>
          <w:lang w:eastAsia="ru-RU"/>
        </w:rPr>
        <w:t xml:space="preserve">, яка  </w:t>
      </w:r>
      <w:r w:rsidRPr="00407A55">
        <w:rPr>
          <w:rFonts w:ascii="Times New Roman" w:eastAsia="Times New Roman" w:hAnsi="Times New Roman" w:cs="Times New Roman"/>
          <w:sz w:val="27"/>
          <w:szCs w:val="27"/>
          <w:shd w:val="clear" w:color="auto" w:fill="FFFFFF"/>
          <w:lang w:val="ru-RU" w:eastAsia="ru-RU"/>
        </w:rPr>
        <w:t xml:space="preserve"> забезпечує безкоштовне перевезення до соціальних, медичних та реабілітаційних закладів, ЦНАПів, вокзалів та інших важливих установ</w:t>
      </w:r>
      <w:r w:rsidRPr="00407A55">
        <w:rPr>
          <w:rFonts w:ascii="Times New Roman" w:eastAsia="Times New Roman" w:hAnsi="Times New Roman" w:cs="Times New Roman"/>
          <w:sz w:val="27"/>
          <w:szCs w:val="27"/>
          <w:shd w:val="clear" w:color="auto" w:fill="FFFFFF"/>
          <w:lang w:eastAsia="ru-RU"/>
        </w:rPr>
        <w:t xml:space="preserve">. </w:t>
      </w:r>
    </w:p>
    <w:p w:rsidR="00051B2D" w:rsidRPr="00407A55" w:rsidP="00051B2D" w14:paraId="435B9831" w14:textId="77777777">
      <w:pPr>
        <w:shd w:val="clear" w:color="auto" w:fill="FFFFFF"/>
        <w:tabs>
          <w:tab w:val="left" w:pos="6662"/>
        </w:tabs>
        <w:spacing w:after="0" w:line="240" w:lineRule="auto"/>
        <w:ind w:firstLine="567"/>
        <w:jc w:val="center"/>
        <w:rPr>
          <w:rFonts w:ascii="Times New Roman" w:eastAsia="Times New Roman" w:hAnsi="Times New Roman" w:cs="Times New Roman"/>
          <w:b/>
          <w:i/>
          <w:color w:val="000000"/>
          <w:spacing w:val="-2"/>
          <w:sz w:val="27"/>
          <w:szCs w:val="27"/>
          <w:lang w:val="ru-RU" w:eastAsia="ru-RU"/>
        </w:rPr>
      </w:pPr>
    </w:p>
    <w:p w:rsidR="00051B2D" w:rsidRPr="00407A55" w:rsidP="00051B2D" w14:paraId="2BEA78ED" w14:textId="77777777">
      <w:pPr>
        <w:shd w:val="clear" w:color="auto" w:fill="FFFFFF"/>
        <w:tabs>
          <w:tab w:val="left" w:pos="6662"/>
        </w:tabs>
        <w:spacing w:after="0" w:line="240" w:lineRule="auto"/>
        <w:ind w:firstLine="567"/>
        <w:jc w:val="center"/>
        <w:rPr>
          <w:rFonts w:ascii="Times New Roman" w:eastAsia="Times New Roman" w:hAnsi="Times New Roman" w:cs="Times New Roman"/>
          <w:b/>
          <w:i/>
          <w:color w:val="000000"/>
          <w:spacing w:val="-2"/>
          <w:sz w:val="27"/>
          <w:szCs w:val="27"/>
          <w:lang w:eastAsia="ru-RU"/>
        </w:rPr>
      </w:pPr>
      <w:r w:rsidRPr="00407A55">
        <w:rPr>
          <w:rFonts w:ascii="Times New Roman" w:eastAsia="Times New Roman" w:hAnsi="Times New Roman" w:cs="Times New Roman"/>
          <w:b/>
          <w:i/>
          <w:color w:val="000000"/>
          <w:spacing w:val="-2"/>
          <w:sz w:val="27"/>
          <w:szCs w:val="27"/>
          <w:lang w:eastAsia="ru-RU"/>
        </w:rPr>
        <w:t>Якісна освіта для всіх</w:t>
      </w:r>
    </w:p>
    <w:p w:rsidR="00051B2D" w:rsidRPr="00407A55" w:rsidP="00051B2D" w14:paraId="5D2DEFDE" w14:textId="77777777">
      <w:pPr>
        <w:spacing w:after="0" w:line="240" w:lineRule="auto"/>
        <w:ind w:firstLine="567"/>
        <w:contextualSpacing/>
        <w:jc w:val="both"/>
        <w:rPr>
          <w:rFonts w:ascii="Times New Roman" w:eastAsia="Times New Roman" w:hAnsi="Times New Roman" w:cs="Times New Roman"/>
          <w:sz w:val="27"/>
          <w:szCs w:val="27"/>
          <w:lang w:eastAsia="ru-RU"/>
        </w:rPr>
      </w:pPr>
      <w:bookmarkStart w:id="5" w:name="_Hlk219896024"/>
      <w:r w:rsidRPr="00407A55">
        <w:rPr>
          <w:rFonts w:ascii="Times New Roman" w:eastAsia="Times New Roman" w:hAnsi="Times New Roman" w:cs="Times New Roman"/>
          <w:sz w:val="27"/>
          <w:szCs w:val="27"/>
          <w:lang w:eastAsia="ru-RU"/>
        </w:rPr>
        <w:t>Управління освіти і науки Броварської міської ради Броварського району Київської області, забезпечуючи реалізацію державної політики в галузі освіти і виховання, спрямовувало свою діяльність на виконання «Програми розвитку системи освіти Броварської міської територіальної громади на 2024-2028 роки», (далі - Програма), що передбачає формування доступної та якісної освітньої системи, відповідає вимогам суспільства, запитам особистості, потребам держави і регіону.</w:t>
      </w:r>
    </w:p>
    <w:p w:rsidR="00051B2D" w:rsidRPr="00407A55" w:rsidP="00051B2D" w14:paraId="4657F456" w14:textId="77777777">
      <w:pPr>
        <w:shd w:val="clear" w:color="auto" w:fill="FFFFFF"/>
        <w:tabs>
          <w:tab w:val="left" w:pos="10489"/>
        </w:tabs>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Мережу закладів дошкільної освіти (далі - ЗДО) громади складають 23 ЗДО (у тому числі структурний підрозділ Центр розвитку дитини Броварського ліцею № 11) комунальної власності, а також 9 ЗДО інших форм власності. </w:t>
      </w:r>
    </w:p>
    <w:p w:rsidR="00051B2D" w:rsidRPr="00407A55" w:rsidP="00051B2D" w14:paraId="3745552B" w14:textId="77777777">
      <w:pPr>
        <w:shd w:val="clear" w:color="auto" w:fill="FFFFFF"/>
        <w:tabs>
          <w:tab w:val="left" w:pos="10489"/>
        </w:tabs>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В громаді мережу закладів загальної середньої освіти складають 1 початкова школа, 13 ліцеїв та 7 приватних закладів. </w:t>
      </w:r>
    </w:p>
    <w:p w:rsidR="00051B2D" w:rsidRPr="00407A55" w:rsidP="00051B2D" w14:paraId="79E128DC" w14:textId="77777777">
      <w:pPr>
        <w:shd w:val="clear" w:color="auto" w:fill="FFFFFF"/>
        <w:tabs>
          <w:tab w:val="left" w:pos="10489"/>
        </w:tabs>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noProof/>
          <w:sz w:val="27"/>
          <w:szCs w:val="27"/>
          <w:lang w:val="ru-RU" w:eastAsia="ru-RU"/>
        </w:rPr>
        <w:drawing>
          <wp:anchor distT="0" distB="0" distL="120396" distR="128270" simplePos="0" relativeHeight="251658240" behindDoc="0" locked="0" layoutInCell="1" allowOverlap="1">
            <wp:simplePos x="0" y="0"/>
            <wp:positionH relativeFrom="margin">
              <wp:posOffset>153416</wp:posOffset>
            </wp:positionH>
            <wp:positionV relativeFrom="paragraph">
              <wp:posOffset>72390</wp:posOffset>
            </wp:positionV>
            <wp:extent cx="5807710" cy="3072130"/>
            <wp:effectExtent l="0" t="0" r="40640" b="0"/>
            <wp:wrapSquare wrapText="bothSides"/>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Pr="00407A55">
        <w:rPr>
          <w:rFonts w:ascii="Times New Roman" w:eastAsia="Times New Roman" w:hAnsi="Times New Roman" w:cs="Times New Roman"/>
          <w:sz w:val="27"/>
          <w:szCs w:val="27"/>
          <w:lang w:val="ru-RU" w:eastAsia="ru-RU"/>
        </w:rPr>
        <w:t xml:space="preserve">З метою забезпечення доступності здобуття освіти в 13 комунальних закладах загальної середньої освіти організовано роботу інклюзивних класів. У 2026 році в 212 класах освіту отримує 404 учні. Відкрито 22 інклюзивні групи подовженого дня. У 19 закладах дошкільної освіти функціонує </w:t>
      </w:r>
      <w:r w:rsidRPr="00407A55">
        <w:rPr>
          <w:rFonts w:ascii="Times New Roman" w:eastAsia="Times New Roman" w:hAnsi="Times New Roman" w:cs="Times New Roman"/>
          <w:sz w:val="27"/>
          <w:szCs w:val="27"/>
          <w:lang w:val="ru-RU"/>
        </w:rPr>
        <w:t>77 інклюзивних груп, в яких перебуває 227 дітей. О</w:t>
      </w:r>
      <w:r w:rsidRPr="00407A55">
        <w:rPr>
          <w:rFonts w:ascii="Times New Roman" w:eastAsia="Times New Roman" w:hAnsi="Times New Roman" w:cs="Times New Roman"/>
          <w:sz w:val="27"/>
          <w:szCs w:val="27"/>
          <w:lang w:val="ru-RU" w:eastAsia="ru-RU"/>
        </w:rPr>
        <w:t>бладнано інклюзивно-ресурсні кімнати у ліцеях та садочках. У кожному класі (групі) введено посаду асистента учителя (вихователя). В ліцеях працюють 14, у садочка 5 асистентів дитини. Для учнів з особливими освітніми потребами, які мають проблеми опорно-рухового апарату, використовується спеціально облаштований шкільний автобус Броварського ліцею № 6, здійснюється підвезення 23 учнів до місць навчання та у зворотному напрямку, з них 13 учнів Броварського ліцею № 3 та 10 учнів Броварського ліцею № 6.</w:t>
      </w:r>
    </w:p>
    <w:p w:rsidR="00051B2D" w:rsidRPr="00407A55" w:rsidP="00051B2D" w14:paraId="4DE982BF" w14:textId="77777777">
      <w:pPr>
        <w:shd w:val="clear" w:color="auto" w:fill="FFFFFF"/>
        <w:tabs>
          <w:tab w:val="left" w:pos="10489"/>
        </w:tabs>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У місті працює 5 позашкільних закладів комунальної власності: Палац творчості дітей та юнацтва зі структурним підрозділом Міський територіальний осередок Малої академії наук Палацу творчості дітей та юнацтва, Дитячий естетико-натуралістичний центр «Камелія», Центр позашкільної освіти Броварського ліцею № 11, робота спортивних секцій організована у Дитячо-юнацькій спортивній школі. Також працює </w:t>
      </w:r>
      <w:r w:rsidRPr="00407A55">
        <w:rPr>
          <w:rFonts w:ascii="Times New Roman" w:eastAsia="Times New Roman" w:hAnsi="Times New Roman" w:cs="Times New Roman"/>
          <w:spacing w:val="-2"/>
          <w:sz w:val="27"/>
          <w:szCs w:val="27"/>
          <w:lang w:val="ru-RU" w:eastAsia="ru-RU"/>
        </w:rPr>
        <w:t xml:space="preserve">приватний позашкільний заклад </w:t>
      </w:r>
      <w:r w:rsidRPr="00407A55">
        <w:rPr>
          <w:rFonts w:ascii="Times New Roman" w:eastAsia="Times New Roman" w:hAnsi="Times New Roman" w:cs="Times New Roman"/>
          <w:sz w:val="27"/>
          <w:szCs w:val="27"/>
          <w:lang w:val="ru-RU" w:eastAsia="ru-RU"/>
        </w:rPr>
        <w:t xml:space="preserve">ТОВ «Центр іноземних мов «Спік Інглиш». </w:t>
      </w:r>
    </w:p>
    <w:p w:rsidR="00051B2D" w:rsidRPr="00407A55" w:rsidP="00051B2D" w14:paraId="1249B8EC" w14:textId="77777777">
      <w:pPr>
        <w:spacing w:after="0" w:line="240" w:lineRule="auto"/>
        <w:ind w:firstLine="567"/>
        <w:jc w:val="both"/>
        <w:rPr>
          <w:rFonts w:ascii="Times New Roman" w:eastAsia="Times New Roman" w:hAnsi="Times New Roman" w:cs="Times New Roman"/>
          <w:bCs/>
          <w:sz w:val="27"/>
          <w:szCs w:val="27"/>
          <w:lang w:val="ru-RU" w:eastAsia="ru-RU"/>
        </w:rPr>
      </w:pPr>
      <w:r w:rsidRPr="00407A55">
        <w:rPr>
          <w:rFonts w:ascii="Times New Roman" w:eastAsia="Times New Roman" w:hAnsi="Times New Roman" w:cs="Times New Roman"/>
          <w:sz w:val="27"/>
          <w:szCs w:val="27"/>
          <w:lang w:val="ru-RU" w:eastAsia="ru-RU"/>
        </w:rPr>
        <w:t xml:space="preserve">Впровадження цифрової трансформації освіти і науки є одним із пріоритетних напрямів роботи закладів освіти. Заклади освіти громади забезпечені мультимедійним та комп’ютерним обладнанням. Усі заклади освіти підключено до швидкісної мережі Інтернет (кабінети адміністрації, бібліотеки, частина навчальних класів та кабінетів). Наявна матеріально-технічна база дозволяє педагогам та учням широко використовувати різноманітні Інтернет-ресурси, надає доступ до електронних версій підручників, художньої та наукової літератури. Педагогами закладів загальної середньої освіти в умовах введення воєнного стану з метою виконання навчальних програм використовуються наступні технології дистанційного навчання: Google Workspace for Education, Google Classroom, </w:t>
      </w:r>
      <w:r w:rsidRPr="00407A55">
        <w:rPr>
          <w:rFonts w:ascii="Times New Roman" w:eastAsia="Times New Roman" w:hAnsi="Times New Roman" w:cs="Times New Roman"/>
          <w:sz w:val="27"/>
          <w:szCs w:val="27"/>
          <w:lang w:val="ru-RU" w:eastAsia="ru-RU"/>
        </w:rPr>
        <w:t>«Єдина школа» та комунікаційні онлайн сервіси, інструменти Zoom, Skype, Microsoft Team, Google Meet тощо.  Здійснюється робота в Єдиній державній електронній базі з питань освіти. Запроваджено електронні ресурси «Єдина школа», «Нові знання»</w:t>
      </w:r>
      <w:r w:rsidRPr="00407A55">
        <w:rPr>
          <w:rFonts w:ascii="Times New Roman" w:eastAsia="Times New Roman" w:hAnsi="Times New Roman" w:cs="Times New Roman"/>
          <w:sz w:val="27"/>
          <w:szCs w:val="27"/>
          <w:lang w:eastAsia="ru-RU"/>
        </w:rPr>
        <w:t xml:space="preserve"> та «Мрія»,</w:t>
      </w:r>
      <w:r w:rsidRPr="00407A55">
        <w:rPr>
          <w:rFonts w:ascii="Times New Roman" w:eastAsia="Times New Roman" w:hAnsi="Times New Roman" w:cs="Times New Roman"/>
          <w:sz w:val="27"/>
          <w:szCs w:val="27"/>
          <w:lang w:val="ru-RU" w:eastAsia="ru-RU"/>
        </w:rPr>
        <w:t xml:space="preserve"> що дозволило вести електронний розклад занять, електронні журнали та електронні щоденники учнів, надати доступ батькам до сторінок дітей з усіх предметів навчальних планів у дистанційному режимі.</w:t>
      </w:r>
    </w:p>
    <w:p w:rsidR="00051B2D" w:rsidRPr="00407A55" w:rsidP="00051B2D" w14:paraId="3147FFEA"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Впродовж І півріччя 2026 року продовжувались роботи з реконструкції дошкільного навчального закладу (ясла-садок) комбінованого типу «Зірочка» по вул. Ярослава Мудрого, 3 в м. Бровари Київської області; реконструкції (для ліквідації наслідків надзвичайної ситуації) закладу дошкільної освіти (ясла-садок) комбінованого типу "Джерельце" Броварської міської ради Броварського району Київської області за адресою: Київська область, м. Бровари,  вул. Петлюри Симона, 13-б;  будівництво захисної споруди цивільного захисту на території   дошкільного навчального закладу (ясла-садок) комбінованого типу «Зірочка». </w:t>
      </w:r>
    </w:p>
    <w:p w:rsidR="00051B2D" w:rsidRPr="00407A55" w:rsidP="00051B2D" w14:paraId="3231871B" w14:textId="77777777">
      <w:pPr>
        <w:spacing w:after="0" w:line="240" w:lineRule="auto"/>
        <w:ind w:firstLine="567"/>
        <w:contextualSpacing/>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Безпека дітей є одним з пріоритетів навчального процесу. Завдяки ремонтним  роботам розширено площі захисних споруд цивільного захисту та приведено їх у відповідність до санітарно-гігієнічних вимог, вимог пожежної та техногенної безпеки. До фонду захисних споруд цивільного захисту закладів освіти включено 4</w:t>
      </w:r>
      <w:r w:rsidRPr="00407A55">
        <w:rPr>
          <w:rFonts w:ascii="Times New Roman" w:eastAsia="Times New Roman" w:hAnsi="Times New Roman" w:cs="Times New Roman"/>
          <w:color w:val="000000"/>
          <w:sz w:val="27"/>
          <w:szCs w:val="27"/>
          <w:lang w:eastAsia="ru-RU"/>
        </w:rPr>
        <w:t>5</w:t>
      </w:r>
      <w:r w:rsidRPr="00407A55">
        <w:rPr>
          <w:rFonts w:ascii="Times New Roman" w:eastAsia="Times New Roman" w:hAnsi="Times New Roman" w:cs="Times New Roman"/>
          <w:color w:val="000000"/>
          <w:sz w:val="27"/>
          <w:szCs w:val="27"/>
          <w:lang w:val="ru-RU" w:eastAsia="ru-RU"/>
        </w:rPr>
        <w:t xml:space="preserve"> укритт</w:t>
      </w:r>
      <w:r w:rsidRPr="00407A55">
        <w:rPr>
          <w:rFonts w:ascii="Times New Roman" w:eastAsia="Times New Roman" w:hAnsi="Times New Roman" w:cs="Times New Roman"/>
          <w:color w:val="000000"/>
          <w:sz w:val="27"/>
          <w:szCs w:val="27"/>
          <w:lang w:eastAsia="ru-RU"/>
        </w:rPr>
        <w:t>ів</w:t>
      </w:r>
      <w:r w:rsidRPr="00407A55">
        <w:rPr>
          <w:rFonts w:ascii="Times New Roman" w:eastAsia="Times New Roman" w:hAnsi="Times New Roman" w:cs="Times New Roman"/>
          <w:color w:val="000000"/>
          <w:sz w:val="27"/>
          <w:szCs w:val="27"/>
          <w:lang w:val="ru-RU" w:eastAsia="ru-RU"/>
        </w:rPr>
        <w:t>: 1 сховище, 3 протирадіаційних укриттів та 4</w:t>
      </w:r>
      <w:r w:rsidRPr="00407A55">
        <w:rPr>
          <w:rFonts w:ascii="Times New Roman" w:eastAsia="Times New Roman" w:hAnsi="Times New Roman" w:cs="Times New Roman"/>
          <w:color w:val="000000"/>
          <w:sz w:val="27"/>
          <w:szCs w:val="27"/>
          <w:lang w:eastAsia="ru-RU"/>
        </w:rPr>
        <w:t>1</w:t>
      </w:r>
      <w:r w:rsidRPr="00407A55">
        <w:rPr>
          <w:rFonts w:ascii="Times New Roman" w:eastAsia="Times New Roman" w:hAnsi="Times New Roman" w:cs="Times New Roman"/>
          <w:color w:val="000000"/>
          <w:sz w:val="27"/>
          <w:szCs w:val="27"/>
          <w:lang w:val="ru-RU" w:eastAsia="ru-RU"/>
        </w:rPr>
        <w:t xml:space="preserve"> найпростіш</w:t>
      </w:r>
      <w:r w:rsidRPr="00407A55">
        <w:rPr>
          <w:rFonts w:ascii="Times New Roman" w:eastAsia="Times New Roman" w:hAnsi="Times New Roman" w:cs="Times New Roman"/>
          <w:color w:val="000000"/>
          <w:sz w:val="27"/>
          <w:szCs w:val="27"/>
          <w:lang w:eastAsia="ru-RU"/>
        </w:rPr>
        <w:t>е</w:t>
      </w:r>
      <w:r w:rsidRPr="00407A55">
        <w:rPr>
          <w:rFonts w:ascii="Times New Roman" w:eastAsia="Times New Roman" w:hAnsi="Times New Roman" w:cs="Times New Roman"/>
          <w:color w:val="000000"/>
          <w:sz w:val="27"/>
          <w:szCs w:val="27"/>
          <w:lang w:val="ru-RU" w:eastAsia="ru-RU"/>
        </w:rPr>
        <w:t xml:space="preserve"> укритт</w:t>
      </w:r>
      <w:r w:rsidRPr="00407A55">
        <w:rPr>
          <w:rFonts w:ascii="Times New Roman" w:eastAsia="Times New Roman" w:hAnsi="Times New Roman" w:cs="Times New Roman"/>
          <w:color w:val="000000"/>
          <w:sz w:val="27"/>
          <w:szCs w:val="27"/>
          <w:lang w:eastAsia="ru-RU"/>
        </w:rPr>
        <w:t>я</w:t>
      </w:r>
      <w:r w:rsidRPr="00407A55">
        <w:rPr>
          <w:rFonts w:ascii="Times New Roman" w:eastAsia="Times New Roman" w:hAnsi="Times New Roman" w:cs="Times New Roman"/>
          <w:color w:val="000000"/>
          <w:sz w:val="27"/>
          <w:szCs w:val="27"/>
          <w:lang w:val="ru-RU" w:eastAsia="ru-RU"/>
        </w:rPr>
        <w:t>. Загальна місткість укриттів системи освіти становить 1</w:t>
      </w:r>
      <w:r w:rsidRPr="00407A55">
        <w:rPr>
          <w:rFonts w:ascii="Times New Roman" w:eastAsia="Times New Roman" w:hAnsi="Times New Roman" w:cs="Times New Roman"/>
          <w:color w:val="000000"/>
          <w:sz w:val="27"/>
          <w:szCs w:val="27"/>
          <w:lang w:eastAsia="ru-RU"/>
        </w:rPr>
        <w:t>8747</w:t>
      </w:r>
      <w:r w:rsidRPr="00407A55">
        <w:rPr>
          <w:rFonts w:ascii="Times New Roman" w:eastAsia="Times New Roman" w:hAnsi="Times New Roman" w:cs="Times New Roman"/>
          <w:color w:val="000000"/>
          <w:sz w:val="27"/>
          <w:szCs w:val="27"/>
          <w:lang w:val="ru-RU" w:eastAsia="ru-RU"/>
        </w:rPr>
        <w:t xml:space="preserve"> місц</w:t>
      </w:r>
      <w:r w:rsidRPr="00407A55">
        <w:rPr>
          <w:rFonts w:ascii="Times New Roman" w:eastAsia="Times New Roman" w:hAnsi="Times New Roman" w:cs="Times New Roman"/>
          <w:color w:val="000000"/>
          <w:sz w:val="27"/>
          <w:szCs w:val="27"/>
          <w:lang w:eastAsia="ru-RU"/>
        </w:rPr>
        <w:t>я</w:t>
      </w:r>
      <w:r w:rsidRPr="00407A55">
        <w:rPr>
          <w:rFonts w:ascii="Times New Roman" w:eastAsia="Times New Roman" w:hAnsi="Times New Roman" w:cs="Times New Roman"/>
          <w:color w:val="000000"/>
          <w:sz w:val="27"/>
          <w:szCs w:val="27"/>
          <w:lang w:val="ru-RU" w:eastAsia="ru-RU"/>
        </w:rPr>
        <w:t>.</w:t>
      </w:r>
    </w:p>
    <w:p w:rsidR="00051B2D" w:rsidRPr="00407A55" w:rsidP="00051B2D" w14:paraId="3118DB25" w14:textId="77777777">
      <w:pPr>
        <w:widowControl w:val="0"/>
        <w:tabs>
          <w:tab w:val="center" w:pos="4820"/>
          <w:tab w:val="right" w:pos="9641"/>
        </w:tabs>
        <w:snapToGrid w:val="0"/>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В одинадцяти ліцеях громади організовано  роботу «класів безпеки» (№ 2, № 3, № 4 ім. С.І. Олійника, № 5 ім. Василя Стуса, № 7, № 9, № 10, № 11, Княжицькому, Требухівському та початковій школі № 12). У цих класах проводяться заняття з правил пожежної та мінної безпеки, вивчаються алгоритми дій під час сигналу «Повітряна тривога», інших надзвичайних ситуацій із залученням фахівців.</w:t>
      </w:r>
    </w:p>
    <w:p w:rsidR="00051B2D" w:rsidRPr="00407A55" w:rsidP="00051B2D" w14:paraId="219BE718" w14:textId="77777777">
      <w:pPr>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У громаді реалізується проєкт «Офіцери Служби освітньої безпеки (СОБ)», який спрямований на захист дітей в умовах повномасштабної війни та формування надійного безпекового середовища після її завершення. У рамках проєкту офіцери СОБ проводять навчання, тренування та консультації з питань безпеки в умовах надзвичайних ситуацій, організовують інформаційно-роз’яснювальну роботу з учнями та їх батьками, спрямовану на запобігання втягуванню підлітків у протиправну діяльність під час воєнного стану. Також здійснюється профілактика правопорушень серед дітей та надаються роз</w:t>
      </w:r>
      <w:r w:rsidRPr="00407A55">
        <w:rPr>
          <w:rFonts w:ascii="Times New Roman" w:eastAsia="Calibri" w:hAnsi="Times New Roman" w:cs="Times New Roman"/>
          <w:sz w:val="27"/>
          <w:szCs w:val="27"/>
          <w:lang w:val="ru-RU" w:eastAsia="en-US"/>
        </w:rPr>
        <w:t>’</w:t>
      </w:r>
      <w:r w:rsidRPr="00407A55">
        <w:rPr>
          <w:rFonts w:ascii="Times New Roman" w:eastAsia="Calibri" w:hAnsi="Times New Roman" w:cs="Times New Roman"/>
          <w:sz w:val="27"/>
          <w:szCs w:val="27"/>
          <w:lang w:eastAsia="en-US"/>
        </w:rPr>
        <w:t>яснення щодо відповідальності за протиправні дії в умовах війни. Загалом у закладах загальної середньої освіти працюють 10 офіцерів (у ліцеях № 1, № 4 ім. С.І. Олійника, № 5 ім. Василя Стуса,  № 6, № 7, № 10, № 11, початкова школа № 12, Княжицький та Требухівський). Планується забезпечити всі заклади офіцерами, у зв’язку з чим наразі проводяться конкурсні відбори та відповідне навчання.</w:t>
      </w:r>
    </w:p>
    <w:p w:rsidR="00051B2D" w:rsidRPr="00407A55" w:rsidP="00051B2D" w14:paraId="74FD5696" w14:textId="77777777">
      <w:pPr>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Всі комунальні заклади загальної середньої освіти забезпечують безкоштовне харчування для дітей пільгової категорії та учнів 1-4 класів.  В 2025/2026 навчальному році харчувалося 8600 учнів (53%), з них 468 учнів (5,4%) ліцеїв харчувались за батьківські кошти. </w:t>
      </w:r>
    </w:p>
    <w:p w:rsidR="00051B2D" w:rsidRPr="00407A55" w:rsidP="00051B2D" w14:paraId="35EFB4A6"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sz w:val="27"/>
          <w:szCs w:val="27"/>
          <w:lang w:eastAsia="ru-RU"/>
        </w:rPr>
        <w:t xml:space="preserve">На організацію харчування у закладах дошкільної освіти протягом звітного періоду профінансовано 10789,98 тис. грн., у закладах загальної середньої освіти </w:t>
      </w:r>
      <w:r w:rsidRPr="00407A55">
        <w:rPr>
          <w:rFonts w:ascii="Times New Roman" w:eastAsia="Times New Roman" w:hAnsi="Times New Roman" w:cs="Times New Roman"/>
          <w:sz w:val="27"/>
          <w:szCs w:val="27"/>
          <w:lang w:eastAsia="ru-RU"/>
        </w:rPr>
        <w:t>– 10186,43 тис. грн. коштів місцевого бюджету та 17722,73 тис. грн. коштів державної субвенції.</w:t>
      </w:r>
    </w:p>
    <w:p w:rsidR="00051B2D" w:rsidRPr="00407A55" w:rsidP="00051B2D" w14:paraId="47F21D65" w14:textId="77777777">
      <w:pPr>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Відповідно </w:t>
      </w:r>
      <w:r w:rsidRPr="00407A55">
        <w:rPr>
          <w:rFonts w:ascii="Times New Roman" w:eastAsia="Times New Roman" w:hAnsi="Times New Roman" w:cs="Times New Roman"/>
          <w:sz w:val="27"/>
          <w:szCs w:val="27"/>
          <w:lang w:eastAsia="ru-RU"/>
        </w:rPr>
        <w:t xml:space="preserve">до </w:t>
      </w:r>
      <w:r w:rsidRPr="00407A55">
        <w:rPr>
          <w:rFonts w:ascii="Times New Roman" w:eastAsia="Times New Roman" w:hAnsi="Times New Roman" w:cs="Times New Roman"/>
          <w:sz w:val="27"/>
          <w:szCs w:val="27"/>
          <w:lang w:val="ru-RU" w:eastAsia="ru-RU"/>
        </w:rPr>
        <w:t>Програми на фінансування освітніх закладів у</w:t>
      </w:r>
      <w:r w:rsidRPr="00407A55">
        <w:rPr>
          <w:rFonts w:ascii="Times New Roman" w:eastAsia="Times New Roman" w:hAnsi="Times New Roman" w:cs="Times New Roman"/>
          <w:sz w:val="27"/>
          <w:szCs w:val="27"/>
          <w:lang w:eastAsia="ru-RU"/>
        </w:rPr>
        <w:t xml:space="preserve"> І півріччі</w:t>
      </w:r>
      <w:r w:rsidRPr="00407A55">
        <w:rPr>
          <w:rFonts w:ascii="Times New Roman" w:eastAsia="Times New Roman" w:hAnsi="Times New Roman" w:cs="Times New Roman"/>
          <w:sz w:val="27"/>
          <w:szCs w:val="27"/>
          <w:lang w:val="ru-RU" w:eastAsia="ru-RU"/>
        </w:rPr>
        <w:t xml:space="preserve"> 202</w:t>
      </w:r>
      <w:r w:rsidRPr="00407A55">
        <w:rPr>
          <w:rFonts w:ascii="Times New Roman" w:eastAsia="Times New Roman" w:hAnsi="Times New Roman" w:cs="Times New Roman"/>
          <w:sz w:val="27"/>
          <w:szCs w:val="27"/>
          <w:lang w:eastAsia="ru-RU"/>
        </w:rPr>
        <w:t>6</w:t>
      </w:r>
      <w:r w:rsidRPr="00407A55">
        <w:rPr>
          <w:rFonts w:ascii="Times New Roman" w:eastAsia="Times New Roman" w:hAnsi="Times New Roman" w:cs="Times New Roman"/>
          <w:sz w:val="27"/>
          <w:szCs w:val="27"/>
          <w:lang w:val="ru-RU" w:eastAsia="ru-RU"/>
        </w:rPr>
        <w:t xml:space="preserve"> році передбачено </w:t>
      </w:r>
      <w:r w:rsidRPr="00407A55">
        <w:rPr>
          <w:rFonts w:ascii="Times New Roman" w:eastAsia="Times New Roman" w:hAnsi="Times New Roman" w:cs="Times New Roman"/>
          <w:sz w:val="27"/>
          <w:szCs w:val="27"/>
          <w:lang w:eastAsia="ru-RU"/>
        </w:rPr>
        <w:t>35471,34</w:t>
      </w:r>
      <w:r w:rsidRPr="00407A55">
        <w:rPr>
          <w:rFonts w:ascii="Times New Roman" w:eastAsia="Times New Roman" w:hAnsi="Times New Roman" w:cs="Times New Roman"/>
          <w:sz w:val="27"/>
          <w:szCs w:val="27"/>
          <w:lang w:val="ru-RU" w:eastAsia="ru-RU"/>
        </w:rPr>
        <w:t xml:space="preserve"> тис. грн.</w:t>
      </w:r>
      <w:r w:rsidRPr="00407A55">
        <w:rPr>
          <w:rFonts w:ascii="Times New Roman" w:eastAsia="Times New Roman" w:hAnsi="Times New Roman" w:cs="Times New Roman"/>
          <w:sz w:val="27"/>
          <w:szCs w:val="27"/>
          <w:lang w:eastAsia="ru-RU"/>
        </w:rPr>
        <w:t xml:space="preserve">, профінансовано – 5554,4 тис. грн. </w:t>
      </w:r>
      <w:r w:rsidRPr="00407A55">
        <w:rPr>
          <w:rFonts w:ascii="Times New Roman" w:eastAsia="Times New Roman" w:hAnsi="Times New Roman" w:cs="Times New Roman"/>
          <w:sz w:val="27"/>
          <w:szCs w:val="27"/>
          <w:lang w:val="ru-RU" w:eastAsia="ru-RU"/>
        </w:rPr>
        <w:t xml:space="preserve"> </w:t>
      </w:r>
    </w:p>
    <w:bookmarkEnd w:id="5"/>
    <w:p w:rsidR="00051B2D" w:rsidRPr="00407A55" w:rsidP="00051B2D" w14:paraId="2E5E8468" w14:textId="77777777">
      <w:pPr>
        <w:spacing w:after="0" w:line="240" w:lineRule="auto"/>
        <w:ind w:firstLine="567"/>
        <w:contextualSpacing/>
        <w:jc w:val="both"/>
        <w:rPr>
          <w:rFonts w:ascii="Times New Roman" w:eastAsia="Times New Roman" w:hAnsi="Times New Roman" w:cs="Times New Roman"/>
          <w:sz w:val="27"/>
          <w:szCs w:val="27"/>
          <w:lang w:val="ru-RU" w:eastAsia="ru-RU"/>
        </w:rPr>
      </w:pPr>
    </w:p>
    <w:p w:rsidR="00051B2D" w:rsidRPr="00407A55" w:rsidP="00051B2D" w14:paraId="7B0A6604" w14:textId="77777777">
      <w:pPr>
        <w:shd w:val="clear" w:color="auto" w:fill="FFFFFF"/>
        <w:tabs>
          <w:tab w:val="left" w:pos="6662"/>
        </w:tabs>
        <w:spacing w:after="0" w:line="240" w:lineRule="auto"/>
        <w:ind w:firstLine="567"/>
        <w:jc w:val="center"/>
        <w:rPr>
          <w:rFonts w:ascii="Times New Roman" w:eastAsia="Times New Roman" w:hAnsi="Times New Roman" w:cs="Times New Roman"/>
          <w:b/>
          <w:i/>
          <w:color w:val="000000"/>
          <w:spacing w:val="-2"/>
          <w:sz w:val="27"/>
          <w:szCs w:val="27"/>
          <w:lang w:eastAsia="ru-RU"/>
        </w:rPr>
      </w:pPr>
      <w:r w:rsidRPr="00407A55">
        <w:rPr>
          <w:rFonts w:ascii="Times New Roman" w:eastAsia="Times New Roman" w:hAnsi="Times New Roman" w:cs="Times New Roman"/>
          <w:b/>
          <w:i/>
          <w:color w:val="000000"/>
          <w:spacing w:val="-2"/>
          <w:sz w:val="27"/>
          <w:szCs w:val="27"/>
          <w:lang w:eastAsia="ru-RU"/>
        </w:rPr>
        <w:t>Розвиток медичної галузі</w:t>
      </w:r>
    </w:p>
    <w:p w:rsidR="00051B2D" w:rsidRPr="00407A55" w:rsidP="00051B2D" w14:paraId="58F8984B"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bookmarkStart w:id="6" w:name="_Hlk219896117"/>
      <w:r w:rsidRPr="00407A55">
        <w:rPr>
          <w:rFonts w:ascii="Times New Roman" w:eastAsia="Times New Roman" w:hAnsi="Times New Roman" w:cs="Times New Roman"/>
          <w:sz w:val="27"/>
          <w:szCs w:val="27"/>
          <w:lang w:eastAsia="ru-RU"/>
        </w:rPr>
        <w:t xml:space="preserve">На території громади функціонує Комунальне некомерційне товариство «Броварська багатопрофільна клінічна лікарня» територіальних громад Броварського району Київської області (далі - КНТ «Броварська багатопрофільна клінічна лікарня»), станція екстреної медичної допомоги, Комунальне некомерційне товариство </w:t>
      </w:r>
      <w:r w:rsidRPr="00407A55">
        <w:rPr>
          <w:rFonts w:ascii="Times New Roman" w:eastAsia="Times New Roman" w:hAnsi="Times New Roman" w:cs="Times New Roman"/>
          <w:sz w:val="27"/>
          <w:szCs w:val="27"/>
          <w:shd w:val="clear" w:color="auto" w:fill="FFFFFF"/>
          <w:lang w:eastAsia="ru-RU"/>
        </w:rPr>
        <w:t>Броварської міської ради Броварського району Київської області </w:t>
      </w:r>
      <w:r w:rsidRPr="00407A55">
        <w:rPr>
          <w:rFonts w:ascii="Times New Roman" w:eastAsia="Times New Roman" w:hAnsi="Times New Roman" w:cs="Times New Roman"/>
          <w:sz w:val="27"/>
          <w:szCs w:val="27"/>
          <w:lang w:eastAsia="ru-RU"/>
        </w:rPr>
        <w:t xml:space="preserve">«Броварський міський центр первинної медико-санітарної допомоги» (далі -  КНТ БМР БР КО «БМЦПМСД») та Комунальне некомерційне товариство Броварської міської ради Броварського району Київської області «Броварська стоматологічна поліклініка» (далі – КНТ БМР«БСП»). </w:t>
      </w:r>
    </w:p>
    <w:p w:rsidR="00051B2D" w:rsidRPr="00407A55" w:rsidP="00051B2D" w14:paraId="53F7645D" w14:textId="77777777">
      <w:pPr>
        <w:shd w:val="clear" w:color="auto" w:fill="FFFFFF"/>
        <w:tabs>
          <w:tab w:val="left" w:pos="9214"/>
        </w:tabs>
        <w:spacing w:after="0" w:line="240" w:lineRule="auto"/>
        <w:ind w:firstLine="567"/>
        <w:contextualSpacing/>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 xml:space="preserve">Кількість медичного персоналу в лікувальних закладах, </w:t>
      </w:r>
      <w:r w:rsidRPr="00407A55">
        <w:rPr>
          <w:rFonts w:ascii="Times New Roman" w:eastAsia="Times New Roman" w:hAnsi="Times New Roman" w:cs="Times New Roman"/>
          <w:b/>
          <w:bCs/>
          <w:color w:val="000000"/>
          <w:sz w:val="27"/>
          <w:szCs w:val="27"/>
          <w:lang w:eastAsia="ru-RU"/>
        </w:rPr>
        <w:t>(осіб)</w:t>
      </w:r>
    </w:p>
    <w:p w:rsidR="00051B2D" w:rsidRPr="00407A55" w:rsidP="00051B2D" w14:paraId="54D22BEF" w14:textId="77777777">
      <w:pPr>
        <w:shd w:val="clear" w:color="auto" w:fill="FFFFFF"/>
        <w:tabs>
          <w:tab w:val="left" w:pos="9214"/>
        </w:tabs>
        <w:spacing w:after="0" w:line="240" w:lineRule="auto"/>
        <w:ind w:firstLine="567"/>
        <w:contextualSpacing/>
        <w:jc w:val="center"/>
        <w:rPr>
          <w:rFonts w:ascii="Times New Roman" w:eastAsia="Times New Roman" w:hAnsi="Times New Roman" w:cs="Times New Roman"/>
          <w:noProof/>
          <w:sz w:val="27"/>
          <w:szCs w:val="27"/>
          <w:lang w:eastAsia="ru-RU"/>
        </w:rPr>
      </w:pPr>
      <w:r w:rsidRPr="00407A55">
        <w:rPr>
          <w:rFonts w:ascii="Times New Roman" w:eastAsia="Times New Roman" w:hAnsi="Times New Roman" w:cs="Times New Roman"/>
          <w:noProof/>
          <w:sz w:val="27"/>
          <w:szCs w:val="27"/>
          <w:lang w:eastAsia="ru-RU"/>
        </w:rPr>
        <w:drawing>
          <wp:inline distT="0" distB="0" distL="0" distR="0">
            <wp:extent cx="5395595" cy="2740025"/>
            <wp:effectExtent l="0" t="0" r="14605" b="317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bookmarkEnd w:id="6"/>
    <w:p w:rsidR="00051B2D" w:rsidRPr="00407A55" w:rsidP="00051B2D" w14:paraId="1DEC5C19" w14:textId="77777777">
      <w:pPr>
        <w:shd w:val="clear" w:color="auto" w:fill="FFFFFF"/>
        <w:tabs>
          <w:tab w:val="left" w:pos="9214"/>
        </w:tabs>
        <w:spacing w:after="0" w:line="240" w:lineRule="auto"/>
        <w:ind w:firstLine="567"/>
        <w:contextualSpacing/>
        <w:jc w:val="both"/>
        <w:rPr>
          <w:rFonts w:ascii="Times New Roman" w:eastAsia="Calibri" w:hAnsi="Times New Roman" w:cs="Times New Roman"/>
          <w:sz w:val="27"/>
          <w:szCs w:val="27"/>
          <w:lang w:eastAsia="ru-RU"/>
        </w:rPr>
      </w:pPr>
      <w:r w:rsidRPr="00407A55">
        <w:rPr>
          <w:rFonts w:ascii="Times New Roman" w:eastAsia="Calibri" w:hAnsi="Times New Roman" w:cs="Times New Roman"/>
          <w:sz w:val="27"/>
          <w:szCs w:val="27"/>
          <w:lang w:eastAsia="ru-RU"/>
        </w:rPr>
        <w:t xml:space="preserve">В структурі </w:t>
      </w:r>
      <w:r w:rsidRPr="00407A55">
        <w:rPr>
          <w:rFonts w:ascii="Times New Roman" w:eastAsia="Times New Roman" w:hAnsi="Times New Roman" w:cs="Times New Roman"/>
          <w:sz w:val="27"/>
          <w:szCs w:val="27"/>
          <w:lang w:eastAsia="ru-RU"/>
        </w:rPr>
        <w:t>КНТ БМР БР КО «БМЦПМСД» функціонує</w:t>
      </w:r>
      <w:r w:rsidRPr="00407A55">
        <w:rPr>
          <w:rFonts w:ascii="Times New Roman" w:eastAsia="Calibri" w:hAnsi="Times New Roman" w:cs="Times New Roman"/>
          <w:sz w:val="27"/>
          <w:szCs w:val="27"/>
          <w:lang w:eastAsia="ru-RU"/>
        </w:rPr>
        <w:t xml:space="preserve"> 9 амбулаторій та одне відділення невідкладної допомоги: в місті Бровари функціонує 7 амбулаторій,  в</w:t>
      </w:r>
      <w:r w:rsidRPr="00407A55">
        <w:rPr>
          <w:rFonts w:ascii="Times New Roman" w:eastAsia="Times New Roman" w:hAnsi="Times New Roman" w:cs="Times New Roman"/>
          <w:sz w:val="27"/>
          <w:szCs w:val="27"/>
          <w:lang w:eastAsia="ru-RU"/>
        </w:rPr>
        <w:t xml:space="preserve"> селі Княжичі - 1, в селі Требухів -  1. </w:t>
      </w:r>
      <w:r w:rsidRPr="00407A55">
        <w:rPr>
          <w:rFonts w:ascii="Times New Roman" w:eastAsia="Calibri" w:hAnsi="Times New Roman" w:cs="Times New Roman"/>
          <w:sz w:val="27"/>
          <w:szCs w:val="27"/>
          <w:lang w:eastAsia="ru-RU"/>
        </w:rPr>
        <w:t xml:space="preserve">Забезпеченість лікарями на 10 тис. населення складала </w:t>
      </w:r>
      <w:r w:rsidRPr="00407A55">
        <w:rPr>
          <w:rFonts w:ascii="Times New Roman" w:eastAsia="Calibri" w:hAnsi="Times New Roman" w:cs="Times New Roman"/>
          <w:sz w:val="27"/>
          <w:szCs w:val="27"/>
          <w:lang w:val="ru-RU" w:eastAsia="ru-RU"/>
        </w:rPr>
        <w:t>8</w:t>
      </w:r>
      <w:r w:rsidRPr="00407A55">
        <w:rPr>
          <w:rFonts w:ascii="Times New Roman" w:eastAsia="Calibri" w:hAnsi="Times New Roman" w:cs="Times New Roman"/>
          <w:sz w:val="27"/>
          <w:szCs w:val="27"/>
          <w:lang w:eastAsia="ru-RU"/>
        </w:rPr>
        <w:t>,6.</w:t>
      </w:r>
    </w:p>
    <w:p w:rsidR="00051B2D" w:rsidRPr="00407A55" w:rsidP="00051B2D" w14:paraId="0F95F09E" w14:textId="77777777">
      <w:pPr>
        <w:shd w:val="clear" w:color="auto" w:fill="FFFFFF"/>
        <w:tabs>
          <w:tab w:val="left" w:pos="9214"/>
        </w:tabs>
        <w:spacing w:after="0" w:line="240" w:lineRule="auto"/>
        <w:ind w:firstLine="567"/>
        <w:contextualSpacing/>
        <w:jc w:val="both"/>
        <w:rPr>
          <w:rFonts w:ascii="Times New Roman" w:eastAsia="Calibri" w:hAnsi="Times New Roman" w:cs="Times New Roman"/>
          <w:sz w:val="27"/>
          <w:szCs w:val="27"/>
          <w:lang w:eastAsia="ru-RU"/>
        </w:rPr>
      </w:pPr>
      <w:r w:rsidRPr="00407A55">
        <w:rPr>
          <w:rFonts w:ascii="Times New Roman" w:eastAsia="Calibri" w:hAnsi="Times New Roman" w:cs="Times New Roman"/>
          <w:sz w:val="27"/>
          <w:szCs w:val="27"/>
          <w:lang w:eastAsia="ru-RU"/>
        </w:rPr>
        <w:t>Амбулаторії закладу забезпечені 31 ліжком денного стаціонару, що складає 2,6 на 10 тис. населення.</w:t>
      </w:r>
    </w:p>
    <w:p w:rsidR="00051B2D" w:rsidRPr="00407A55" w:rsidP="00051B2D" w14:paraId="063CA675" w14:textId="77777777">
      <w:pPr>
        <w:spacing w:after="0" w:line="240" w:lineRule="auto"/>
        <w:ind w:firstLine="567"/>
        <w:jc w:val="both"/>
        <w:rPr>
          <w:rFonts w:ascii="Times New Roman" w:eastAsia="Calibri" w:hAnsi="Times New Roman" w:cs="Times New Roman"/>
          <w:sz w:val="27"/>
          <w:szCs w:val="27"/>
        </w:rPr>
      </w:pPr>
      <w:r w:rsidRPr="00407A55">
        <w:rPr>
          <w:rFonts w:ascii="Times New Roman" w:eastAsia="Calibri" w:hAnsi="Times New Roman" w:cs="Times New Roman"/>
          <w:sz w:val="27"/>
          <w:szCs w:val="27"/>
          <w:lang w:eastAsia="en-US"/>
        </w:rPr>
        <w:t xml:space="preserve">З метою наближення медичної допомоги лікарями вузькопрофільних спеціальностей  до населення сільських населених пунктів Требухова та Княжич були облаштовані кабінети, де проводиться прийом пацієнтів лікарями виїзних бригад, у складі яких є лікар акушер-гінеколог, ендокринолог, гастроентеролог, кардіолог. </w:t>
      </w:r>
    </w:p>
    <w:p w:rsidR="00051B2D" w:rsidRPr="00407A55" w:rsidP="00051B2D" w14:paraId="5FCA8DCD"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Станом на 01.07.2026 згідно приписної кампанії «Лікар для кожної сім’ї» укладено 100905 декларацій з лікарями закладу, що складало 86,5 % від загальної чисельності зареєстрованого населення.</w:t>
      </w:r>
    </w:p>
    <w:p w:rsidR="00051B2D" w:rsidRPr="00407A55" w:rsidP="00051B2D" w14:paraId="78AECD42"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Кількість відвідувань до лікарів в звітному періоді склала 131076.  Кількість відвідувань лікарями хворих вдома склала 856. Проліковано в денному стаціонарі 288 осіб. </w:t>
      </w:r>
    </w:p>
    <w:p w:rsidR="00051B2D" w:rsidRPr="00407A55" w:rsidP="00051B2D" w14:paraId="65054A5F"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У І півріччі 2026 року відшкодовано кошти за виписані лікарями рецепти пільговим категоріям населення на суму 7660,4 тис. грн.</w:t>
      </w:r>
      <w:r w:rsidRPr="00407A55">
        <w:rPr>
          <w:rFonts w:ascii="Times New Roman" w:eastAsia="Times New Roman" w:hAnsi="Times New Roman" w:cs="Times New Roman"/>
          <w:color w:val="FF0000"/>
          <w:sz w:val="27"/>
          <w:szCs w:val="27"/>
          <w:lang w:eastAsia="ru-RU"/>
        </w:rPr>
        <w:t xml:space="preserve"> </w:t>
      </w:r>
    </w:p>
    <w:p w:rsidR="00051B2D" w:rsidRPr="00407A55" w:rsidP="00051B2D" w14:paraId="1702FFD9" w14:textId="77777777">
      <w:pPr>
        <w:autoSpaceDE w:val="0"/>
        <w:autoSpaceDN w:val="0"/>
        <w:adjustRightInd w:val="0"/>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Згідно «Комплексної Програми розвитку охорони здоров’я в                                                                                                                                                                                                                                                                                                                       Броварській міській територіальній громаді на 2022 - 2026 роки» КНТ БМР БР КО «БМЦПМСД»  протягом звітного періоду профінансовано заходи на суму 28720,1 тис. грн.</w:t>
      </w:r>
    </w:p>
    <w:p w:rsidR="00051B2D" w:rsidRPr="00407A55" w:rsidP="00051B2D" w14:paraId="691DD96F"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КНТ «Броварська багатопрофільна клінічна лікарня» надає медичну допомогу жителям Броварської міської територіальної громади та Броварського району. </w:t>
      </w:r>
    </w:p>
    <w:p w:rsidR="00051B2D" w:rsidRPr="00407A55" w:rsidP="00051B2D" w14:paraId="392B5A9B"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 стаціонарних відділеннях «дорослої» лікарні - 682 ліжка та в центрі «Дитяча лікарня» - 80 ліжок.  </w:t>
      </w:r>
    </w:p>
    <w:p w:rsidR="00051B2D" w:rsidRPr="00407A55" w:rsidP="00051B2D" w14:paraId="4F3FB9A2"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В стаціонарах лікарні  проліковано – 9822 хворих, з них планово – 955 хворих, ургентно - 8867 хворих. У відділенні екстренної невідкладної спеціалізованої допомоги амбулаторний прийом наданий 4388 хворим та стаціонарний - 9822.</w:t>
      </w:r>
    </w:p>
    <w:p w:rsidR="00051B2D" w:rsidRPr="00407A55" w:rsidP="00051B2D" w14:paraId="5AC16713"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Продовжує роботу новий сучасний центр нейросудинної ендоваркулярної хірургії, який</w:t>
      </w:r>
      <w:r w:rsidRPr="00407A55">
        <w:rPr>
          <w:rFonts w:ascii="Times New Roman" w:eastAsia="Times New Roman" w:hAnsi="Times New Roman" w:cs="Times New Roman"/>
          <w:i/>
          <w:iCs/>
          <w:sz w:val="27"/>
          <w:szCs w:val="27"/>
          <w:lang w:eastAsia="ru-RU"/>
        </w:rPr>
        <w:t xml:space="preserve"> </w:t>
      </w:r>
      <w:r w:rsidRPr="00407A55">
        <w:rPr>
          <w:rFonts w:ascii="Times New Roman" w:eastAsia="Times New Roman" w:hAnsi="Times New Roman" w:cs="Times New Roman"/>
          <w:sz w:val="27"/>
          <w:szCs w:val="27"/>
          <w:lang w:eastAsia="ru-RU"/>
        </w:rPr>
        <w:t>забезпечено моніторами, апаратами ШВЛ, функціональними ліжками, киснем, ангіографами тощо, що дозволить оперативно надавати допомогу у випадку інсульту чи інфаркту.</w:t>
      </w:r>
    </w:p>
    <w:p w:rsidR="00051B2D" w:rsidRPr="00407A55" w:rsidP="00051B2D" w14:paraId="489C1AF8" w14:textId="77777777">
      <w:pPr>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 xml:space="preserve">У відділенні гемодіалізу є 15 діалізних апаратів, на обліку перебуває </w:t>
      </w:r>
      <w:r w:rsidRPr="00407A55">
        <w:rPr>
          <w:rFonts w:ascii="Times New Roman" w:eastAsia="Calibri" w:hAnsi="Times New Roman" w:cs="Times New Roman"/>
          <w:sz w:val="27"/>
          <w:szCs w:val="27"/>
          <w:lang w:eastAsia="en-US"/>
        </w:rPr>
        <w:br/>
        <w:t xml:space="preserve">38  чол., проведено 2888 діалізів. </w:t>
      </w:r>
    </w:p>
    <w:p w:rsidR="00051B2D" w:rsidRPr="00407A55" w:rsidP="00051B2D" w14:paraId="27C3787B"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У звітному періоді не працювало інфекційне відділення центру «Дитяча лікарня» КНТ «Броварська багатопрофільна клінічна лікарня» (обꞌєкт на реконструкції).</w:t>
      </w:r>
    </w:p>
    <w:p w:rsidR="00051B2D" w:rsidRPr="00407A55" w:rsidP="00051B2D" w14:paraId="10F1DF1A" w14:textId="77777777">
      <w:pPr>
        <w:spacing w:after="0" w:line="240" w:lineRule="auto"/>
        <w:ind w:firstLine="567"/>
        <w:jc w:val="both"/>
        <w:rPr>
          <w:rFonts w:ascii="Times New Roman" w:eastAsia="Calibri" w:hAnsi="Times New Roman" w:cs="Times New Roman"/>
          <w:color w:val="000000"/>
          <w:sz w:val="27"/>
          <w:szCs w:val="27"/>
          <w:lang w:eastAsia="en-US"/>
        </w:rPr>
      </w:pPr>
      <w:r w:rsidRPr="00407A55">
        <w:rPr>
          <w:rFonts w:ascii="Times New Roman" w:eastAsia="Calibri" w:hAnsi="Times New Roman" w:cs="Times New Roman"/>
          <w:color w:val="000000"/>
          <w:sz w:val="27"/>
          <w:szCs w:val="27"/>
          <w:lang w:eastAsia="en-US"/>
        </w:rPr>
        <w:t xml:space="preserve">Відповідно до Програми «Фінансова підтримка для покращення надання вторинної медичної допомоги населенню Броварської міської територіальної громади та відновлення матеріально-технічної бази комунального некомерційного підприємства «Броварська багатопрофільна клінічна лікарня» територіальних громад Броварського району Київської області на 2022-2026 роки» у звітному періоді було </w:t>
      </w:r>
      <w:r w:rsidRPr="00407A55">
        <w:rPr>
          <w:rFonts w:ascii="Times New Roman" w:eastAsia="Calibri" w:hAnsi="Times New Roman" w:cs="Times New Roman"/>
          <w:sz w:val="27"/>
          <w:szCs w:val="27"/>
          <w:lang w:eastAsia="en-US"/>
        </w:rPr>
        <w:t>профінансовано заходи на</w:t>
      </w:r>
      <w:r w:rsidRPr="00407A55">
        <w:rPr>
          <w:rFonts w:ascii="Times New Roman" w:eastAsia="Calibri" w:hAnsi="Times New Roman" w:cs="Times New Roman"/>
          <w:color w:val="000000"/>
          <w:sz w:val="27"/>
          <w:szCs w:val="27"/>
          <w:lang w:eastAsia="en-US"/>
        </w:rPr>
        <w:t xml:space="preserve"> суму 14690,5 тис. грн.</w:t>
      </w:r>
    </w:p>
    <w:p w:rsidR="00051B2D" w:rsidRPr="00407A55" w:rsidP="00051B2D" w14:paraId="2A08A8CF"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КНТ БМР «БСП»</w:t>
      </w:r>
      <w:r w:rsidRPr="00407A55">
        <w:rPr>
          <w:rFonts w:ascii="Times New Roman" w:eastAsia="Calibri" w:hAnsi="Times New Roman" w:cs="Times New Roman"/>
          <w:color w:val="000000"/>
          <w:sz w:val="27"/>
          <w:szCs w:val="27"/>
          <w:lang w:eastAsia="en-US"/>
        </w:rPr>
        <w:t xml:space="preserve"> </w:t>
      </w:r>
      <w:r w:rsidRPr="00407A55">
        <w:rPr>
          <w:rFonts w:ascii="Times New Roman" w:eastAsia="Times New Roman" w:hAnsi="Times New Roman" w:cs="Times New Roman"/>
          <w:color w:val="000000"/>
          <w:sz w:val="27"/>
          <w:szCs w:val="27"/>
          <w:lang w:eastAsia="ru-RU"/>
        </w:rPr>
        <w:t>проводить свою діяльність у сфері надання стоматологічних, ортопедичних та ортодонтичних послуг дорослому та дитячому населенню громади. Великий спектр безкоштовних послуг надається окремим  громадянам пільгових категорій громади.</w:t>
      </w:r>
    </w:p>
    <w:p w:rsidR="00051B2D" w:rsidRPr="00407A55" w:rsidP="00051B2D" w14:paraId="2940E82A"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Протягом І півріччя 2026 року безкоштовне лікування (огляд), протезування отримали </w:t>
      </w:r>
      <w:r w:rsidRPr="00407A55">
        <w:rPr>
          <w:rFonts w:ascii="Times New Roman" w:eastAsia="Times New Roman" w:hAnsi="Times New Roman" w:cs="Times New Roman"/>
          <w:sz w:val="27"/>
          <w:szCs w:val="27"/>
          <w:lang w:eastAsia="ru-RU"/>
        </w:rPr>
        <w:t>4161</w:t>
      </w:r>
      <w:r w:rsidRPr="00407A55">
        <w:rPr>
          <w:rFonts w:ascii="Times New Roman" w:eastAsia="Times New Roman" w:hAnsi="Times New Roman" w:cs="Times New Roman"/>
          <w:color w:val="FF0000"/>
          <w:sz w:val="27"/>
          <w:szCs w:val="27"/>
          <w:lang w:eastAsia="ru-RU"/>
        </w:rPr>
        <w:t xml:space="preserve"> </w:t>
      </w:r>
      <w:r w:rsidRPr="00407A55">
        <w:rPr>
          <w:rFonts w:ascii="Times New Roman" w:eastAsia="Times New Roman" w:hAnsi="Times New Roman" w:cs="Times New Roman"/>
          <w:color w:val="000000"/>
          <w:sz w:val="27"/>
          <w:szCs w:val="27"/>
          <w:lang w:eastAsia="ru-RU"/>
        </w:rPr>
        <w:t>жителів громади:</w:t>
      </w:r>
    </w:p>
    <w:p w:rsidR="00051B2D" w:rsidRPr="00407A55" w:rsidP="00051B2D" w14:paraId="3A175A5E" w14:textId="77777777">
      <w:pPr>
        <w:shd w:val="clear" w:color="auto" w:fill="FFFFFF"/>
        <w:tabs>
          <w:tab w:val="left" w:pos="567"/>
        </w:tabs>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 відповідно до «Програми підтримки Захисників і Захисниць України, членів сімей загиблих на 2024-2026 роки» </w:t>
      </w:r>
      <w:r w:rsidRPr="00407A55">
        <w:rPr>
          <w:rFonts w:ascii="Times New Roman" w:eastAsia="Times New Roman" w:hAnsi="Times New Roman" w:cs="Times New Roman"/>
          <w:color w:val="000000"/>
          <w:sz w:val="27"/>
          <w:szCs w:val="27"/>
          <w:lang w:val="ru-RU" w:eastAsia="ru-RU"/>
        </w:rPr>
        <w:t>615</w:t>
      </w:r>
      <w:r w:rsidRPr="00407A55">
        <w:rPr>
          <w:rFonts w:ascii="Times New Roman" w:eastAsia="Times New Roman" w:hAnsi="Times New Roman" w:cs="Times New Roman"/>
          <w:color w:val="000000"/>
          <w:sz w:val="27"/>
          <w:szCs w:val="27"/>
          <w:lang w:eastAsia="ru-RU"/>
        </w:rPr>
        <w:t xml:space="preserve"> осіб отримали безкоштовне лікування (огляд), протезування на суму </w:t>
      </w:r>
      <w:r w:rsidRPr="00407A55">
        <w:rPr>
          <w:rFonts w:ascii="Times New Roman" w:eastAsia="Times New Roman" w:hAnsi="Times New Roman" w:cs="Times New Roman"/>
          <w:color w:val="000000"/>
          <w:sz w:val="27"/>
          <w:szCs w:val="27"/>
          <w:lang w:val="ru-RU" w:eastAsia="ru-RU"/>
        </w:rPr>
        <w:t>1398</w:t>
      </w:r>
      <w:r w:rsidRPr="00407A55">
        <w:rPr>
          <w:rFonts w:ascii="Times New Roman" w:eastAsia="Times New Roman" w:hAnsi="Times New Roman" w:cs="Times New Roman"/>
          <w:color w:val="000000"/>
          <w:sz w:val="27"/>
          <w:szCs w:val="27"/>
          <w:lang w:eastAsia="ru-RU"/>
        </w:rPr>
        <w:t>,</w:t>
      </w:r>
      <w:r w:rsidRPr="00407A55">
        <w:rPr>
          <w:rFonts w:ascii="Times New Roman" w:eastAsia="Times New Roman" w:hAnsi="Times New Roman" w:cs="Times New Roman"/>
          <w:color w:val="000000"/>
          <w:sz w:val="27"/>
          <w:szCs w:val="27"/>
          <w:lang w:val="ru-RU" w:eastAsia="ru-RU"/>
        </w:rPr>
        <w:t>4</w:t>
      </w:r>
      <w:r w:rsidRPr="00407A55">
        <w:rPr>
          <w:rFonts w:ascii="Times New Roman" w:eastAsia="Times New Roman" w:hAnsi="Times New Roman" w:cs="Times New Roman"/>
          <w:color w:val="000000"/>
          <w:sz w:val="27"/>
          <w:szCs w:val="27"/>
          <w:lang w:eastAsia="ru-RU"/>
        </w:rPr>
        <w:t xml:space="preserve"> тис. грн.;</w:t>
      </w:r>
    </w:p>
    <w:p w:rsidR="00051B2D" w:rsidRPr="00407A55" w:rsidP="00051B2D" w14:paraId="2CF28A16" w14:textId="77777777">
      <w:pPr>
        <w:shd w:val="clear" w:color="auto" w:fill="FFFFFF"/>
        <w:tabs>
          <w:tab w:val="left" w:pos="567"/>
        </w:tabs>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відповідно до «Комплексної Програми розвитку охорони здоров’я в Броварській міській територіальній громаді на 2022-2026 роки» 3537 особам на суму 3512,6 тис. грн.;</w:t>
      </w:r>
    </w:p>
    <w:p w:rsidR="00051B2D" w:rsidRPr="00407A55" w:rsidP="00051B2D" w14:paraId="6FA841D6" w14:textId="77777777">
      <w:pPr>
        <w:shd w:val="clear" w:color="auto" w:fill="FFFFFF"/>
        <w:tabs>
          <w:tab w:val="left" w:pos="567"/>
        </w:tabs>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за рахунок коштів КНТ БМР «БСП» 9 військовослужбовців отримали безкоштовні послуги з імплантології на суму 148,9 тис. грн.</w:t>
      </w:r>
    </w:p>
    <w:p w:rsidR="00051B2D" w:rsidRPr="00407A55" w:rsidP="00051B2D" w14:paraId="24F29266"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Для забезпечення надання кваліфікованої стоматологічної допомоги закуплено сучасне стоматологічне обладнання.</w:t>
      </w:r>
    </w:p>
    <w:p w:rsidR="00051B2D" w:rsidRPr="00407A55" w:rsidP="00051B2D" w14:paraId="08E71D03" w14:textId="77777777">
      <w:pPr>
        <w:shd w:val="clear" w:color="auto" w:fill="FFFFFF"/>
        <w:tabs>
          <w:tab w:val="left" w:pos="9214"/>
        </w:tabs>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Крім того, на території громади працює лікувально-діагностичний центр комунального некомерційного підприємства «Багатопрофільна лікарня інтенсивного лікування м. Бахмут» (далі – лікувальний центр), який релоковано з міста Бахмут Донецької області.  Лікувальний центр має сучасне професійне обладнання для забезпечення дитячого та дорослого населення гарантованими державою в рамках програми медичних гарантій медичними послугами за принципом  екстериторіальності та надає 17 платних медичних послуг. </w:t>
      </w:r>
    </w:p>
    <w:p w:rsidR="00051B2D" w:rsidRPr="00407A55" w:rsidP="00051B2D" w14:paraId="2550BA48" w14:textId="77777777">
      <w:pPr>
        <w:spacing w:after="0" w:line="240" w:lineRule="auto"/>
        <w:ind w:firstLine="567"/>
        <w:contextualSpacing/>
        <w:jc w:val="both"/>
        <w:rPr>
          <w:rFonts w:ascii="Times New Roman" w:eastAsia="Times New Roman" w:hAnsi="Times New Roman" w:cs="Times New Roman"/>
          <w:b/>
          <w:bCs/>
          <w:sz w:val="27"/>
          <w:szCs w:val="27"/>
        </w:rPr>
      </w:pPr>
      <w:r w:rsidRPr="00407A55">
        <w:rPr>
          <w:rFonts w:ascii="Times New Roman" w:eastAsia="Calibri" w:hAnsi="Times New Roman" w:cs="Times New Roman"/>
          <w:sz w:val="27"/>
          <w:szCs w:val="27"/>
          <w:lang w:eastAsia="en-US"/>
        </w:rPr>
        <w:t>Також в громаді активно розвиваються приватні медичні заклади.</w:t>
      </w:r>
    </w:p>
    <w:p w:rsidR="00051B2D" w:rsidRPr="00407A55" w:rsidP="00051B2D" w14:paraId="25072CDB" w14:textId="77777777">
      <w:pPr>
        <w:spacing w:after="0" w:line="240" w:lineRule="auto"/>
        <w:ind w:firstLine="567"/>
        <w:jc w:val="both"/>
        <w:rPr>
          <w:rFonts w:ascii="Times New Roman" w:eastAsia="Times New Roman" w:hAnsi="Times New Roman" w:cs="Times New Roman"/>
          <w:sz w:val="27"/>
          <w:szCs w:val="27"/>
          <w:lang w:eastAsia="ru-RU"/>
        </w:rPr>
      </w:pPr>
    </w:p>
    <w:p w:rsidR="00051B2D" w:rsidRPr="00407A55" w:rsidP="00051B2D" w14:paraId="1F509917" w14:textId="77777777">
      <w:pPr>
        <w:shd w:val="clear" w:color="auto" w:fill="FFFFFF"/>
        <w:spacing w:after="0" w:line="240" w:lineRule="auto"/>
        <w:ind w:firstLine="567"/>
        <w:contextualSpacing/>
        <w:jc w:val="center"/>
        <w:rPr>
          <w:rFonts w:ascii="Times New Roman" w:eastAsia="Times New Roman" w:hAnsi="Times New Roman" w:cs="Times New Roman"/>
          <w:b/>
          <w:i/>
          <w:iCs/>
          <w:spacing w:val="4"/>
          <w:sz w:val="27"/>
          <w:szCs w:val="27"/>
          <w:lang w:eastAsia="ru-RU"/>
        </w:rPr>
      </w:pPr>
      <w:bookmarkStart w:id="7" w:name="_Hlk108764617"/>
      <w:r w:rsidRPr="00407A55">
        <w:rPr>
          <w:rFonts w:ascii="Times New Roman" w:eastAsia="Times New Roman" w:hAnsi="Times New Roman" w:cs="Times New Roman"/>
          <w:b/>
          <w:i/>
          <w:iCs/>
          <w:spacing w:val="4"/>
          <w:sz w:val="27"/>
          <w:szCs w:val="27"/>
          <w:lang w:eastAsia="ru-RU"/>
        </w:rPr>
        <w:t xml:space="preserve">Розвиток молодіжної інфраструктури, </w:t>
      </w:r>
    </w:p>
    <w:p w:rsidR="00051B2D" w:rsidRPr="00407A55" w:rsidP="00051B2D" w14:paraId="720DBE6D" w14:textId="77777777">
      <w:pPr>
        <w:shd w:val="clear" w:color="auto" w:fill="FFFFFF"/>
        <w:spacing w:after="0" w:line="240" w:lineRule="auto"/>
        <w:ind w:firstLine="567"/>
        <w:contextualSpacing/>
        <w:jc w:val="center"/>
        <w:rPr>
          <w:rFonts w:ascii="Times New Roman" w:eastAsia="Times New Roman" w:hAnsi="Times New Roman" w:cs="Times New Roman"/>
          <w:b/>
          <w:i/>
          <w:iCs/>
          <w:spacing w:val="4"/>
          <w:sz w:val="27"/>
          <w:szCs w:val="27"/>
          <w:lang w:eastAsia="zh-CN"/>
        </w:rPr>
      </w:pPr>
      <w:r w:rsidRPr="00407A55">
        <w:rPr>
          <w:rFonts w:ascii="Times New Roman" w:eastAsia="Times New Roman" w:hAnsi="Times New Roman" w:cs="Times New Roman"/>
          <w:b/>
          <w:i/>
          <w:iCs/>
          <w:spacing w:val="4"/>
          <w:sz w:val="27"/>
          <w:szCs w:val="27"/>
          <w:lang w:eastAsia="zh-CN"/>
        </w:rPr>
        <w:t>національно-патріотичного виховання, підтримка дітей та сім</w:t>
      </w:r>
      <w:r w:rsidRPr="00407A55">
        <w:rPr>
          <w:rFonts w:ascii="Times New Roman" w:eastAsia="Times New Roman" w:hAnsi="Times New Roman" w:cs="Times New Roman"/>
          <w:b/>
          <w:i/>
          <w:iCs/>
          <w:spacing w:val="4"/>
          <w:sz w:val="27"/>
          <w:szCs w:val="27"/>
          <w:lang w:val="ru-RU" w:eastAsia="zh-CN"/>
        </w:rPr>
        <w:t>ꞌ</w:t>
      </w:r>
      <w:r w:rsidRPr="00407A55">
        <w:rPr>
          <w:rFonts w:ascii="Times New Roman" w:eastAsia="Times New Roman" w:hAnsi="Times New Roman" w:cs="Times New Roman"/>
          <w:b/>
          <w:i/>
          <w:iCs/>
          <w:spacing w:val="4"/>
          <w:sz w:val="27"/>
          <w:szCs w:val="27"/>
          <w:lang w:eastAsia="zh-CN"/>
        </w:rPr>
        <w:t>ї</w:t>
      </w:r>
    </w:p>
    <w:p w:rsidR="00051B2D" w:rsidRPr="00407A55" w:rsidP="00051B2D" w14:paraId="144F48D9"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На виконання повноважень, встановлених законодавством України у сфері соціального захисту, соціальної підтримки дітей, зокрема, дітей-сиріт та дітей, позбавлених батьківського піклування, сімей, які перебувають у складних життєвих обставинах, створення належних умов для реалізації права кожної дитини на виховання в сім'ї або в оточенні максимально наближеному до сімейного, а також, з питань щодо організації літнього відпочинку та оздоровлення дітей, </w:t>
      </w:r>
      <w:r w:rsidRPr="00407A55">
        <w:rPr>
          <w:rFonts w:ascii="Times New Roman" w:eastAsia="Times New Roman" w:hAnsi="Times New Roman" w:cs="Times New Roman"/>
          <w:sz w:val="27"/>
          <w:szCs w:val="27"/>
          <w:shd w:val="clear" w:color="auto" w:fill="FFFFFF"/>
          <w:lang w:eastAsia="ru-RU"/>
        </w:rPr>
        <w:t xml:space="preserve">які потребують особливої соціальної уваги та підтримки, </w:t>
      </w:r>
      <w:r w:rsidRPr="00407A55">
        <w:rPr>
          <w:rFonts w:ascii="Times New Roman" w:eastAsia="Times New Roman" w:hAnsi="Times New Roman" w:cs="Times New Roman"/>
          <w:sz w:val="27"/>
          <w:szCs w:val="27"/>
          <w:lang w:eastAsia="ru-RU"/>
        </w:rPr>
        <w:t>дітей</w:t>
      </w:r>
      <w:r w:rsidRPr="00407A55">
        <w:rPr>
          <w:rFonts w:ascii="Times New Roman" w:eastAsia="Times New Roman" w:hAnsi="Times New Roman" w:cs="Times New Roman"/>
          <w:sz w:val="27"/>
          <w:szCs w:val="27"/>
          <w:shd w:val="clear" w:color="auto" w:fill="FFFFFF"/>
          <w:lang w:eastAsia="ru-RU"/>
        </w:rPr>
        <w:t>, які потребують особливих умов для оздоровлення</w:t>
      </w:r>
      <w:r w:rsidRPr="00407A55">
        <w:rPr>
          <w:rFonts w:ascii="Times New Roman" w:eastAsia="Times New Roman" w:hAnsi="Times New Roman" w:cs="Times New Roman"/>
          <w:sz w:val="27"/>
          <w:szCs w:val="27"/>
          <w:lang w:eastAsia="ru-RU"/>
        </w:rPr>
        <w:t xml:space="preserve"> у І півріччі 2026 року реалізувались програми: «Міська програма відпочинку та оздоровлення дітей на 2022-2026 роки» та «Міська комплексна Програма підтримки сім’ї та захисту прав дітей “Щаслива родина – успішна країна” на 2023-2027 роки».</w:t>
      </w:r>
    </w:p>
    <w:p w:rsidR="00051B2D" w:rsidRPr="00407A55" w:rsidP="00051B2D" w14:paraId="40AA5A04"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У звітному періоді до дитячих оздоровчих закладів було придбано 52 путівки на загальну суму 1042,9 тис. грн. </w:t>
      </w:r>
    </w:p>
    <w:p w:rsidR="00051B2D" w:rsidRPr="00407A55" w:rsidP="00051B2D" w14:paraId="624C133C"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Відповідно до «Міської комплексної Програми підтримки сім’ї та захисту прав дітей “Щаслива родина – успішна країна” на 2023-2027 роки» у звітному періоді здійснено виплату матеріальної допомоги студентам денної форми навчання із числа дітей-сиріт та дітей, позбавлених батьківського піклування на загальну суму 149,6 тис. грн.</w:t>
      </w:r>
    </w:p>
    <w:p w:rsidR="00051B2D" w:rsidRPr="00407A55" w:rsidP="00051B2D" w14:paraId="1B8ABF17"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sz w:val="27"/>
          <w:szCs w:val="27"/>
          <w:lang w:eastAsia="ru-RU"/>
        </w:rPr>
        <w:t>На первинному обліку з числа дітей-сиріт, дітей, позбавлених батьківського піклування, та дітей, залишених без батьківського піклування станом 30.06.2026 перебувало 190 дітей.</w:t>
      </w:r>
    </w:p>
    <w:p w:rsidR="00051B2D" w:rsidRPr="00407A55" w:rsidP="00051B2D" w14:paraId="34D1841D"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На території громади функціонує 11 дитячих будинків сімейного типу, в яких виховується 61 дитина та 8 осіб з числа дітей-сиріт та дітей, позбавлених батьківського піклування. Також, функціонує 5 прийомних сімей, в яких виховується 8 дітей та 4 особи з числа дітей-сиріт та дітей, позбавлених батьківського піклування.</w:t>
      </w:r>
    </w:p>
    <w:p w:rsidR="00051B2D" w:rsidRPr="00407A55" w:rsidP="00051B2D" w14:paraId="64C60D32"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Крім того, на обліку станом на 01.07.2026 перебувало 844 сімей, які перебувають у складних життєвих обставинах та виховується 1277 дітей.</w:t>
      </w:r>
    </w:p>
    <w:p w:rsidR="00051B2D" w:rsidRPr="00407A55" w:rsidP="00051B2D" w14:paraId="1CF52E01"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У громаді працює Центр соціальних служб, який формує єдиний механізм виявлення та інформування про сімꞌї з дітьми, які опинились у складних життєвих обставинах. Проводиться профілактична робота з метою запобігання насильства в сімꞌї, здійснюється супроводження прийомних сімей, сімей патронатних вихователів та дитячих будинків сімейного типу.</w:t>
      </w:r>
    </w:p>
    <w:p w:rsidR="00051B2D" w:rsidRPr="00407A55" w:rsidP="00051B2D" w14:paraId="04F292FD"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color w:val="000000"/>
          <w:sz w:val="27"/>
          <w:szCs w:val="27"/>
          <w:lang w:eastAsia="ru-RU"/>
        </w:rPr>
        <w:tab/>
      </w:r>
      <w:r w:rsidRPr="00407A55">
        <w:rPr>
          <w:rFonts w:ascii="Times New Roman" w:eastAsia="Times New Roman" w:hAnsi="Times New Roman" w:cs="Times New Roman"/>
          <w:sz w:val="27"/>
          <w:szCs w:val="27"/>
          <w:lang w:eastAsia="ru-RU"/>
        </w:rPr>
        <w:t xml:space="preserve">Відповідно до статті 39 Житлового кодексу України та пункту 64 постанови Кабінету Міністрів України від 24.09.2008 №866 «Питання діяльності органів опіки і піклування, пов’язаної із захистом прав дитини», станом на 30 червня 2026 року на квартирному обліку виконавчого комітету Броварської міської ради Броварського району Київської області перебуває 133 дітей-сиріт, та дітей, позбавлених батьківського піклування, та осіб з їх числа, із них: </w:t>
      </w:r>
    </w:p>
    <w:p w:rsidR="00051B2D" w:rsidRPr="00407A55" w:rsidP="00051B2D" w14:paraId="68FDB758" w14:textId="77777777">
      <w:pPr>
        <w:numPr>
          <w:ilvl w:val="0"/>
          <w:numId w:val="1"/>
        </w:numPr>
        <w:spacing w:after="0" w:line="240" w:lineRule="auto"/>
        <w:ind w:left="0" w:firstLine="284"/>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35 дітей - сиріт та дітей, позбавлених батьківського піклування, в тому числі 10 - внутрішньо переміщених осіб; </w:t>
      </w:r>
    </w:p>
    <w:p w:rsidR="00051B2D" w:rsidRPr="00407A55" w:rsidP="00051B2D" w14:paraId="686F9717" w14:textId="77777777">
      <w:pPr>
        <w:numPr>
          <w:ilvl w:val="0"/>
          <w:numId w:val="1"/>
        </w:numPr>
        <w:spacing w:after="0" w:line="240" w:lineRule="auto"/>
        <w:ind w:left="0" w:firstLine="284"/>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69 осіб віком від 18 до 23 років, в тому числі 23 – внутрішньо переміщених осіб; </w:t>
      </w:r>
    </w:p>
    <w:p w:rsidR="00051B2D" w:rsidRPr="00407A55" w:rsidP="00051B2D" w14:paraId="1C042B51" w14:textId="77777777">
      <w:pPr>
        <w:numPr>
          <w:ilvl w:val="0"/>
          <w:numId w:val="1"/>
        </w:numPr>
        <w:spacing w:after="0" w:line="240" w:lineRule="auto"/>
        <w:ind w:left="0" w:firstLine="284"/>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 24 особи віком від 23 до 35 років; в тому числі 1 – внутрішньо переміщена особа; </w:t>
      </w:r>
    </w:p>
    <w:p w:rsidR="00051B2D" w:rsidRPr="00407A55" w:rsidP="00051B2D" w14:paraId="66FE93B9" w14:textId="77777777">
      <w:pPr>
        <w:numPr>
          <w:ilvl w:val="0"/>
          <w:numId w:val="1"/>
        </w:numPr>
        <w:spacing w:after="0" w:line="240" w:lineRule="auto"/>
        <w:ind w:left="0" w:firstLine="284"/>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5 осіб старше 35 років.</w:t>
      </w:r>
    </w:p>
    <w:p w:rsidR="00051B2D" w:rsidRPr="00407A55" w:rsidP="00051B2D" w14:paraId="4F75FD1E"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У І півріччі 2026 року одна соба з числа дітей-сиріт отримала двокімнатну квартиру за кошти місцевого бюджету.</w:t>
      </w:r>
    </w:p>
    <w:p w:rsidR="00051B2D" w:rsidRPr="00407A55" w:rsidP="00051B2D" w14:paraId="7C7C4ABA" w14:textId="77777777">
      <w:pPr>
        <w:autoSpaceDE w:val="0"/>
        <w:autoSpaceDN w:val="0"/>
        <w:adjustRightInd w:val="0"/>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eastAsia="ru-RU"/>
        </w:rPr>
        <w:t>Особлива увага педагогічної громадськості закладів приділяється питанням національно-патріотичного виховання учнів, спрямованим на формування національної ідентичності, громадянської свідомості, поваги до державних символів України, її історії та культурної спадщини. Робота у звітний період була організована відповідно до Концепції національно-патріотичного виховання дітей та молоді та реалізовувалася через поєднання традиційних і сучасних форм виховної діяльності, активну участь учнівського самоврядування та залучення учнів до волонтерських ініціатив. Було проведено заходи до Дня вшанування захисників Донецького аеропорту, відзначення Дня Соборності України, вшанування пам’яті жертв Голокосту та Героїв Крут, Дня єднання, вшанування Героїв Небесної Сотні, міжнародного Дня рідної мови, річниці повномасштабного вторгнення росії в Україну, відзначення Дня добровольця, Дня Державного Гімну України. У межах цих дат організовувалися уроки мужності, перегляди документальних матеріалів, обговорення історичних подій, години пам’яті, реквієми, тематичні заходи, виставки та хвилини мовчання, що сприяло усвідомленню учнями значення боротьби за незалежність України, сприяли формуванню в учнів почуття гідності, патріотизму й поваги до цінностей та подвигу українців, які віддали життя за свободу держави. Важливе місце у виховній роботі посіли Шевченківські дні. Традиційно в березні учні нашої громади беруть участь в патріотичній грі «</w:t>
      </w:r>
      <w:r w:rsidRPr="00407A55">
        <w:rPr>
          <w:rFonts w:ascii="Times New Roman" w:eastAsia="Times New Roman" w:hAnsi="Times New Roman" w:cs="Times New Roman"/>
          <w:sz w:val="27"/>
          <w:szCs w:val="27"/>
          <w:lang w:val="ru-RU" w:eastAsia="ru-RU"/>
        </w:rPr>
        <w:t>UKR</w:t>
      </w:r>
      <w:r w:rsidRPr="00407A55">
        <w:rPr>
          <w:rFonts w:ascii="Times New Roman" w:eastAsia="Times New Roman" w:hAnsi="Times New Roman" w:cs="Times New Roman"/>
          <w:sz w:val="27"/>
          <w:szCs w:val="27"/>
          <w:lang w:eastAsia="ru-RU"/>
        </w:rPr>
        <w:t>-</w:t>
      </w:r>
      <w:r w:rsidRPr="00407A55">
        <w:rPr>
          <w:rFonts w:ascii="Times New Roman" w:eastAsia="Times New Roman" w:hAnsi="Times New Roman" w:cs="Times New Roman"/>
          <w:sz w:val="27"/>
          <w:szCs w:val="27"/>
          <w:lang w:val="ru-RU" w:eastAsia="ru-RU"/>
        </w:rPr>
        <w:t>LAND</w:t>
      </w:r>
      <w:r w:rsidRPr="00407A55">
        <w:rPr>
          <w:rFonts w:ascii="Times New Roman" w:eastAsia="Times New Roman" w:hAnsi="Times New Roman" w:cs="Times New Roman"/>
          <w:sz w:val="27"/>
          <w:szCs w:val="27"/>
          <w:lang w:eastAsia="ru-RU"/>
        </w:rPr>
        <w:t xml:space="preserve">», яка проходить в ліцеї «АРТ» Деснянського району міста Києва. Цьогоріч гра була присвячена творчості видатної української поетеси – Лесі Українки. Учні закладів освіти громади брали участь у благодійних акціях, ярмарках, зборі гуманітарної допомоги для військовослужбовців Збройних Сил України, що сприяло вихованню відповідальності, небайдужості та соціальної активності. </w:t>
      </w:r>
      <w:r w:rsidRPr="00407A55">
        <w:rPr>
          <w:rFonts w:ascii="Times New Roman" w:eastAsia="Times New Roman" w:hAnsi="Times New Roman" w:cs="Times New Roman"/>
          <w:sz w:val="27"/>
          <w:szCs w:val="27"/>
          <w:lang w:val="ru-RU" w:eastAsia="ru-RU"/>
        </w:rPr>
        <w:t>Активною є діяльність Ради дітей та учнівської молоді громади; у березні діти пройшли стажування в органах місцевого самоврядування.</w:t>
      </w:r>
    </w:p>
    <w:p w:rsidR="00051B2D" w:rsidRPr="00407A55" w:rsidP="00051B2D" w14:paraId="474BB1D0" w14:textId="77777777">
      <w:pPr>
        <w:autoSpaceDE w:val="0"/>
        <w:autoSpaceDN w:val="0"/>
        <w:adjustRightInd w:val="0"/>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Важливу роль у формуванні та вихованні молодого покоління відіграє Центр національно-патріотичного виховання, яким організована низка заходів, таких як: діалогові платформи «Професія – поліцейський», «Професія – військовий», «Професія – військовий журналіст», Стрілецький турнір-2026 для учнів ЗЗСО. </w:t>
      </w:r>
      <w:r w:rsidRPr="00407A55">
        <w:rPr>
          <w:rFonts w:ascii="Times New Roman" w:eastAsia="Times New Roman" w:hAnsi="Times New Roman" w:cs="Times New Roman"/>
          <w:sz w:val="27"/>
          <w:szCs w:val="27"/>
          <w:lang w:val="ru-RU" w:eastAsia="ru-RU"/>
        </w:rPr>
        <w:t>Також в Центрі активно проводяться майстер-класи з тактичної медицини, стрільби та топографії, що сприяє підготовці до військово патріотичної гри «Сокіл» («Джура»).</w:t>
      </w:r>
    </w:p>
    <w:p w:rsidR="00051B2D" w:rsidRPr="00407A55" w:rsidP="00051B2D" w14:paraId="3DF1564C"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На базі Броварського ліцею № 10 у 2025/2026 навчальному році було створено новий структурний підрозділ «На варті», що є осередком для вивчення предмета «Захист України». Цей осередок покликаний забезпечити якісне навчання з предмету учнів 10-11 класів 13-ти закладів загальної середньої освіти громади. Осередок «На варті» має на меті не тільки забезпечення відповідного освітнього процесу, але й виховання у школярів почуття патріотизму, отримання практичних знань, що дозволяють їм бути обізнаними й готовими до різноманітних ситуацій, які можуть виникнути в реальному житті. Викладання предмета «Захист України» охоплює широкий спектр тем, включаючи основи цивільного захисту, права та обов'язки громадян, а також навички безпеки в надзвичайних ситуаціях.</w:t>
      </w:r>
    </w:p>
    <w:p w:rsidR="00051B2D" w:rsidRPr="00407A55" w:rsidP="00051B2D" w14:paraId="6E88845D" w14:textId="77777777">
      <w:pPr>
        <w:shd w:val="clear" w:color="auto" w:fill="FFFFFF"/>
        <w:spacing w:after="0" w:line="240" w:lineRule="auto"/>
        <w:ind w:firstLine="567"/>
        <w:contextualSpacing/>
        <w:jc w:val="center"/>
        <w:rPr>
          <w:rFonts w:ascii="Times New Roman" w:eastAsia="Times New Roman" w:hAnsi="Times New Roman" w:cs="Times New Roman"/>
          <w:b/>
          <w:i/>
          <w:iCs/>
          <w:spacing w:val="4"/>
          <w:sz w:val="27"/>
          <w:szCs w:val="27"/>
          <w:lang w:val="ru-RU" w:eastAsia="zh-CN"/>
        </w:rPr>
      </w:pPr>
    </w:p>
    <w:bookmarkEnd w:id="7"/>
    <w:p w:rsidR="00051B2D" w:rsidRPr="00407A55" w:rsidP="00051B2D" w14:paraId="064ACD10" w14:textId="77777777">
      <w:pPr>
        <w:spacing w:after="0" w:line="240" w:lineRule="auto"/>
        <w:ind w:right="-1" w:firstLine="567"/>
        <w:jc w:val="center"/>
        <w:rPr>
          <w:rFonts w:ascii="Times New Roman" w:eastAsia="Calibri" w:hAnsi="Times New Roman" w:cs="Times New Roman"/>
          <w:b/>
          <w:bCs/>
          <w:i/>
          <w:iCs/>
          <w:sz w:val="27"/>
          <w:szCs w:val="27"/>
          <w:lang w:eastAsia="zh-CN"/>
        </w:rPr>
      </w:pPr>
      <w:r w:rsidRPr="00407A55">
        <w:rPr>
          <w:rFonts w:ascii="Times New Roman" w:eastAsia="Calibri" w:hAnsi="Times New Roman" w:cs="Times New Roman"/>
          <w:b/>
          <w:bCs/>
          <w:i/>
          <w:iCs/>
          <w:sz w:val="27"/>
          <w:szCs w:val="27"/>
          <w:lang w:eastAsia="zh-CN"/>
        </w:rPr>
        <w:t xml:space="preserve">Розвиток культурного та духовного </w:t>
      </w:r>
    </w:p>
    <w:p w:rsidR="00051B2D" w:rsidRPr="00407A55" w:rsidP="00051B2D" w14:paraId="7EA99A3A" w14:textId="77777777">
      <w:pPr>
        <w:spacing w:after="0" w:line="240" w:lineRule="auto"/>
        <w:ind w:right="-1" w:firstLine="567"/>
        <w:jc w:val="center"/>
        <w:rPr>
          <w:rFonts w:ascii="Times New Roman" w:eastAsia="Calibri" w:hAnsi="Times New Roman" w:cs="Times New Roman"/>
          <w:b/>
          <w:bCs/>
          <w:i/>
          <w:iCs/>
          <w:sz w:val="27"/>
          <w:szCs w:val="27"/>
          <w:lang w:eastAsia="zh-CN"/>
        </w:rPr>
      </w:pPr>
      <w:r w:rsidRPr="00407A55">
        <w:rPr>
          <w:rFonts w:ascii="Times New Roman" w:eastAsia="Calibri" w:hAnsi="Times New Roman" w:cs="Times New Roman"/>
          <w:b/>
          <w:bCs/>
          <w:i/>
          <w:iCs/>
          <w:sz w:val="27"/>
          <w:szCs w:val="27"/>
          <w:lang w:eastAsia="zh-CN"/>
        </w:rPr>
        <w:t>середовища, туристичного потенціалу</w:t>
      </w:r>
    </w:p>
    <w:p w:rsidR="00051B2D" w:rsidRPr="00407A55" w:rsidP="00051B2D" w14:paraId="4B8EA4D9" w14:textId="77777777">
      <w:pPr>
        <w:tabs>
          <w:tab w:val="left" w:pos="0"/>
        </w:tabs>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На території Броварської міської територіальної громади діють заклади культури, які підпорядковані управлінню культури, сімꞌї та молоді Броварської міської ради Броварського району Київської області (далі - управління): </w:t>
      </w:r>
    </w:p>
    <w:p w:rsidR="00051B2D" w:rsidRPr="00407A55" w:rsidP="00051B2D" w14:paraId="3A56E363" w14:textId="77777777">
      <w:pPr>
        <w:spacing w:after="0" w:line="240" w:lineRule="auto"/>
        <w:ind w:firstLine="567"/>
        <w:jc w:val="center"/>
        <w:rPr>
          <w:rFonts w:ascii="Times New Roman" w:eastAsia="Times New Roman" w:hAnsi="Times New Roman" w:cs="Times New Roman"/>
          <w:b/>
          <w:bCs/>
          <w:sz w:val="27"/>
          <w:szCs w:val="27"/>
          <w:lang w:eastAsia="ru-RU"/>
        </w:rPr>
      </w:pPr>
      <w:bookmarkStart w:id="8" w:name="_Hlk141884994"/>
      <w:r w:rsidRPr="00407A55">
        <w:rPr>
          <w:rFonts w:ascii="Times New Roman" w:eastAsia="Times New Roman" w:hAnsi="Times New Roman" w:cs="Times New Roman"/>
          <w:b/>
          <w:bCs/>
          <w:sz w:val="27"/>
          <w:szCs w:val="27"/>
          <w:lang w:eastAsia="ru-RU"/>
        </w:rPr>
        <w:t>Комунальні заклади культури</w:t>
      </w:r>
    </w:p>
    <w:p w:rsidR="00051B2D" w:rsidRPr="00407A55" w:rsidP="00051B2D" w14:paraId="325E1C8A"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720715" cy="2921635"/>
            <wp:effectExtent l="0" t="0" r="13335" b="50165"/>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bookmarkEnd w:id="8"/>
    <w:p w:rsidR="00051B2D" w:rsidRPr="00407A55" w:rsidP="00051B2D" w14:paraId="5F79B039" w14:textId="77777777">
      <w:pPr>
        <w:tabs>
          <w:tab w:val="left" w:pos="0"/>
        </w:tabs>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З метою розкриття творчого потенціалу та підтримки інтересу до мистецтва різних верств населення, відродження українських народних традицій, звичаїв та обрядів, збереження національної культурної спадщини, організації дозвілля і урізноманітнення форм культурного обслуговування населення проводяться різноманітні заходи.</w:t>
      </w:r>
    </w:p>
    <w:p w:rsidR="00051B2D" w:rsidRPr="007C499E" w:rsidP="00051B2D" w14:paraId="5A6A6F98" w14:textId="77777777">
      <w:pPr>
        <w:tabs>
          <w:tab w:val="left" w:pos="0"/>
        </w:tabs>
        <w:spacing w:after="0" w:line="240" w:lineRule="auto"/>
        <w:ind w:firstLine="567"/>
        <w:jc w:val="center"/>
        <w:rPr>
          <w:rFonts w:ascii="Times New Roman" w:eastAsia="Times New Roman" w:hAnsi="Times New Roman" w:cs="Times New Roman"/>
          <w:b/>
          <w:bCs/>
          <w:sz w:val="27"/>
          <w:szCs w:val="27"/>
          <w:lang w:eastAsia="ru-RU"/>
        </w:rPr>
      </w:pPr>
    </w:p>
    <w:p w:rsidR="00051B2D" w:rsidRPr="007C499E" w:rsidP="00051B2D" w14:paraId="404801D8" w14:textId="77777777">
      <w:pPr>
        <w:tabs>
          <w:tab w:val="left" w:pos="0"/>
        </w:tabs>
        <w:spacing w:after="0" w:line="240" w:lineRule="auto"/>
        <w:ind w:firstLine="567"/>
        <w:jc w:val="center"/>
        <w:rPr>
          <w:rFonts w:ascii="Times New Roman" w:eastAsia="Times New Roman" w:hAnsi="Times New Roman" w:cs="Times New Roman"/>
          <w:b/>
          <w:bCs/>
          <w:sz w:val="27"/>
          <w:szCs w:val="27"/>
          <w:lang w:eastAsia="ru-RU"/>
        </w:rPr>
      </w:pPr>
    </w:p>
    <w:p w:rsidR="00051B2D" w:rsidRPr="007C499E" w:rsidP="00051B2D" w14:paraId="257B9D54" w14:textId="77777777">
      <w:pPr>
        <w:tabs>
          <w:tab w:val="left" w:pos="0"/>
        </w:tabs>
        <w:spacing w:after="0" w:line="240" w:lineRule="auto"/>
        <w:ind w:firstLine="567"/>
        <w:jc w:val="center"/>
        <w:rPr>
          <w:rFonts w:ascii="Times New Roman" w:eastAsia="Times New Roman" w:hAnsi="Times New Roman" w:cs="Times New Roman"/>
          <w:b/>
          <w:bCs/>
          <w:sz w:val="27"/>
          <w:szCs w:val="27"/>
          <w:lang w:eastAsia="ru-RU"/>
        </w:rPr>
      </w:pPr>
    </w:p>
    <w:p w:rsidR="00051B2D" w:rsidRPr="007C499E" w:rsidP="00051B2D" w14:paraId="124F5B89" w14:textId="77777777">
      <w:pPr>
        <w:tabs>
          <w:tab w:val="left" w:pos="0"/>
        </w:tabs>
        <w:spacing w:after="0" w:line="240" w:lineRule="auto"/>
        <w:ind w:firstLine="567"/>
        <w:jc w:val="center"/>
        <w:rPr>
          <w:rFonts w:ascii="Times New Roman" w:eastAsia="Times New Roman" w:hAnsi="Times New Roman" w:cs="Times New Roman"/>
          <w:b/>
          <w:bCs/>
          <w:sz w:val="27"/>
          <w:szCs w:val="27"/>
          <w:lang w:eastAsia="ru-RU"/>
        </w:rPr>
      </w:pPr>
    </w:p>
    <w:p w:rsidR="00051B2D" w:rsidRPr="007C499E" w:rsidP="00051B2D" w14:paraId="09775D35" w14:textId="77777777">
      <w:pPr>
        <w:tabs>
          <w:tab w:val="left" w:pos="0"/>
        </w:tabs>
        <w:spacing w:after="0" w:line="240" w:lineRule="auto"/>
        <w:ind w:firstLine="567"/>
        <w:jc w:val="center"/>
        <w:rPr>
          <w:rFonts w:ascii="Times New Roman" w:eastAsia="Times New Roman" w:hAnsi="Times New Roman" w:cs="Times New Roman"/>
          <w:b/>
          <w:bCs/>
          <w:sz w:val="27"/>
          <w:szCs w:val="27"/>
          <w:lang w:eastAsia="ru-RU"/>
        </w:rPr>
      </w:pPr>
    </w:p>
    <w:p w:rsidR="00051B2D" w:rsidRPr="00407A55" w:rsidP="00051B2D" w14:paraId="433F63D7" w14:textId="77777777">
      <w:pPr>
        <w:tabs>
          <w:tab w:val="left" w:pos="0"/>
        </w:tabs>
        <w:spacing w:after="0" w:line="240" w:lineRule="auto"/>
        <w:ind w:firstLine="567"/>
        <w:jc w:val="center"/>
        <w:rPr>
          <w:rFonts w:ascii="Times New Roman" w:eastAsia="Times New Roman" w:hAnsi="Times New Roman" w:cs="Times New Roman"/>
          <w:b/>
          <w:bCs/>
          <w:sz w:val="27"/>
          <w:szCs w:val="27"/>
          <w:lang w:val="ru-RU" w:eastAsia="ru-RU"/>
        </w:rPr>
      </w:pPr>
      <w:r w:rsidRPr="00407A55">
        <w:rPr>
          <w:rFonts w:ascii="Times New Roman" w:eastAsia="Times New Roman" w:hAnsi="Times New Roman" w:cs="Times New Roman"/>
          <w:b/>
          <w:bCs/>
          <w:sz w:val="27"/>
          <w:szCs w:val="27"/>
          <w:lang w:val="ru-RU" w:eastAsia="ru-RU"/>
        </w:rPr>
        <w:t xml:space="preserve">Кількість проведених культурно-мистецьких </w:t>
      </w:r>
    </w:p>
    <w:p w:rsidR="00051B2D" w:rsidRPr="00407A55" w:rsidP="00051B2D" w14:paraId="71E601AC" w14:textId="77777777">
      <w:pPr>
        <w:tabs>
          <w:tab w:val="left" w:pos="0"/>
        </w:tabs>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val="ru-RU" w:eastAsia="ru-RU"/>
        </w:rPr>
        <w:t>та просвітницьких заходів у 202</w:t>
      </w:r>
      <w:r w:rsidRPr="00407A55">
        <w:rPr>
          <w:rFonts w:ascii="Times New Roman" w:eastAsia="Times New Roman" w:hAnsi="Times New Roman" w:cs="Times New Roman"/>
          <w:b/>
          <w:bCs/>
          <w:sz w:val="27"/>
          <w:szCs w:val="27"/>
          <w:lang w:eastAsia="ru-RU"/>
        </w:rPr>
        <w:t>5</w:t>
      </w:r>
      <w:r w:rsidRPr="00407A55">
        <w:rPr>
          <w:rFonts w:ascii="Times New Roman" w:eastAsia="Times New Roman" w:hAnsi="Times New Roman" w:cs="Times New Roman"/>
          <w:b/>
          <w:bCs/>
          <w:sz w:val="27"/>
          <w:szCs w:val="27"/>
          <w:lang w:val="ru-RU" w:eastAsia="ru-RU"/>
        </w:rPr>
        <w:t>-202</w:t>
      </w:r>
      <w:r w:rsidRPr="00407A55">
        <w:rPr>
          <w:rFonts w:ascii="Times New Roman" w:eastAsia="Times New Roman" w:hAnsi="Times New Roman" w:cs="Times New Roman"/>
          <w:b/>
          <w:bCs/>
          <w:sz w:val="27"/>
          <w:szCs w:val="27"/>
          <w:lang w:eastAsia="ru-RU"/>
        </w:rPr>
        <w:t>6</w:t>
      </w:r>
      <w:r w:rsidRPr="00407A55">
        <w:rPr>
          <w:rFonts w:ascii="Times New Roman" w:eastAsia="Times New Roman" w:hAnsi="Times New Roman" w:cs="Times New Roman"/>
          <w:b/>
          <w:bCs/>
          <w:sz w:val="27"/>
          <w:szCs w:val="27"/>
          <w:lang w:val="ru-RU" w:eastAsia="ru-RU"/>
        </w:rPr>
        <w:t xml:space="preserve"> роках</w:t>
      </w:r>
    </w:p>
    <w:p w:rsidR="00051B2D" w:rsidRPr="00407A55" w:rsidP="00051B2D" w14:paraId="1FDB2A22" w14:textId="77777777">
      <w:pPr>
        <w:tabs>
          <w:tab w:val="left" w:pos="0"/>
        </w:tabs>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680710" cy="2740025"/>
            <wp:effectExtent l="0" t="0" r="15240" b="317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51B2D" w:rsidRPr="00407A55" w:rsidP="00051B2D" w14:paraId="35EC1D90" w14:textId="77777777">
      <w:pPr>
        <w:tabs>
          <w:tab w:val="left" w:pos="0"/>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У закладах культури створюються необхідні умови по відродженню і розвитку всіх жанрів самодіяльної художньої творчості. У закладах діють 25 творчих колективів із них 13 мають звання «народний» та «зразковий». Постійно проводиться співпраця з видатними художниками громади, виставляючи їх творчі доробки, колекції художніх робіт у закладах культури.</w:t>
      </w:r>
    </w:p>
    <w:p w:rsidR="00051B2D" w:rsidRPr="00407A55" w:rsidP="00051B2D" w14:paraId="3E36F488"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Під час військового стану туристична галузь стала вразливою, здійснювався переважно незначний внутрішній туризм. </w:t>
      </w:r>
    </w:p>
    <w:p w:rsidR="00051B2D" w:rsidRPr="00407A55" w:rsidP="00051B2D" w14:paraId="5D4FC95D"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Продовжується робота по реалізації проєкту «Єдині» в межах підписаного Меморандуму про співпрацю між ГО «Українська гуманітарна платформа» та Броварською міською територіальною громадою.</w:t>
      </w:r>
    </w:p>
    <w:p w:rsidR="00051B2D" w:rsidRPr="00407A55" w:rsidP="00051B2D" w14:paraId="58ECEB52"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eastAsia="ru-RU"/>
        </w:rPr>
        <w:t>Також</w:t>
      </w:r>
      <w:r w:rsidRPr="00407A55">
        <w:rPr>
          <w:rFonts w:ascii="Times New Roman" w:eastAsia="Times New Roman" w:hAnsi="Times New Roman" w:cs="Times New Roman"/>
          <w:sz w:val="27"/>
          <w:szCs w:val="27"/>
          <w:lang w:val="ru-RU" w:eastAsia="ru-RU"/>
        </w:rPr>
        <w:t xml:space="preserve"> реаліз</w:t>
      </w:r>
      <w:r w:rsidRPr="00407A55">
        <w:rPr>
          <w:rFonts w:ascii="Times New Roman" w:eastAsia="Times New Roman" w:hAnsi="Times New Roman" w:cs="Times New Roman"/>
          <w:sz w:val="27"/>
          <w:szCs w:val="27"/>
          <w:lang w:eastAsia="ru-RU"/>
        </w:rPr>
        <w:t>овується</w:t>
      </w:r>
      <w:r w:rsidRPr="00407A55">
        <w:rPr>
          <w:rFonts w:ascii="Times New Roman" w:eastAsia="Times New Roman" w:hAnsi="Times New Roman" w:cs="Times New Roman"/>
          <w:sz w:val="27"/>
          <w:szCs w:val="27"/>
          <w:lang w:val="ru-RU" w:eastAsia="ru-RU"/>
        </w:rPr>
        <w:t xml:space="preserve"> проєкт «Ти як?» в рамках Всеукраїнської програми ментального здоровʼя: відкриття Броварського міського Ветернаського центр «Ветеран </w:t>
      </w:r>
      <w:r w:rsidRPr="00407A55">
        <w:rPr>
          <w:rFonts w:ascii="Times New Roman" w:eastAsia="Times New Roman" w:hAnsi="Times New Roman" w:cs="Times New Roman"/>
          <w:sz w:val="27"/>
          <w:szCs w:val="27"/>
          <w:lang w:val="en-US" w:eastAsia="ru-RU"/>
        </w:rPr>
        <w:t>PRO</w:t>
      </w:r>
      <w:r w:rsidRPr="00407A55">
        <w:rPr>
          <w:rFonts w:ascii="Times New Roman" w:eastAsia="Times New Roman" w:hAnsi="Times New Roman" w:cs="Times New Roman"/>
          <w:sz w:val="27"/>
          <w:szCs w:val="27"/>
          <w:lang w:val="ru-RU" w:eastAsia="ru-RU"/>
        </w:rPr>
        <w:t>» - це про ветеранів, для ветеранів, з ветеранами. Центр було</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створено для допомоги як мобілізованим, так і демобілізовим особам, військово службовцям, членам сім'ї загиблого Захисника чи Захисниці, членам родин</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полонених військових ЗСУ, особам, що знаходяться в пошуку безвісти зниклого Захисника чи Захисниці.</w:t>
      </w:r>
    </w:p>
    <w:p w:rsidR="00051B2D" w:rsidRPr="00407A55" w:rsidP="00051B2D" w14:paraId="140C9045"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 громаді працює 5 бібліотек. Бібліотечний фонд складає 113491 прим. книг, з них у сільських бібліотеках – 17656 примірників книг, у звітному періоді бібліотеки відвідали 19721 особа.  </w:t>
      </w:r>
    </w:p>
    <w:p w:rsidR="00051B2D" w:rsidRPr="00407A55" w:rsidP="00051B2D" w14:paraId="410754A0" w14:textId="77777777">
      <w:pPr>
        <w:widowControl w:val="0"/>
        <w:snapToGrid w:val="0"/>
        <w:spacing w:after="0" w:line="240" w:lineRule="auto"/>
        <w:ind w:firstLine="567"/>
        <w:jc w:val="both"/>
        <w:rPr>
          <w:rFonts w:ascii="Times New Roman" w:eastAsia="Times New Roman" w:hAnsi="Times New Roman" w:cs="Times New Roman"/>
          <w:bCs/>
          <w:noProof/>
          <w:snapToGrid w:val="0"/>
          <w:sz w:val="27"/>
          <w:szCs w:val="27"/>
          <w:lang w:eastAsia="ru-RU"/>
        </w:rPr>
      </w:pPr>
      <w:r w:rsidRPr="00407A55">
        <w:rPr>
          <w:rFonts w:ascii="Times New Roman" w:eastAsia="Times New Roman" w:hAnsi="Times New Roman" w:cs="Times New Roman"/>
          <w:bCs/>
          <w:snapToGrid w:val="0"/>
          <w:sz w:val="27"/>
          <w:szCs w:val="27"/>
          <w:lang w:eastAsia="ru-RU"/>
        </w:rPr>
        <w:t xml:space="preserve">На території громади розташовано 38 історичних </w:t>
      </w:r>
      <w:r w:rsidRPr="00407A55">
        <w:rPr>
          <w:rFonts w:ascii="Times New Roman" w:eastAsia="Times New Roman" w:hAnsi="Times New Roman" w:cs="Times New Roman"/>
          <w:bCs/>
          <w:noProof/>
          <w:snapToGrid w:val="0"/>
          <w:sz w:val="27"/>
          <w:szCs w:val="27"/>
          <w:lang w:eastAsia="ru-RU"/>
        </w:rPr>
        <w:t>пам’яток,</w:t>
      </w:r>
      <w:r w:rsidRPr="00407A55">
        <w:rPr>
          <w:rFonts w:ascii="Times New Roman" w:eastAsia="Times New Roman" w:hAnsi="Times New Roman" w:cs="Times New Roman"/>
          <w:bCs/>
          <w:snapToGrid w:val="0"/>
          <w:sz w:val="27"/>
          <w:szCs w:val="27"/>
          <w:lang w:eastAsia="ru-RU"/>
        </w:rPr>
        <w:t xml:space="preserve"> 1 архітектурна </w:t>
      </w:r>
      <w:r w:rsidRPr="00407A55">
        <w:rPr>
          <w:rFonts w:ascii="Times New Roman" w:eastAsia="Times New Roman" w:hAnsi="Times New Roman" w:cs="Times New Roman"/>
          <w:bCs/>
          <w:noProof/>
          <w:snapToGrid w:val="0"/>
          <w:sz w:val="27"/>
          <w:szCs w:val="27"/>
          <w:lang w:eastAsia="ru-RU"/>
        </w:rPr>
        <w:t xml:space="preserve">пам’ятка та </w:t>
      </w:r>
      <w:r w:rsidRPr="00407A55">
        <w:rPr>
          <w:rFonts w:ascii="Times New Roman" w:eastAsia="Times New Roman" w:hAnsi="Times New Roman" w:cs="Times New Roman"/>
          <w:bCs/>
          <w:snapToGrid w:val="0"/>
          <w:sz w:val="27"/>
          <w:szCs w:val="27"/>
          <w:lang w:eastAsia="ru-RU"/>
        </w:rPr>
        <w:t xml:space="preserve">22 </w:t>
      </w:r>
      <w:r w:rsidRPr="00407A55">
        <w:rPr>
          <w:rFonts w:ascii="Times New Roman" w:eastAsia="Times New Roman" w:hAnsi="Times New Roman" w:cs="Times New Roman"/>
          <w:bCs/>
          <w:noProof/>
          <w:snapToGrid w:val="0"/>
          <w:sz w:val="27"/>
          <w:szCs w:val="27"/>
          <w:lang w:eastAsia="ru-RU"/>
        </w:rPr>
        <w:t>пам’ятні та меморіальні дошки. Д</w:t>
      </w:r>
      <w:r w:rsidRPr="00407A55">
        <w:rPr>
          <w:rFonts w:ascii="Times New Roman" w:eastAsia="Times New Roman" w:hAnsi="Times New Roman" w:cs="Times New Roman"/>
          <w:noProof/>
          <w:snapToGrid w:val="0"/>
          <w:sz w:val="27"/>
          <w:szCs w:val="27"/>
          <w:lang w:eastAsia="ru-RU"/>
        </w:rPr>
        <w:t>о Державного реєстру нерухомих памʼяток України включені п</w:t>
      </w:r>
      <w:r w:rsidRPr="00407A55">
        <w:rPr>
          <w:rFonts w:ascii="Times New Roman" w:eastAsia="Times New Roman" w:hAnsi="Times New Roman" w:cs="Times New Roman"/>
          <w:bCs/>
          <w:snapToGrid w:val="0"/>
          <w:sz w:val="27"/>
          <w:szCs w:val="27"/>
          <w:lang w:eastAsia="ru-RU"/>
        </w:rPr>
        <w:t>арк імені Т.Г. Шевченка,  пам’ятник Тарасу Григоровичу Шевченку; місце поховання жертв Другої світової війни.</w:t>
      </w:r>
    </w:p>
    <w:p w:rsidR="00051B2D" w:rsidRPr="00407A55" w:rsidP="00051B2D" w14:paraId="51464262"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Громада має туристично-привабливі об’єкти: крафтове виробництво «Медовий спас»</w:t>
      </w:r>
      <w:r w:rsidRPr="00407A55">
        <w:rPr>
          <w:rFonts w:ascii="Times New Roman" w:eastAsia="Times New Roman" w:hAnsi="Times New Roman" w:cs="Times New Roman"/>
          <w:sz w:val="27"/>
          <w:szCs w:val="27"/>
        </w:rPr>
        <w:t xml:space="preserve"> (учасник регіональної «Дороги вина та смаку Київщини» за підтримки проєкту ЄС «Підтримика розвитку системи географічних значень в Україні»), інклюзивне кафе </w:t>
      </w:r>
      <w:r w:rsidRPr="00407A55">
        <w:rPr>
          <w:rFonts w:ascii="Times New Roman" w:eastAsia="Times New Roman" w:hAnsi="Times New Roman" w:cs="Times New Roman"/>
          <w:sz w:val="27"/>
          <w:szCs w:val="27"/>
          <w:bdr w:val="none" w:sz="0" w:space="0" w:color="auto" w:frame="1"/>
          <w:lang w:eastAsia="ru-RU"/>
        </w:rPr>
        <w:t>«21.3»</w:t>
      </w:r>
      <w:r w:rsidRPr="00407A55">
        <w:rPr>
          <w:rFonts w:ascii="Times New Roman" w:eastAsia="Times New Roman" w:hAnsi="Times New Roman" w:cs="Times New Roman"/>
          <w:sz w:val="27"/>
          <w:szCs w:val="27"/>
        </w:rPr>
        <w:t>, Культурно-інноваційна платформа «ТеПлиця» та культурно-просвітницький центр «СвітЛиця»  (новий формат відпочинку та навчання), п</w:t>
      </w:r>
      <w:r w:rsidRPr="00407A55">
        <w:rPr>
          <w:rFonts w:ascii="Times New Roman" w:eastAsia="Times New Roman" w:hAnsi="Times New Roman" w:cs="Times New Roman"/>
          <w:sz w:val="27"/>
          <w:szCs w:val="27"/>
          <w:lang w:eastAsia="ru-RU"/>
        </w:rPr>
        <w:t xml:space="preserve">арк ім. Т.Г. Шевченка, міський краєзнавчий музей, Майдан Свободи, </w:t>
      </w:r>
      <w:r w:rsidRPr="00407A55">
        <w:rPr>
          <w:rFonts w:ascii="Times New Roman" w:eastAsia="Times New Roman" w:hAnsi="Times New Roman" w:cs="Times New Roman"/>
          <w:sz w:val="27"/>
          <w:szCs w:val="27"/>
          <w:lang w:eastAsia="ru-RU"/>
        </w:rPr>
        <w:t xml:space="preserve">Парк культури та відпочинку «Перемога», </w:t>
      </w:r>
      <w:r w:rsidRPr="00407A55">
        <w:rPr>
          <w:rFonts w:ascii="Times New Roman" w:eastAsia="Times New Roman" w:hAnsi="Times New Roman" w:cs="Times New Roman"/>
          <w:sz w:val="27"/>
          <w:szCs w:val="27"/>
        </w:rPr>
        <w:t>приватний музей «Історія зброї та етнографії»,</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rPr>
        <w:t xml:space="preserve">торговельно-розважальний центр «Термінал», </w:t>
      </w:r>
      <w:r w:rsidRPr="00407A55">
        <w:rPr>
          <w:rFonts w:ascii="Times New Roman" w:eastAsia="Times New Roman" w:hAnsi="Times New Roman" w:cs="Times New Roman"/>
          <w:sz w:val="27"/>
          <w:szCs w:val="27"/>
          <w:lang w:eastAsia="ru-RU"/>
        </w:rPr>
        <w:t>пам’ятний знак «Захисникам України», пам’ятний знак жертвам голодомору та політичних репресій, пам’ятник «Героям Чорнобиля» та інтерактивний «Меморіал пам’яті», в якому представлена інформація про загиблих Захисників.</w:t>
      </w:r>
    </w:p>
    <w:p w:rsidR="00051B2D" w:rsidRPr="00407A55" w:rsidP="00051B2D" w14:paraId="0F6D95A7"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Програма розвитку культури Броварської міської територіальної громади на 2022-2026 роки» у </w:t>
      </w:r>
      <w:r w:rsidRPr="00407A55">
        <w:rPr>
          <w:rFonts w:ascii="Times New Roman" w:eastAsia="Times New Roman" w:hAnsi="Times New Roman" w:cs="Times New Roman"/>
          <w:sz w:val="27"/>
          <w:szCs w:val="27"/>
          <w:lang w:eastAsia="ru-RU"/>
        </w:rPr>
        <w:t xml:space="preserve">І півріччі </w:t>
      </w:r>
      <w:r w:rsidRPr="00407A55">
        <w:rPr>
          <w:rFonts w:ascii="Times New Roman" w:eastAsia="Times New Roman" w:hAnsi="Times New Roman" w:cs="Times New Roman"/>
          <w:sz w:val="27"/>
          <w:szCs w:val="27"/>
          <w:lang w:val="ru-RU" w:eastAsia="ru-RU"/>
        </w:rPr>
        <w:t>202</w:t>
      </w:r>
      <w:r w:rsidRPr="00407A55">
        <w:rPr>
          <w:rFonts w:ascii="Times New Roman" w:eastAsia="Times New Roman" w:hAnsi="Times New Roman" w:cs="Times New Roman"/>
          <w:sz w:val="27"/>
          <w:szCs w:val="27"/>
          <w:lang w:eastAsia="ru-RU"/>
        </w:rPr>
        <w:t>6</w:t>
      </w:r>
      <w:r w:rsidRPr="00407A55">
        <w:rPr>
          <w:rFonts w:ascii="Times New Roman" w:eastAsia="Times New Roman" w:hAnsi="Times New Roman" w:cs="Times New Roman"/>
          <w:sz w:val="27"/>
          <w:szCs w:val="27"/>
          <w:lang w:val="ru-RU" w:eastAsia="ru-RU"/>
        </w:rPr>
        <w:t xml:space="preserve"> ро</w:t>
      </w:r>
      <w:r w:rsidRPr="00407A55">
        <w:rPr>
          <w:rFonts w:ascii="Times New Roman" w:eastAsia="Times New Roman" w:hAnsi="Times New Roman" w:cs="Times New Roman"/>
          <w:sz w:val="27"/>
          <w:szCs w:val="27"/>
          <w:lang w:eastAsia="ru-RU"/>
        </w:rPr>
        <w:t>ку</w:t>
      </w:r>
      <w:r w:rsidRPr="00407A55">
        <w:rPr>
          <w:rFonts w:ascii="Times New Roman" w:eastAsia="Times New Roman" w:hAnsi="Times New Roman" w:cs="Times New Roman"/>
          <w:sz w:val="27"/>
          <w:szCs w:val="27"/>
          <w:lang w:val="ru-RU" w:eastAsia="ru-RU"/>
        </w:rPr>
        <w:t xml:space="preserve"> була профінансована на </w:t>
      </w:r>
      <w:r w:rsidRPr="00407A55">
        <w:rPr>
          <w:rFonts w:ascii="Times New Roman" w:eastAsia="Times New Roman" w:hAnsi="Times New Roman" w:cs="Times New Roman"/>
          <w:sz w:val="27"/>
          <w:szCs w:val="27"/>
          <w:lang w:eastAsia="ru-RU"/>
        </w:rPr>
        <w:t>345,3</w:t>
      </w:r>
      <w:r w:rsidRPr="00407A55">
        <w:rPr>
          <w:rFonts w:ascii="Times New Roman" w:eastAsia="Times New Roman" w:hAnsi="Times New Roman" w:cs="Times New Roman"/>
          <w:sz w:val="27"/>
          <w:szCs w:val="27"/>
          <w:lang w:val="ru-RU" w:eastAsia="ru-RU"/>
        </w:rPr>
        <w:t xml:space="preserve"> тис.грн.</w:t>
      </w:r>
    </w:p>
    <w:p w:rsidR="00051B2D" w:rsidRPr="00407A55" w:rsidP="00051B2D" w14:paraId="7A12D84B" w14:textId="77777777">
      <w:pPr>
        <w:tabs>
          <w:tab w:val="left" w:pos="0"/>
        </w:tabs>
        <w:spacing w:after="0" w:line="240" w:lineRule="auto"/>
        <w:ind w:firstLine="567"/>
        <w:jc w:val="both"/>
        <w:rPr>
          <w:rFonts w:ascii="Times New Roman" w:eastAsia="Times New Roman" w:hAnsi="Times New Roman" w:cs="Times New Roman"/>
          <w:sz w:val="27"/>
          <w:szCs w:val="27"/>
          <w:lang w:val="ru-RU" w:eastAsia="ru-RU"/>
        </w:rPr>
      </w:pPr>
    </w:p>
    <w:p w:rsidR="00051B2D" w:rsidRPr="00407A55" w:rsidP="00051B2D" w14:paraId="4000B107" w14:textId="77777777">
      <w:pPr>
        <w:spacing w:after="0" w:line="240" w:lineRule="auto"/>
        <w:ind w:firstLine="567"/>
        <w:jc w:val="center"/>
        <w:rPr>
          <w:rFonts w:ascii="Times New Roman" w:eastAsia="Times New Roman" w:hAnsi="Times New Roman" w:cs="Times New Roman"/>
          <w:b/>
          <w:i/>
          <w:iCs/>
          <w:color w:val="000000"/>
          <w:spacing w:val="-2"/>
          <w:sz w:val="27"/>
          <w:szCs w:val="27"/>
          <w:lang w:eastAsia="ru-RU"/>
        </w:rPr>
      </w:pPr>
      <w:r w:rsidRPr="00407A55">
        <w:rPr>
          <w:rFonts w:ascii="Times New Roman" w:eastAsia="Times New Roman" w:hAnsi="Times New Roman" w:cs="Times New Roman"/>
          <w:b/>
          <w:i/>
          <w:iCs/>
          <w:color w:val="000000"/>
          <w:spacing w:val="-2"/>
          <w:sz w:val="27"/>
          <w:szCs w:val="27"/>
          <w:lang w:eastAsia="ru-RU"/>
        </w:rPr>
        <w:t>Розвиток фізичної культури та спорту</w:t>
      </w:r>
    </w:p>
    <w:p w:rsidR="00051B2D" w:rsidRPr="00407A55" w:rsidP="00051B2D" w14:paraId="75943614"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Розвитку фізичної культури та спорту в громаді приділяється належна увага.  </w:t>
      </w:r>
    </w:p>
    <w:p w:rsidR="00051B2D" w:rsidRPr="00407A55" w:rsidP="00051B2D" w14:paraId="51EB839E"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На території громади розвивається 27 видів спорту та функціонують дві дитячо-юнацькі спортивні школи (далі - ДЮСШ), КП БМР КО «Міський футбольний клуб «Бровари» (даді – МФК «Бровари»), КП «Оздоровчо-реабілітаційний центр» БМР БР КО (далі – КП «ОРЦ»), Фізкультурно-оздоровчий заклад «Плавальний басейн «КУПАВА»  (далі - Плавальний басейн «Купава»), спортивний комплекс «Світлотехнік» та КНП БМР БР КО «Центр фізичного здоров’я».</w:t>
      </w:r>
    </w:p>
    <w:p w:rsidR="00051B2D" w:rsidRPr="00407A55" w:rsidP="00051B2D" w14:paraId="53252308"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ДЮСШ І категорії забезпечує навчально-тренувальний процес для понад 700 вихованців. Навчально-розвивальну та спортивну роботу здійснюють 48 тренерів-викладачів з 13 видів спорту: баскетбол, бокс, вільна боротьба, карате кіокушинкай, ушу, єдиноборства, легка атлетика, пауерліфтинг, рукопашний бій, теніс настільний, фехтування, хортинг та шахи.</w:t>
      </w:r>
    </w:p>
    <w:p w:rsidR="00051B2D" w:rsidRPr="00407A55" w:rsidP="00051B2D" w14:paraId="52BDD38E"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Протягом І півріччя 2026 року вихованці ДЮСШ брали активну участь в обласних, всеукраїнських та міжнародних змаганнях. За результатами виступів юні спортсмени вибороли низьку нагород і медалей різних ґатунків, гідно представивши школу на міжнародній та всеукраїнській аренах.</w:t>
      </w:r>
    </w:p>
    <w:p w:rsidR="00051B2D" w:rsidRPr="00407A55" w:rsidP="00051B2D" w14:paraId="5769CCC5"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eastAsia="ru-RU"/>
        </w:rPr>
        <w:t>МФК</w:t>
      </w:r>
      <w:r w:rsidRPr="00407A55">
        <w:rPr>
          <w:rFonts w:ascii="Times New Roman" w:eastAsia="Times New Roman" w:hAnsi="Times New Roman" w:cs="Times New Roman"/>
          <w:sz w:val="27"/>
          <w:szCs w:val="27"/>
          <w:lang w:val="ru-RU" w:eastAsia="ru-RU"/>
        </w:rPr>
        <w:t xml:space="preserve"> «Бровари» </w:t>
      </w:r>
      <w:r w:rsidRPr="00407A55">
        <w:rPr>
          <w:rFonts w:ascii="Times New Roman" w:eastAsia="Times New Roman" w:hAnsi="Times New Roman" w:cs="Times New Roman"/>
          <w:sz w:val="27"/>
          <w:szCs w:val="27"/>
          <w:lang w:eastAsia="ru-RU"/>
        </w:rPr>
        <w:t xml:space="preserve">функціонує з </w:t>
      </w:r>
      <w:r w:rsidRPr="00407A55">
        <w:rPr>
          <w:rFonts w:ascii="Times New Roman" w:eastAsia="Times New Roman" w:hAnsi="Times New Roman" w:cs="Times New Roman"/>
          <w:sz w:val="27"/>
          <w:szCs w:val="27"/>
          <w:lang w:val="ru-RU" w:eastAsia="ru-RU"/>
        </w:rPr>
        <w:t xml:space="preserve"> 2019 ро</w:t>
      </w:r>
      <w:r w:rsidRPr="00407A55">
        <w:rPr>
          <w:rFonts w:ascii="Times New Roman" w:eastAsia="Times New Roman" w:hAnsi="Times New Roman" w:cs="Times New Roman"/>
          <w:sz w:val="27"/>
          <w:szCs w:val="27"/>
          <w:lang w:eastAsia="ru-RU"/>
        </w:rPr>
        <w:t>ку</w:t>
      </w:r>
      <w:r w:rsidRPr="00407A55">
        <w:rPr>
          <w:rFonts w:ascii="Times New Roman" w:eastAsia="Times New Roman" w:hAnsi="Times New Roman" w:cs="Times New Roman"/>
          <w:sz w:val="27"/>
          <w:szCs w:val="27"/>
          <w:lang w:val="ru-RU" w:eastAsia="ru-RU"/>
        </w:rPr>
        <w:t>. До матеріально-технічної бази клубу належать</w:t>
      </w:r>
      <w:r w:rsidRPr="00407A55">
        <w:rPr>
          <w:rFonts w:ascii="Times New Roman" w:eastAsia="Times New Roman" w:hAnsi="Times New Roman" w:cs="Times New Roman"/>
          <w:sz w:val="27"/>
          <w:szCs w:val="27"/>
          <w:lang w:eastAsia="ru-RU"/>
        </w:rPr>
        <w:t xml:space="preserve"> п</w:t>
      </w:r>
      <w:r w:rsidRPr="00407A55">
        <w:rPr>
          <w:rFonts w:ascii="Times New Roman" w:eastAsia="Times New Roman" w:hAnsi="Times New Roman" w:cs="Times New Roman"/>
          <w:sz w:val="27"/>
          <w:szCs w:val="27"/>
          <w:lang w:val="ru-RU" w:eastAsia="ru-RU"/>
        </w:rPr>
        <w:t>овнорозмірне футбольне поле з трибунами для глядачів</w:t>
      </w:r>
      <w:r w:rsidRPr="00407A55">
        <w:rPr>
          <w:rFonts w:ascii="Times New Roman" w:eastAsia="Times New Roman" w:hAnsi="Times New Roman" w:cs="Times New Roman"/>
          <w:sz w:val="27"/>
          <w:szCs w:val="27"/>
          <w:lang w:eastAsia="ru-RU"/>
        </w:rPr>
        <w:t xml:space="preserve"> та </w:t>
      </w:r>
      <w:r w:rsidRPr="00407A55">
        <w:rPr>
          <w:rFonts w:ascii="Times New Roman" w:eastAsia="Times New Roman" w:hAnsi="Times New Roman" w:cs="Times New Roman"/>
          <w:sz w:val="27"/>
          <w:szCs w:val="27"/>
          <w:lang w:val="ru-RU" w:eastAsia="ru-RU"/>
        </w:rPr>
        <w:t xml:space="preserve">5 сучасних спортивних </w:t>
      </w:r>
      <w:r w:rsidRPr="00407A55">
        <w:rPr>
          <w:rFonts w:ascii="Times New Roman" w:eastAsia="Times New Roman" w:hAnsi="Times New Roman" w:cs="Times New Roman"/>
          <w:sz w:val="27"/>
          <w:szCs w:val="27"/>
          <w:lang w:eastAsia="ru-RU"/>
        </w:rPr>
        <w:t>ма</w:t>
      </w:r>
      <w:r w:rsidRPr="00407A55">
        <w:rPr>
          <w:rFonts w:ascii="Times New Roman" w:eastAsia="Times New Roman" w:hAnsi="Times New Roman" w:cs="Times New Roman"/>
          <w:sz w:val="27"/>
          <w:szCs w:val="27"/>
          <w:lang w:val="ru-RU" w:eastAsia="ru-RU"/>
        </w:rPr>
        <w:t>йданчиків.</w:t>
      </w:r>
    </w:p>
    <w:p w:rsidR="00051B2D" w:rsidRPr="00407A55" w:rsidP="00051B2D" w14:paraId="10E187C6" w14:textId="77777777">
      <w:pPr>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lang w:eastAsia="ru-RU"/>
        </w:rPr>
        <w:t>З початку</w:t>
      </w:r>
      <w:r w:rsidRPr="00407A55">
        <w:rPr>
          <w:rFonts w:ascii="Times New Roman" w:eastAsia="Times New Roman" w:hAnsi="Times New Roman" w:cs="Times New Roman"/>
          <w:sz w:val="27"/>
          <w:szCs w:val="27"/>
          <w:lang w:val="ru-RU" w:eastAsia="ru-RU"/>
        </w:rPr>
        <w:t xml:space="preserve"> 2026 року в клубі займалися 330 вихованців віком від 4 до 16 років</w:t>
      </w:r>
      <w:r w:rsidRPr="00407A55">
        <w:rPr>
          <w:rFonts w:ascii="Times New Roman" w:eastAsia="Times New Roman" w:hAnsi="Times New Roman" w:cs="Times New Roman"/>
          <w:sz w:val="27"/>
          <w:szCs w:val="27"/>
          <w:lang w:eastAsia="ru-RU"/>
        </w:rPr>
        <w:t xml:space="preserve">, в тому числі: </w:t>
      </w:r>
    </w:p>
    <w:p w:rsidR="00051B2D" w:rsidRPr="00407A55" w:rsidP="00051B2D" w14:paraId="3722611D" w14:textId="77777777">
      <w:pPr>
        <w:numPr>
          <w:ilvl w:val="0"/>
          <w:numId w:val="5"/>
        </w:numPr>
        <w:spacing w:after="0" w:line="240" w:lineRule="auto"/>
        <w:ind w:hanging="153"/>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50 осіб — діти учасників бойових дій (УБД);</w:t>
      </w:r>
    </w:p>
    <w:p w:rsidR="00051B2D" w:rsidRPr="00407A55" w:rsidP="00051B2D" w14:paraId="3CF4797D" w14:textId="77777777">
      <w:pPr>
        <w:numPr>
          <w:ilvl w:val="0"/>
          <w:numId w:val="5"/>
        </w:numPr>
        <w:spacing w:after="0" w:line="240" w:lineRule="auto"/>
        <w:ind w:hanging="153"/>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31 особа — внутрішньо переміщені особи (ВПО);</w:t>
      </w:r>
    </w:p>
    <w:p w:rsidR="00051B2D" w:rsidRPr="00407A55" w:rsidP="00051B2D" w14:paraId="09E59617" w14:textId="77777777">
      <w:pPr>
        <w:numPr>
          <w:ilvl w:val="0"/>
          <w:numId w:val="5"/>
        </w:numPr>
        <w:spacing w:after="0" w:line="240" w:lineRule="auto"/>
        <w:ind w:hanging="153"/>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8 осіб — інші пільгові категорії.</w:t>
      </w:r>
    </w:p>
    <w:p w:rsidR="00051B2D" w:rsidRPr="00407A55" w:rsidP="00051B2D" w14:paraId="47BBB67D"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val="ru-RU" w:eastAsia="ru-RU"/>
        </w:rPr>
        <w:t>Команди МФК «Бровари» є постійними учасниками турнірів та матчів різних рівнів — від міських зустрічей до Чемпіонатів України та Всеукраїнських турнірів. За поточний сезон вихованці клубу взяли участь у 18 турнірах</w:t>
      </w:r>
      <w:r w:rsidRPr="00407A55">
        <w:rPr>
          <w:rFonts w:ascii="Times New Roman" w:eastAsia="Times New Roman" w:hAnsi="Times New Roman" w:cs="Times New Roman"/>
          <w:sz w:val="27"/>
          <w:szCs w:val="27"/>
          <w:lang w:eastAsia="ru-RU"/>
        </w:rPr>
        <w:t>.</w:t>
      </w:r>
    </w:p>
    <w:p w:rsidR="00051B2D" w:rsidRPr="00407A55" w:rsidP="00051B2D" w14:paraId="0754B3DA"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У звітному періоді Програму фінсової підтримки комунального підприємства Броварської міської ради Броварського району Київської області «Міський футбольний клуб «Бровари» на 2022-2026 роки профінансовано в сумі 1649,7 тис. грн.</w:t>
      </w:r>
    </w:p>
    <w:p w:rsidR="00051B2D" w:rsidRPr="00407A55" w:rsidP="00051B2D" w14:paraId="57846EE3"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Особливу увагу КП «ОРЦ» приділяє забезпеченню доступності послуг для пільгових категорій населення, зокрема ветеранів війни, Захисників і Захисниць України, членів сімей загиблих Героїв, осіб з інвалідністю, дітей та інших соціально вразливих груп. </w:t>
      </w:r>
    </w:p>
    <w:p w:rsidR="00051B2D" w:rsidRPr="00407A55" w:rsidP="00051B2D" w14:paraId="0E9ED941" w14:textId="77777777">
      <w:pPr>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lang w:eastAsia="ru-RU"/>
        </w:rPr>
        <w:t>У І півріччі КП «ОРЦ» відвідали 18417 осіб, в тому числі безоплатно 1166 Захисників і Захисниць України, а також члени сімей загиблих чи зниклих безвісти Героїв.</w:t>
      </w:r>
    </w:p>
    <w:p w:rsidR="00051B2D" w:rsidRPr="00407A55" w:rsidP="00051B2D" w14:paraId="7F013D78"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У звітному періоді Програму фінсової підтримки комунального підприємства «Оздоровчо-реабілітаційного центру» Броварської міської ради Броварського району Київської області на 2022-2026 роки профінансовано в сумі 3514,9 тис. грн.</w:t>
      </w:r>
    </w:p>
    <w:p w:rsidR="00051B2D" w:rsidRPr="00407A55" w:rsidP="00051B2D" w14:paraId="6DA020E6"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Плавальний басейн «КУПАВА» є потужною базою олімпійської, паралімпійської та дефлімпійської підготовки збірних команд України.</w:t>
      </w:r>
    </w:p>
    <w:p w:rsidR="00051B2D" w:rsidRPr="00407A55" w:rsidP="00051B2D" w14:paraId="331AFE95"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На базі </w:t>
      </w:r>
      <w:r w:rsidRPr="00407A55">
        <w:rPr>
          <w:rFonts w:ascii="Times New Roman" w:eastAsia="Times New Roman" w:hAnsi="Times New Roman" w:cs="Times New Roman"/>
          <w:sz w:val="27"/>
          <w:szCs w:val="27"/>
          <w:lang w:eastAsia="ru-RU"/>
        </w:rPr>
        <w:t xml:space="preserve">плавального </w:t>
      </w:r>
      <w:r w:rsidRPr="00407A55">
        <w:rPr>
          <w:rFonts w:ascii="Times New Roman" w:eastAsia="Times New Roman" w:hAnsi="Times New Roman" w:cs="Times New Roman"/>
          <w:sz w:val="27"/>
          <w:szCs w:val="27"/>
          <w:lang w:val="ru-RU" w:eastAsia="ru-RU"/>
        </w:rPr>
        <w:t>басейну «Купава» регулярно проходять тренування та довготривалі навчально-тренувальні збори для</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вихованців ДЮСШ</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студентів Київського обласного спортивно-фахового коледжу</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спортсменів Центру олімпійської підготовки</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представників Київського регіонального центру «Інваспорт»</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збірних команд Київської області та України.</w:t>
      </w:r>
    </w:p>
    <w:p w:rsidR="00051B2D" w:rsidRPr="00407A55" w:rsidP="00051B2D" w14:paraId="2DA56AAE" w14:textId="77777777">
      <w:pPr>
        <w:spacing w:after="0" w:line="240" w:lineRule="auto"/>
        <w:ind w:firstLine="567"/>
        <w:jc w:val="both"/>
        <w:rPr>
          <w:rFonts w:ascii="Times New Roman" w:eastAsia="Calibri" w:hAnsi="Times New Roman" w:cs="Times New Roman"/>
          <w:bCs/>
          <w:color w:val="000000"/>
          <w:sz w:val="27"/>
          <w:szCs w:val="27"/>
          <w:shd w:val="clear" w:color="auto" w:fill="FFFFFF"/>
          <w:lang w:eastAsia="en-US"/>
        </w:rPr>
      </w:pPr>
      <w:r w:rsidRPr="00407A55">
        <w:rPr>
          <w:rFonts w:ascii="Times New Roman" w:eastAsia="Calibri" w:hAnsi="Times New Roman" w:cs="Times New Roman"/>
          <w:bCs/>
          <w:color w:val="000000"/>
          <w:sz w:val="27"/>
          <w:szCs w:val="27"/>
          <w:shd w:val="clear" w:color="auto" w:fill="FFFFFF"/>
          <w:lang w:eastAsia="en-US"/>
        </w:rPr>
        <w:t>З метою реабілітації ветеранів та військовослужбовців, дітей з інвалідністю проводяться безкоштовні заняття:</w:t>
      </w:r>
    </w:p>
    <w:p w:rsidR="00051B2D" w:rsidRPr="00407A55" w:rsidP="00051B2D" w14:paraId="3DFA52CD" w14:textId="77777777">
      <w:pPr>
        <w:numPr>
          <w:ilvl w:val="0"/>
          <w:numId w:val="6"/>
        </w:numPr>
        <w:spacing w:after="0" w:line="240" w:lineRule="auto"/>
        <w:ind w:left="0"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оздоровчо-реабілітаційні заняття з плавання (вільне відвідування);</w:t>
      </w:r>
    </w:p>
    <w:p w:rsidR="00051B2D" w:rsidRPr="00407A55" w:rsidP="00051B2D" w14:paraId="47476826" w14:textId="77777777">
      <w:pPr>
        <w:numPr>
          <w:ilvl w:val="0"/>
          <w:numId w:val="6"/>
        </w:numPr>
        <w:spacing w:after="0" w:line="240" w:lineRule="auto"/>
        <w:ind w:left="0"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фізкультурно-оздоровчі заняття з плавання 4 Військових частин (групові);</w:t>
      </w:r>
    </w:p>
    <w:p w:rsidR="00051B2D" w:rsidRPr="00407A55" w:rsidP="00051B2D" w14:paraId="1973664E" w14:textId="77777777">
      <w:pPr>
        <w:numPr>
          <w:ilvl w:val="0"/>
          <w:numId w:val="6"/>
        </w:numPr>
        <w:spacing w:after="0" w:line="240" w:lineRule="auto"/>
        <w:ind w:left="0"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реабілітаційні заняття з плавання військовослужбовців, які проходять лікування у Броварській лікарні під супроводом лікарів фізіотерапевтів;</w:t>
      </w:r>
    </w:p>
    <w:p w:rsidR="00051B2D" w:rsidRPr="00407A55" w:rsidP="00051B2D" w14:paraId="7B287268" w14:textId="77777777">
      <w:pPr>
        <w:numPr>
          <w:ilvl w:val="0"/>
          <w:numId w:val="6"/>
        </w:numPr>
        <w:spacing w:after="0" w:line="240" w:lineRule="auto"/>
        <w:ind w:left="0"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членів сімей загиблих Захисників і Захисниць України (вільне відвідування).</w:t>
      </w:r>
    </w:p>
    <w:p w:rsidR="00051B2D" w:rsidRPr="00407A55" w:rsidP="00051B2D" w14:paraId="59BA0933"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На базі спортивного комплексу «Світлотехнік» діють секції та гуртки з акробатики, боксу, гандболу, тенісу, таїландського боксу, фехтування, футболу, а також проводить свою роботу дитячо-юнацька спортивна школа з ушу та єдиноборств. </w:t>
      </w:r>
    </w:p>
    <w:p w:rsidR="00051B2D" w:rsidRPr="00407A55" w:rsidP="00051B2D" w14:paraId="50FFC876"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З метою створення сприятливих умов для реалізації права громадян на заняття фізичною культурою та спортом, сприяння розвитку адаптивного спорту, відновлення ветеранів війни та людей з інвалідністю </w:t>
      </w:r>
      <w:r w:rsidRPr="00407A55">
        <w:rPr>
          <w:rFonts w:ascii="Times New Roman" w:eastAsia="Times New Roman" w:hAnsi="Times New Roman" w:cs="Times New Roman"/>
          <w:color w:val="000000"/>
          <w:sz w:val="27"/>
          <w:szCs w:val="27"/>
          <w:lang w:eastAsia="ru-RU"/>
        </w:rPr>
        <w:t>рішенням сесії Броварської міської ради від</w:t>
      </w:r>
      <w:r w:rsidRPr="00407A55">
        <w:rPr>
          <w:rFonts w:ascii="Times New Roman" w:eastAsia="Times New Roman" w:hAnsi="Times New Roman" w:cs="Times New Roman"/>
          <w:sz w:val="27"/>
          <w:szCs w:val="27"/>
          <w:lang w:eastAsia="ru-RU"/>
        </w:rPr>
        <w:t xml:space="preserve"> 30.04.2026 № 2698-116-08 створено Комунальне некомерційне товариство Броварської міської ради Броварського району Київської області «Центр фізичного здоров’я». У звітному періоді центром проведено 11 інформаційно-просвітницьких зустрічей з ветеранами війни.</w:t>
      </w:r>
    </w:p>
    <w:p w:rsidR="00051B2D" w:rsidRPr="00407A55" w:rsidP="00051B2D" w14:paraId="7FBA3606"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color w:val="000000"/>
          <w:sz w:val="27"/>
          <w:szCs w:val="27"/>
          <w:lang w:eastAsia="ru-RU"/>
        </w:rPr>
        <w:t xml:space="preserve">Загалом у громаді у звітному періоді </w:t>
      </w:r>
      <w:bookmarkStart w:id="9" w:name="OLE_LINK1"/>
      <w:r w:rsidRPr="00407A55">
        <w:rPr>
          <w:rFonts w:ascii="Times New Roman" w:eastAsia="Times New Roman" w:hAnsi="Times New Roman" w:cs="Times New Roman"/>
          <w:color w:val="000000"/>
          <w:sz w:val="27"/>
          <w:szCs w:val="27"/>
          <w:lang w:eastAsia="ru-RU"/>
        </w:rPr>
        <w:t>проведено 123 спортивно-масових заходів</w:t>
      </w:r>
      <w:bookmarkEnd w:id="9"/>
      <w:r w:rsidRPr="00407A55">
        <w:rPr>
          <w:rFonts w:ascii="Times New Roman" w:eastAsia="Times New Roman" w:hAnsi="Times New Roman" w:cs="Times New Roman"/>
          <w:color w:val="000000"/>
          <w:sz w:val="27"/>
          <w:szCs w:val="27"/>
          <w:lang w:eastAsia="ru-RU"/>
        </w:rPr>
        <w:t>,</w:t>
      </w:r>
      <w:r w:rsidRPr="00407A55">
        <w:rPr>
          <w:rFonts w:ascii="Times New Roman" w:eastAsia="Times New Roman" w:hAnsi="Times New Roman" w:cs="Times New Roman"/>
          <w:sz w:val="27"/>
          <w:szCs w:val="27"/>
          <w:lang w:eastAsia="ru-RU"/>
        </w:rPr>
        <w:t xml:space="preserve"> в яких прийняло участь більше 1000 спортсменів різних вікових категорій.</w:t>
      </w:r>
    </w:p>
    <w:p w:rsidR="00051B2D" w:rsidRPr="00407A55" w:rsidP="00051B2D" w14:paraId="25B7783F"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Кількість проведених спортивно-масових заходів у 2025-2026 роках</w:t>
      </w:r>
    </w:p>
    <w:p w:rsidR="00051B2D" w:rsidRPr="00407A55" w:rsidP="00051B2D" w14:paraId="0A8CCA4D"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noProof/>
          <w:sz w:val="27"/>
          <w:szCs w:val="27"/>
          <w:lang w:val="ru-RU" w:eastAsia="ru-RU"/>
        </w:rPr>
        <w:drawing>
          <wp:inline distT="0" distB="0" distL="0" distR="0">
            <wp:extent cx="5610225" cy="2209800"/>
            <wp:effectExtent l="0" t="0" r="9525"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51B2D" w:rsidRPr="00407A55" w:rsidP="00051B2D" w14:paraId="5639B567"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color w:val="000000"/>
          <w:sz w:val="27"/>
          <w:szCs w:val="27"/>
          <w:lang w:eastAsia="ru-RU"/>
        </w:rPr>
        <w:t>Відділом фізичної культури та спорту Броварської міської ради, управлінням з питань ветеранської політики Броварської міської ради та Броварським МВЦ «ВЕТЕРАН ПРО» була започаткована Ветеранська ліга Броварської громади «Сталева воля», яка включає в себе змагання з різних видів спорту. У змаганнях мають змогу взяти участь ветерани, учасники бойових дій.</w:t>
      </w:r>
    </w:p>
    <w:p w:rsidR="00051B2D" w:rsidRPr="00407A55" w:rsidP="00051B2D" w14:paraId="7EF10A8E"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Відповідно до Програми розвитку фізичної культури і спорту Броварської міської територіальної громади на 2022-2026 роки, у звітному періоді заходи профінансовано в сумі 2315,3 тис. грн. </w:t>
      </w:r>
    </w:p>
    <w:p w:rsidR="00051B2D" w:rsidRPr="00407A55" w:rsidP="00051B2D" w14:paraId="002ED723"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 xml:space="preserve">Фінансування Програми розвитку фізичної </w:t>
      </w:r>
    </w:p>
    <w:p w:rsidR="00051B2D" w:rsidRPr="00407A55" w:rsidP="00051B2D" w14:paraId="1FFFFC69"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 xml:space="preserve">культури і спорту Броварської міської територіальної </w:t>
      </w:r>
    </w:p>
    <w:p w:rsidR="00051B2D" w:rsidRPr="00407A55" w:rsidP="00051B2D" w14:paraId="3A82FF72"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громади на 2022-2026 роки, (тис. грн.)</w:t>
      </w:r>
    </w:p>
    <w:p w:rsidR="00051B2D" w:rsidRPr="00407A55" w:rsidP="00051B2D" w14:paraId="4E8E7C39"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noProof/>
          <w:sz w:val="27"/>
          <w:szCs w:val="27"/>
          <w:lang w:eastAsia="ru-RU"/>
        </w:rPr>
        <w:drawing>
          <wp:inline distT="0" distB="0" distL="0" distR="0">
            <wp:extent cx="5701030" cy="2989580"/>
            <wp:effectExtent l="0" t="0" r="13970" b="127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51B2D" w:rsidRPr="00407A55" w:rsidP="00051B2D" w14:paraId="4B407F4E"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eastAsia="ru-RU"/>
        </w:rPr>
      </w:pPr>
    </w:p>
    <w:p w:rsidR="00051B2D" w:rsidRPr="00407A55" w:rsidP="00051B2D" w14:paraId="0460C30F" w14:textId="77777777">
      <w:pPr>
        <w:spacing w:after="0" w:line="240" w:lineRule="auto"/>
        <w:ind w:firstLine="567"/>
        <w:jc w:val="center"/>
        <w:rPr>
          <w:rFonts w:ascii="Times New Roman" w:eastAsia="Times New Roman" w:hAnsi="Times New Roman" w:cs="Times New Roman"/>
          <w:b/>
          <w:bCs/>
          <w:i/>
          <w:iCs/>
          <w:sz w:val="27"/>
          <w:szCs w:val="27"/>
          <w:lang w:eastAsia="ru-RU"/>
        </w:rPr>
      </w:pPr>
      <w:r w:rsidRPr="00407A55">
        <w:rPr>
          <w:rFonts w:ascii="Times New Roman" w:eastAsia="Times New Roman" w:hAnsi="Times New Roman" w:cs="Times New Roman"/>
          <w:sz w:val="27"/>
          <w:szCs w:val="27"/>
        </w:rPr>
        <w:t xml:space="preserve">    </w:t>
      </w:r>
      <w:r w:rsidRPr="00407A55">
        <w:rPr>
          <w:rFonts w:ascii="Times New Roman" w:eastAsia="Times New Roman" w:hAnsi="Times New Roman" w:cs="Times New Roman"/>
          <w:b/>
          <w:sz w:val="27"/>
          <w:szCs w:val="27"/>
          <w:lang w:eastAsia="ru-RU"/>
        </w:rPr>
        <w:t xml:space="preserve">       </w:t>
      </w:r>
      <w:r w:rsidRPr="00407A55">
        <w:rPr>
          <w:rFonts w:ascii="Times New Roman" w:eastAsia="Times New Roman" w:hAnsi="Times New Roman" w:cs="Times New Roman"/>
          <w:b/>
          <w:bCs/>
          <w:i/>
          <w:iCs/>
          <w:sz w:val="27"/>
          <w:szCs w:val="27"/>
          <w:lang w:eastAsia="ru-RU"/>
        </w:rPr>
        <w:t>Житлово-комунальне господарство, енергозабезпечення та енергозбереження, екологічна безпека</w:t>
      </w:r>
    </w:p>
    <w:p w:rsidR="00051B2D" w:rsidRPr="00407A55" w:rsidP="00051B2D" w14:paraId="0F27C342"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Житлово-комунальне господарство громади в</w:t>
      </w:r>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color w:val="000000"/>
          <w:sz w:val="27"/>
          <w:szCs w:val="27"/>
          <w:lang w:val="ru-RU" w:eastAsia="ru-RU"/>
        </w:rPr>
        <w:t>202</w:t>
      </w:r>
      <w:r w:rsidRPr="00407A55">
        <w:rPr>
          <w:rFonts w:ascii="Times New Roman" w:eastAsia="Times New Roman" w:hAnsi="Times New Roman" w:cs="Times New Roman"/>
          <w:color w:val="000000"/>
          <w:sz w:val="27"/>
          <w:szCs w:val="27"/>
          <w:lang w:eastAsia="ru-RU"/>
        </w:rPr>
        <w:t>5</w:t>
      </w:r>
      <w:r w:rsidRPr="00407A55">
        <w:rPr>
          <w:rFonts w:ascii="Times New Roman" w:eastAsia="Times New Roman" w:hAnsi="Times New Roman" w:cs="Times New Roman"/>
          <w:color w:val="000000"/>
          <w:sz w:val="27"/>
          <w:szCs w:val="27"/>
          <w:lang w:val="ru-RU" w:eastAsia="ru-RU"/>
        </w:rPr>
        <w:t xml:space="preserve"> ро</w:t>
      </w:r>
      <w:r w:rsidRPr="00407A55">
        <w:rPr>
          <w:rFonts w:ascii="Times New Roman" w:eastAsia="Times New Roman" w:hAnsi="Times New Roman" w:cs="Times New Roman"/>
          <w:color w:val="000000"/>
          <w:sz w:val="27"/>
          <w:szCs w:val="27"/>
          <w:lang w:eastAsia="ru-RU"/>
        </w:rPr>
        <w:t>ці</w:t>
      </w:r>
      <w:r w:rsidRPr="00407A55">
        <w:rPr>
          <w:rFonts w:ascii="Times New Roman" w:eastAsia="Times New Roman" w:hAnsi="Times New Roman" w:cs="Times New Roman"/>
          <w:color w:val="000000"/>
          <w:sz w:val="27"/>
          <w:szCs w:val="27"/>
          <w:lang w:val="ru-RU" w:eastAsia="ru-RU"/>
        </w:rPr>
        <w:t xml:space="preserve"> забезпечувало виконання всіх потреб громади. Фінансування заходів здійснювалось в межах коштів «Програм</w:t>
      </w:r>
      <w:r w:rsidRPr="00407A55">
        <w:rPr>
          <w:rFonts w:ascii="Times New Roman" w:eastAsia="Times New Roman" w:hAnsi="Times New Roman" w:cs="Times New Roman"/>
          <w:color w:val="000000"/>
          <w:sz w:val="27"/>
          <w:szCs w:val="27"/>
          <w:lang w:eastAsia="ru-RU"/>
        </w:rPr>
        <w:t>и</w:t>
      </w:r>
      <w:r w:rsidRPr="00407A55">
        <w:rPr>
          <w:rFonts w:ascii="Times New Roman" w:eastAsia="Times New Roman" w:hAnsi="Times New Roman" w:cs="Times New Roman"/>
          <w:color w:val="000000"/>
          <w:sz w:val="27"/>
          <w:szCs w:val="27"/>
          <w:lang w:val="ru-RU" w:eastAsia="ru-RU"/>
        </w:rPr>
        <w:t xml:space="preserve"> будівництва, капітального ремонту, утримання об'єктів благоустрою та соціально-культурного призначення Броварської міської територіальної громади на 2025-2029 роки». У </w:t>
      </w:r>
      <w:r w:rsidRPr="00407A55">
        <w:rPr>
          <w:rFonts w:ascii="Times New Roman" w:eastAsia="Times New Roman" w:hAnsi="Times New Roman" w:cs="Times New Roman"/>
          <w:color w:val="000000"/>
          <w:sz w:val="27"/>
          <w:szCs w:val="27"/>
          <w:lang w:eastAsia="ru-RU"/>
        </w:rPr>
        <w:t>звітному періоді</w:t>
      </w:r>
      <w:r w:rsidRPr="00407A55">
        <w:rPr>
          <w:rFonts w:ascii="Times New Roman" w:eastAsia="Times New Roman" w:hAnsi="Times New Roman" w:cs="Times New Roman"/>
          <w:color w:val="000000"/>
          <w:sz w:val="27"/>
          <w:szCs w:val="27"/>
          <w:lang w:val="ru-RU" w:eastAsia="ru-RU"/>
        </w:rPr>
        <w:t xml:space="preserve"> проводилися аварійні ремонти ліфтів в житлових будинках, поточні ремонти внутрішньобудинкових мереж, реконструкція та капітальний ремонт шатрових дахів, реконструкція та капітальний ремонт конструктивних елементів будинків, поточний ремонт вхідних груп житлових будинків із забезпеченням безперешкодного доступу людей з обмеженими фізичними можливостями тощо. </w:t>
      </w:r>
    </w:p>
    <w:p w:rsidR="00051B2D" w:rsidRPr="00407A55" w:rsidP="00051B2D" w14:paraId="037A8649" w14:textId="77777777">
      <w:pPr>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У житловому фонді Броварської міської територіальної громади знаходиться 521 багатоквартирний житловий будинок, 97 будинків з яких перебувають в управлінні ОСББ, ЖБК та ОК, 42 будинка - на самозабезпеченні та 382 будинки перебувають в обслуговуванні управляючих компаній.</w:t>
      </w:r>
    </w:p>
    <w:p w:rsidR="00051B2D" w:rsidRPr="00407A55" w:rsidP="00051B2D" w14:paraId="0E7E40B1" w14:textId="77777777">
      <w:pPr>
        <w:spacing w:after="0" w:line="240" w:lineRule="auto"/>
        <w:ind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У звітному періоді обсяг прийнятого в експлуатацію житла склав 54,016 тис. м</w:t>
      </w:r>
      <w:r w:rsidRPr="00407A55">
        <w:rPr>
          <w:rFonts w:ascii="Times New Roman" w:eastAsia="Times New Roman" w:hAnsi="Times New Roman" w:cs="Times New Roman"/>
          <w:sz w:val="27"/>
          <w:szCs w:val="27"/>
          <w:vertAlign w:val="superscript"/>
          <w:lang w:eastAsia="ru-RU"/>
        </w:rPr>
        <w:t>2</w:t>
      </w:r>
      <w:r w:rsidRPr="00407A55">
        <w:rPr>
          <w:rFonts w:ascii="Times New Roman" w:eastAsia="Times New Roman" w:hAnsi="Times New Roman" w:cs="Times New Roman"/>
          <w:sz w:val="27"/>
          <w:szCs w:val="27"/>
          <w:lang w:eastAsia="ru-RU"/>
        </w:rPr>
        <w:t xml:space="preserve">, в тому числі: </w:t>
      </w:r>
    </w:p>
    <w:p w:rsidR="00051B2D" w:rsidRPr="00407A55" w:rsidP="00051B2D" w14:paraId="1C84732F" w14:textId="77777777">
      <w:pPr>
        <w:numPr>
          <w:ilvl w:val="0"/>
          <w:numId w:val="1"/>
        </w:numPr>
        <w:spacing w:after="0" w:line="240" w:lineRule="auto"/>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26 індивідуальних житлових будинків загальною площею 4,467 тис. м</w:t>
      </w:r>
      <w:r w:rsidRPr="00407A55">
        <w:rPr>
          <w:rFonts w:ascii="Times New Roman" w:eastAsia="Times New Roman" w:hAnsi="Times New Roman" w:cs="Times New Roman"/>
          <w:sz w:val="27"/>
          <w:szCs w:val="27"/>
          <w:vertAlign w:val="superscript"/>
          <w:lang w:eastAsia="ru-RU"/>
        </w:rPr>
        <w:t>2</w:t>
      </w:r>
      <w:r w:rsidRPr="00407A55">
        <w:rPr>
          <w:rFonts w:ascii="Times New Roman" w:eastAsia="Times New Roman" w:hAnsi="Times New Roman" w:cs="Times New Roman"/>
          <w:sz w:val="27"/>
          <w:szCs w:val="27"/>
          <w:lang w:eastAsia="ru-RU"/>
        </w:rPr>
        <w:t>;</w:t>
      </w:r>
    </w:p>
    <w:p w:rsidR="00051B2D" w:rsidRPr="00407A55" w:rsidP="00051B2D" w14:paraId="2043A459" w14:textId="77777777">
      <w:pPr>
        <w:numPr>
          <w:ilvl w:val="0"/>
          <w:numId w:val="1"/>
        </w:numPr>
        <w:spacing w:after="0" w:line="240" w:lineRule="auto"/>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3 багатоквартирних житлових будинків загальною площею 49,549 тис. м</w:t>
      </w:r>
      <w:r w:rsidRPr="00407A55">
        <w:rPr>
          <w:rFonts w:ascii="Times New Roman" w:eastAsia="Times New Roman" w:hAnsi="Times New Roman" w:cs="Times New Roman"/>
          <w:sz w:val="27"/>
          <w:szCs w:val="27"/>
          <w:vertAlign w:val="superscript"/>
          <w:lang w:eastAsia="ru-RU"/>
        </w:rPr>
        <w:t xml:space="preserve">2 </w:t>
      </w:r>
      <w:r w:rsidRPr="00407A55">
        <w:rPr>
          <w:rFonts w:ascii="Times New Roman" w:eastAsia="Times New Roman" w:hAnsi="Times New Roman" w:cs="Times New Roman"/>
          <w:sz w:val="27"/>
          <w:szCs w:val="27"/>
          <w:lang w:eastAsia="ru-RU"/>
        </w:rPr>
        <w:t>.</w:t>
      </w:r>
    </w:p>
    <w:p w:rsidR="00051B2D" w:rsidRPr="00407A55" w:rsidP="00051B2D" w14:paraId="5E04AEBD"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Серед збудованих багатоквартирних житлових будинків найбільша питома вага припадає на однокімнатні квартири — 76,6%, двокімнатні — 20,5%, трикімнатні — 2,9%.</w:t>
      </w:r>
    </w:p>
    <w:p w:rsidR="00051B2D" w:rsidRPr="00407A55" w:rsidP="00051B2D" w14:paraId="74B082A4"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eastAsia="ru-RU"/>
        </w:rPr>
        <w:t xml:space="preserve">Комунальними підприємствами та управляючими компаніями забезпечується утримання багатоквартирних будинків, прибирання прибудинкових територій. </w:t>
      </w:r>
      <w:r w:rsidRPr="00407A55">
        <w:rPr>
          <w:rFonts w:ascii="Times New Roman" w:eastAsia="Times New Roman" w:hAnsi="Times New Roman" w:cs="Times New Roman"/>
          <w:color w:val="000000"/>
          <w:sz w:val="27"/>
          <w:szCs w:val="27"/>
          <w:lang w:val="ru-RU" w:eastAsia="ru-RU"/>
        </w:rPr>
        <w:t xml:space="preserve">КП «Броваритепловодоенергія» забезпечує надання послуг з теплопостачання, водопостачання та водовідведення. </w:t>
      </w:r>
    </w:p>
    <w:p w:rsidR="00051B2D" w:rsidRPr="00407A55" w:rsidP="00051B2D" w14:paraId="3290C2B1" w14:textId="77777777">
      <w:pPr>
        <w:tabs>
          <w:tab w:val="left" w:pos="6660"/>
        </w:tabs>
        <w:spacing w:after="0" w:line="240" w:lineRule="auto"/>
        <w:ind w:firstLine="567"/>
        <w:jc w:val="both"/>
        <w:rPr>
          <w:rFonts w:ascii="Times New Roman" w:eastAsia="Times New Roman" w:hAnsi="Times New Roman" w:cs="Times New Roman"/>
          <w:sz w:val="27"/>
          <w:szCs w:val="27"/>
          <w:lang w:val="ru-RU" w:eastAsia="ru-RU"/>
        </w:rPr>
      </w:pPr>
      <w:bookmarkStart w:id="10" w:name="_Hlk202879849"/>
      <w:r w:rsidRPr="00407A55">
        <w:rPr>
          <w:rFonts w:ascii="Times New Roman" w:eastAsia="Times New Roman" w:hAnsi="Times New Roman" w:cs="Times New Roman"/>
          <w:sz w:val="27"/>
          <w:szCs w:val="27"/>
          <w:lang w:val="ru-RU" w:eastAsia="ru-RU"/>
        </w:rPr>
        <w:t xml:space="preserve">Всі комунальні підприємства громади – надавачі комунальних послуг постійно проводять роботу з боржниками. </w:t>
      </w:r>
      <w:bookmarkEnd w:id="10"/>
      <w:r w:rsidRPr="00407A55">
        <w:rPr>
          <w:rFonts w:ascii="Times New Roman" w:eastAsia="Times New Roman" w:hAnsi="Times New Roman" w:cs="Times New Roman"/>
          <w:sz w:val="27"/>
          <w:szCs w:val="27"/>
          <w:lang w:val="ru-RU" w:eastAsia="ru-RU"/>
        </w:rPr>
        <w:t xml:space="preserve">Найбільшу заборгованість має КП «Броваритепловодоенергія»: станом на 30.06.2026 заборгованість з оплати житлово-комунальних послуг перед КП «Броваритепловодоенергія» становила 145 589,5 тис. грн.       </w:t>
      </w:r>
    </w:p>
    <w:p w:rsidR="00051B2D" w:rsidRPr="00407A55" w:rsidP="00051B2D" w14:paraId="7689D68A" w14:textId="77777777">
      <w:pPr>
        <w:tabs>
          <w:tab w:val="left" w:pos="6660"/>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У звітному періоді підприємством було проведено наступну роботу з боржниками: здійснено телефонних дзвінків боржникам підприємства у кількості – 21 753; відправлено боржникам 31 626 смс повідомлень; передано до суду 86 заяв про стягнення заборгованості на суму 2 202,8 тис. грн.; прийнято судом 210 рішень про стягнення заборгованості на суму 7 945,6 тис. грн.; перебуває в органах примусового виконання рішень суду (ДВС, приватний виконавець) 2461 справи на суму 31 622,3 тис. грн. </w:t>
      </w:r>
    </w:p>
    <w:p w:rsidR="00051B2D" w:rsidRPr="00407A55" w:rsidP="00051B2D" w14:paraId="20F86EF6"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sz w:val="27"/>
          <w:szCs w:val="27"/>
          <w:lang w:val="ru-RU" w:eastAsia="ru-RU"/>
        </w:rPr>
        <w:t xml:space="preserve">Впродовж </w:t>
      </w:r>
      <w:r w:rsidRPr="00407A55">
        <w:rPr>
          <w:rFonts w:ascii="Times New Roman" w:eastAsia="Times New Roman" w:hAnsi="Times New Roman" w:cs="Times New Roman"/>
          <w:sz w:val="27"/>
          <w:szCs w:val="27"/>
          <w:lang w:eastAsia="ru-RU"/>
        </w:rPr>
        <w:t xml:space="preserve">І півріччя </w:t>
      </w:r>
      <w:r w:rsidRPr="00407A55">
        <w:rPr>
          <w:rFonts w:ascii="Times New Roman" w:eastAsia="Times New Roman" w:hAnsi="Times New Roman" w:cs="Times New Roman"/>
          <w:sz w:val="27"/>
          <w:szCs w:val="27"/>
          <w:lang w:val="ru-RU" w:eastAsia="ru-RU"/>
        </w:rPr>
        <w:t>202</w:t>
      </w:r>
      <w:r w:rsidRPr="00407A55">
        <w:rPr>
          <w:rFonts w:ascii="Times New Roman" w:eastAsia="Times New Roman" w:hAnsi="Times New Roman" w:cs="Times New Roman"/>
          <w:sz w:val="27"/>
          <w:szCs w:val="27"/>
          <w:lang w:eastAsia="ru-RU"/>
        </w:rPr>
        <w:t>6</w:t>
      </w:r>
      <w:r w:rsidRPr="00407A55">
        <w:rPr>
          <w:rFonts w:ascii="Times New Roman" w:eastAsia="Times New Roman" w:hAnsi="Times New Roman" w:cs="Times New Roman"/>
          <w:sz w:val="27"/>
          <w:szCs w:val="27"/>
          <w:lang w:val="ru-RU" w:eastAsia="ru-RU"/>
        </w:rPr>
        <w:t xml:space="preserve"> року </w:t>
      </w:r>
      <w:r w:rsidRPr="00407A55">
        <w:rPr>
          <w:rFonts w:ascii="Times New Roman" w:eastAsia="Times New Roman" w:hAnsi="Times New Roman" w:cs="Times New Roman"/>
          <w:color w:val="000000"/>
          <w:sz w:val="27"/>
          <w:szCs w:val="27"/>
          <w:lang w:val="ru-RU" w:eastAsia="ru-RU"/>
        </w:rPr>
        <w:t xml:space="preserve">були проведені капітальні ремонти та реконструкції на наступних об’єктах: </w:t>
      </w:r>
    </w:p>
    <w:p w:rsidR="00051B2D" w:rsidRPr="00407A55" w:rsidP="00051B2D" w14:paraId="75C58C89"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lang w:val="ru-RU" w:eastAsia="ru-RU"/>
        </w:rPr>
        <w:t>1.Виконано заміну теплових мереж з використанням сталевих труб ізольованих пінополіуретаном та введено в експлуатацію</w:t>
      </w:r>
      <w:r w:rsidRPr="00407A55">
        <w:rPr>
          <w:rFonts w:ascii="Times New Roman" w:eastAsia="Times New Roman" w:hAnsi="Times New Roman" w:cs="Times New Roman"/>
          <w:sz w:val="27"/>
          <w:szCs w:val="27"/>
          <w:lang w:eastAsia="ru-RU"/>
        </w:rPr>
        <w:t xml:space="preserve"> по</w:t>
      </w:r>
      <w:r w:rsidRPr="00407A55">
        <w:rPr>
          <w:rFonts w:ascii="Times New Roman" w:eastAsia="Times New Roman" w:hAnsi="Times New Roman" w:cs="Times New Roman"/>
          <w:sz w:val="27"/>
          <w:szCs w:val="27"/>
          <w:lang w:val="ru-RU" w:eastAsia="ru-RU"/>
        </w:rPr>
        <w:t xml:space="preserve"> </w:t>
      </w:r>
      <w:r w:rsidRPr="00407A55">
        <w:rPr>
          <w:rFonts w:ascii="Times New Roman" w:eastAsia="Times New Roman" w:hAnsi="Times New Roman" w:cs="Times New Roman"/>
          <w:sz w:val="27"/>
          <w:szCs w:val="27"/>
        </w:rPr>
        <w:t>вул. Грушевського від ТК6К до ТК7К, діаметром 530/710 протяжністю 74,7 м, загальною вартістю – 975 136,0 грн.</w:t>
      </w:r>
    </w:p>
    <w:p w:rsidR="00051B2D" w:rsidRPr="00407A55" w:rsidP="00051B2D" w14:paraId="36AD5450"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rPr>
        <w:t>2. Виконано заміну насосного обладнання на центральних теплових пунктах по вул. Грушевського,9/1, 17/2, 13/1, 3/1, 1/1, вул. Героїв Небесної сотні,15/1, бульв. Незалежності, 7/1, 6/1, вул. Петлюри,19/1, 17/1, 23/1, 13/1, вул. Олімпійська,6/2 – 18 од. загальною вартістю – 664 851,7 грн.</w:t>
      </w:r>
    </w:p>
    <w:p w:rsidR="00051B2D" w:rsidRPr="00407A55" w:rsidP="00051B2D" w14:paraId="3288544F"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Згідно «Програми фінансової підтримки </w:t>
      </w:r>
      <w:r w:rsidRPr="00407A55">
        <w:rPr>
          <w:rFonts w:ascii="Times New Roman" w:eastAsia="Times New Roman" w:hAnsi="Times New Roman" w:cs="Times New Roman"/>
          <w:color w:val="000000"/>
          <w:sz w:val="27"/>
          <w:szCs w:val="27"/>
        </w:rPr>
        <w:t>комунального підприємства Броварської міської ради Броварського району Київської області "Броваритепловодоенергія" на 2021-2029 роки</w:t>
      </w:r>
      <w:r w:rsidRPr="00407A55">
        <w:rPr>
          <w:rFonts w:ascii="Times New Roman" w:eastAsia="Times New Roman" w:hAnsi="Times New Roman" w:cs="Times New Roman"/>
          <w:color w:val="000000"/>
          <w:sz w:val="27"/>
          <w:szCs w:val="27"/>
          <w:lang w:eastAsia="ru-RU"/>
        </w:rPr>
        <w:t xml:space="preserve">» у І півріччі 2026 року підприємство профінансовано на суму </w:t>
      </w:r>
      <w:r w:rsidRPr="00407A55">
        <w:rPr>
          <w:rFonts w:ascii="Times New Roman" w:eastAsia="Times New Roman" w:hAnsi="Times New Roman" w:cs="Times New Roman"/>
          <w:sz w:val="27"/>
          <w:szCs w:val="27"/>
          <w:lang w:eastAsia="ru-RU"/>
        </w:rPr>
        <w:t>44 378,5</w:t>
      </w:r>
      <w:r w:rsidRPr="00407A55">
        <w:rPr>
          <w:rFonts w:ascii="Times New Roman" w:eastAsia="Times New Roman" w:hAnsi="Times New Roman" w:cs="Times New Roman"/>
          <w:color w:val="000000"/>
          <w:sz w:val="27"/>
          <w:szCs w:val="27"/>
          <w:lang w:eastAsia="ru-RU"/>
        </w:rPr>
        <w:t xml:space="preserve"> тис. грн.</w:t>
      </w:r>
    </w:p>
    <w:p w:rsidR="00051B2D" w:rsidRPr="00407A55" w:rsidP="00051B2D" w14:paraId="33172CF9" w14:textId="77777777">
      <w:pPr>
        <w:spacing w:after="0" w:line="240" w:lineRule="auto"/>
        <w:ind w:firstLine="567"/>
        <w:jc w:val="both"/>
        <w:rPr>
          <w:rFonts w:ascii="Times New Roman" w:eastAsia="Times New Roman" w:hAnsi="Times New Roman" w:cs="Times New Roman"/>
          <w:sz w:val="27"/>
          <w:szCs w:val="27"/>
          <w:lang w:val="ru-RU"/>
        </w:rPr>
      </w:pPr>
      <w:r w:rsidRPr="00407A55">
        <w:rPr>
          <w:rFonts w:ascii="Times New Roman" w:eastAsia="Times New Roman" w:hAnsi="Times New Roman" w:cs="Times New Roman"/>
          <w:sz w:val="27"/>
          <w:szCs w:val="27"/>
          <w:lang w:val="ru-RU" w:eastAsia="ru-RU"/>
        </w:rPr>
        <w:t xml:space="preserve">Відповідно до «Програма капітального, поточного ремонту та реконструкції об'єктів житлового фонду Броварської міської територіальної громади Київської області на 2025-2029 роки» за звітний період проведено капітальний ремонт 2 -х ліфтів на загальну суму 228,20 тис. грн, </w:t>
      </w:r>
      <w:r w:rsidRPr="00407A55">
        <w:rPr>
          <w:rFonts w:ascii="Times New Roman" w:eastAsia="Times New Roman" w:hAnsi="Times New Roman" w:cs="Times New Roman"/>
          <w:sz w:val="27"/>
          <w:szCs w:val="27"/>
          <w:lang w:val="ru-RU"/>
        </w:rPr>
        <w:t>капітальний ремонт ГРЩ-0,4кВ багатоквартирного будинку по вул. Чорних Запорожців, 54, 60-А, 60-Б та по вул. Шевченка, 10А ДП"ЖИТЛО" ОП "Броварипромжитлобуд" на суму 1417,7 тис. грн.</w:t>
      </w:r>
    </w:p>
    <w:p w:rsidR="00051B2D" w:rsidRPr="00407A55" w:rsidP="00051B2D" w14:paraId="1B2510DE"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У звітному періоді з місцевого бюджету профінансовані наступні програми: «Програма підтримки об'єднань співвласників багатоквартирних будинків та житлово-будівельних кооперативів Броварської міської територіальної громади Київської області на 2026-2030 роки» (1 ОСББ   профінансовано на 1 382,0 тис. грн.); «Програма фінансової підтримки комунальних підприємств Броварської </w:t>
      </w:r>
      <w:r w:rsidRPr="00407A55">
        <w:rPr>
          <w:rFonts w:ascii="Times New Roman" w:eastAsia="Times New Roman" w:hAnsi="Times New Roman" w:cs="Times New Roman"/>
          <w:sz w:val="27"/>
          <w:szCs w:val="27"/>
          <w:lang w:eastAsia="ru-RU"/>
        </w:rPr>
        <w:t>міської територіальної громади на 2021-2026 роки» (профінансовано 8 711,7 тис. грн.).</w:t>
      </w:r>
    </w:p>
    <w:p w:rsidR="00051B2D" w:rsidRPr="00407A55" w:rsidP="00051B2D" w14:paraId="7804E844"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eastAsia="ru-RU"/>
        </w:rPr>
        <w:t xml:space="preserve">Протягом 2025 року виконувалась «Програма часткової компенсації вартості закупівлі електрогенераторів для забезпечення потреб співвласників багатоквартирних будинків Броварської міської територіальної громади під час проходження опалювального сезону 2022-2026 років». </w:t>
      </w:r>
      <w:r w:rsidRPr="00407A55">
        <w:rPr>
          <w:rFonts w:ascii="Times New Roman" w:eastAsia="Times New Roman" w:hAnsi="Times New Roman" w:cs="Times New Roman"/>
          <w:color w:val="000000"/>
          <w:sz w:val="27"/>
          <w:szCs w:val="27"/>
          <w:lang w:val="ru-RU" w:eastAsia="ru-RU"/>
        </w:rPr>
        <w:t xml:space="preserve">Відповідно до Програми на умовах співфінансування було компенсовано за 10 незалежних джерел електроенергії на суму 469,09 тис. грн. </w:t>
      </w:r>
    </w:p>
    <w:p w:rsidR="00051B2D" w:rsidRPr="00407A55" w:rsidP="00051B2D" w14:paraId="6F4F6DD0"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sz w:val="27"/>
          <w:szCs w:val="27"/>
          <w:lang w:val="ru-RU" w:eastAsia="ru-RU"/>
        </w:rPr>
        <w:t>З метою підвищення рівня енергоефективності та скорочення обсягів споживання енергоресурсів і, відповідно, економії коштів бюджету громади, а також для забезпечення певного рівня енергонезалежності, бюджетними установами Броварської міської територіальної громади укладено 13 ЕСКО-договорів</w:t>
      </w:r>
      <w:r w:rsidRPr="00407A55">
        <w:rPr>
          <w:rFonts w:ascii="Times New Roman" w:eastAsia="Times New Roman" w:hAnsi="Times New Roman" w:cs="Times New Roman"/>
          <w:color w:val="000000"/>
          <w:sz w:val="27"/>
          <w:szCs w:val="27"/>
          <w:lang w:val="ru-RU" w:eastAsia="ru-RU"/>
        </w:rPr>
        <w:t xml:space="preserve">.  </w:t>
      </w:r>
      <w:r w:rsidRPr="00407A55">
        <w:rPr>
          <w:rFonts w:ascii="Times New Roman" w:eastAsia="Times New Roman" w:hAnsi="Times New Roman" w:cs="Times New Roman"/>
          <w:sz w:val="27"/>
          <w:szCs w:val="27"/>
          <w:lang w:val="ru-RU" w:eastAsia="ru-RU"/>
        </w:rPr>
        <w:t xml:space="preserve">Крім того, в </w:t>
      </w:r>
      <w:r w:rsidRPr="00407A55">
        <w:rPr>
          <w:rFonts w:ascii="Times New Roman" w:eastAsia="Times New Roman" w:hAnsi="Times New Roman" w:cs="Times New Roman"/>
          <w:color w:val="000000"/>
          <w:sz w:val="27"/>
          <w:szCs w:val="27"/>
          <w:lang w:val="ru-RU" w:eastAsia="ru-RU"/>
        </w:rPr>
        <w:t xml:space="preserve">Броварському ліцеї № 2 ім. Сухомлинського та ЗДО «Капітошка» встановлено сонячні панелі. </w:t>
      </w:r>
    </w:p>
    <w:p w:rsidR="00051B2D" w:rsidRPr="00407A55" w:rsidP="00051B2D" w14:paraId="5534C12B" w14:textId="77777777">
      <w:pPr>
        <w:tabs>
          <w:tab w:val="left" w:pos="6660"/>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Щодо забезпечення громади альтернативними джерелами водопостачання слід зазначити, що бюветним водопостачанням з артезіанських свердловин</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забезпечен</w:t>
      </w:r>
      <w:r w:rsidRPr="00407A55">
        <w:rPr>
          <w:rFonts w:ascii="Times New Roman" w:eastAsia="Times New Roman" w:hAnsi="Times New Roman" w:cs="Times New Roman"/>
          <w:sz w:val="27"/>
          <w:szCs w:val="27"/>
          <w:lang w:eastAsia="ru-RU"/>
        </w:rPr>
        <w:t>і</w:t>
      </w:r>
      <w:r w:rsidRPr="00407A55">
        <w:rPr>
          <w:rFonts w:ascii="Times New Roman" w:eastAsia="Times New Roman" w:hAnsi="Times New Roman" w:cs="Times New Roman"/>
          <w:sz w:val="27"/>
          <w:szCs w:val="27"/>
          <w:lang w:val="ru-RU" w:eastAsia="ru-RU"/>
        </w:rPr>
        <w:t xml:space="preserve"> м. Бровари</w:t>
      </w:r>
      <w:r w:rsidRPr="00407A55">
        <w:rPr>
          <w:rFonts w:ascii="Times New Roman" w:eastAsia="Times New Roman" w:hAnsi="Times New Roman" w:cs="Times New Roman"/>
          <w:sz w:val="27"/>
          <w:szCs w:val="27"/>
          <w:lang w:eastAsia="ru-RU"/>
        </w:rPr>
        <w:t xml:space="preserve"> - 5 одиниць, с. Требухів - 1</w:t>
      </w:r>
      <w:r w:rsidRPr="00407A55">
        <w:rPr>
          <w:rFonts w:ascii="Times New Roman" w:eastAsia="Times New Roman" w:hAnsi="Times New Roman" w:cs="Times New Roman"/>
          <w:sz w:val="27"/>
          <w:szCs w:val="27"/>
          <w:lang w:val="ru-RU" w:eastAsia="ru-RU"/>
        </w:rPr>
        <w:t>, а також на прибудинкових територіях житлових багатоквартирних будинків з метою забезпечення надійного водопостачання технічною водою населення розміщені водозабірні колонки, 46 з яких знаходяться на балансі КП «Броваритепловодоенергія».</w:t>
      </w:r>
    </w:p>
    <w:p w:rsidR="00051B2D" w:rsidRPr="00407A55" w:rsidP="00051B2D" w14:paraId="63E36B28"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eastAsia="ru-RU"/>
        </w:rPr>
        <w:t>Рішенням виконавчого комітету Броварської міської ради Броварського району Київської області від 04.07.2023 № 506 затверджено «Схему санітарного очищення населених пунктів Броварської міської територіальної громади». Утворювачами відходів є населення, яке проживає в багатоквартирних будинках та в будинках з присадибною ділянкою, бюджетні заклади, організації та підприємства. Середньорічні обсяги відходів в Броварській міській територіальній громаді становлять 130-165 тис. м</w:t>
      </w:r>
      <w:r w:rsidRPr="00407A55">
        <w:rPr>
          <w:rFonts w:ascii="Times New Roman" w:eastAsia="Times New Roman" w:hAnsi="Times New Roman" w:cs="Times New Roman"/>
          <w:sz w:val="27"/>
          <w:szCs w:val="27"/>
          <w:vertAlign w:val="superscript"/>
          <w:lang w:eastAsia="ru-RU"/>
        </w:rPr>
        <w:t>2</w:t>
      </w:r>
      <w:r w:rsidRPr="00407A55">
        <w:rPr>
          <w:rFonts w:ascii="Times New Roman" w:eastAsia="Times New Roman" w:hAnsi="Times New Roman" w:cs="Times New Roman"/>
          <w:sz w:val="27"/>
          <w:szCs w:val="27"/>
          <w:lang w:eastAsia="ru-RU"/>
        </w:rPr>
        <w:t xml:space="preserve">. На території Броварської міської територіальної громади відсутні полігони твердих побутових відходів, будівельного сміття, яке утворилося внаслідок руйнування об’єктів під війни. </w:t>
      </w:r>
      <w:r w:rsidRPr="00407A55">
        <w:rPr>
          <w:rFonts w:ascii="Times New Roman" w:eastAsia="Times New Roman" w:hAnsi="Times New Roman" w:cs="Times New Roman"/>
          <w:sz w:val="27"/>
          <w:szCs w:val="27"/>
          <w:lang w:val="ru-RU" w:eastAsia="ru-RU"/>
        </w:rPr>
        <w:t xml:space="preserve">Окремо зібрані компоненти твердих побутових відходів: пластик, скло та папір збирають у спеціально обладнані транспортні засоби та перевозяться для сортування та подальшої реалізації. </w:t>
      </w:r>
    </w:p>
    <w:p w:rsidR="00051B2D" w:rsidRPr="00407A55" w:rsidP="00051B2D" w14:paraId="2692C3E3"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Знешкодження частини твердих побутових відходів, яка непридатна для перероблення здійснюється шляхом захоронення на полігоні твердих побутових відходів № 5 с. Підгірці Обухівського району Київської області та</w:t>
      </w:r>
      <w:r w:rsidRPr="00407A55">
        <w:rPr>
          <w:rFonts w:ascii="Times New Roman" w:eastAsia="Times New Roman" w:hAnsi="Times New Roman" w:cs="Times New Roman"/>
          <w:color w:val="000000"/>
          <w:sz w:val="27"/>
          <w:szCs w:val="27"/>
          <w:lang w:val="ru-RU" w:eastAsia="ru-RU"/>
        </w:rPr>
        <w:t xml:space="preserve"> </w:t>
      </w:r>
      <w:r w:rsidRPr="00407A55">
        <w:rPr>
          <w:rFonts w:ascii="Times New Roman" w:eastAsia="Times New Roman" w:hAnsi="Times New Roman" w:cs="Times New Roman"/>
          <w:sz w:val="27"/>
          <w:szCs w:val="27"/>
          <w:lang w:val="ru-RU" w:eastAsia="ru-RU"/>
        </w:rPr>
        <w:t>утилізацією на сміттєспалювальному заводі «Енергія» в м. Київ.</w:t>
      </w:r>
    </w:p>
    <w:p w:rsidR="00051B2D" w:rsidRPr="00407A55" w:rsidP="00051B2D" w14:paraId="67719396" w14:textId="77777777">
      <w:pPr>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Знешкодження небезпечних відходів з населених пунктів Броварської міської територіальної громади здійснюється поза межами громади за відповідними договорами із спеціалізованими організаціями.  </w:t>
      </w:r>
    </w:p>
    <w:p w:rsidR="00051B2D" w:rsidRPr="00407A55" w:rsidP="00051B2D" w14:paraId="0B37BD35"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val="ru-RU" w:eastAsia="ru-RU"/>
        </w:rPr>
        <w:t>Протягом року за ініціативи управління інспекції та контролю здійснено дослідження атмосферного повітря на території міста у 10 точках за 5 показниками (вуглецю оксид, азоту діоксид, ангідрид сірчистий, зважені речовини)</w:t>
      </w:r>
      <w:r w:rsidRPr="00407A55">
        <w:rPr>
          <w:rFonts w:ascii="Times New Roman" w:eastAsia="Times New Roman" w:hAnsi="Times New Roman" w:cs="Times New Roman"/>
          <w:sz w:val="27"/>
          <w:szCs w:val="27"/>
          <w:lang w:eastAsia="ru-RU"/>
        </w:rPr>
        <w:t>.</w:t>
      </w:r>
    </w:p>
    <w:p w:rsidR="00051B2D" w:rsidRPr="00407A55" w:rsidP="00051B2D" w14:paraId="74625A51"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Також Броварською районною філією лабораторних досліджень ДУ «Київський ОЛЦ МОЗ України» згідно графіку проводяться лабораторні дослідження води із відкритих водойм громади, річки Десна, питної води та ґрунтових вод.</w:t>
      </w:r>
      <w:r w:rsidRPr="00407A55">
        <w:rPr>
          <w:rFonts w:ascii="Times New Roman" w:eastAsia="Times New Roman" w:hAnsi="Times New Roman" w:cs="Times New Roman"/>
          <w:color w:val="000000"/>
          <w:sz w:val="27"/>
          <w:szCs w:val="27"/>
          <w:lang w:val="hr-HR" w:eastAsia="ru-RU"/>
        </w:rPr>
        <w:t> </w:t>
      </w:r>
    </w:p>
    <w:p w:rsidR="00051B2D" w:rsidRPr="00407A55" w:rsidP="00051B2D" w14:paraId="7C2FBAE0" w14:textId="77777777">
      <w:pPr>
        <w:spacing w:after="0" w:line="240" w:lineRule="auto"/>
        <w:ind w:firstLine="567"/>
        <w:jc w:val="center"/>
        <w:rPr>
          <w:rFonts w:ascii="Times New Roman" w:eastAsia="Times New Roman" w:hAnsi="Times New Roman" w:cs="Times New Roman"/>
          <w:b/>
          <w:i/>
          <w:sz w:val="27"/>
          <w:szCs w:val="27"/>
          <w:lang w:eastAsia="ru-RU"/>
        </w:rPr>
      </w:pPr>
      <w:bookmarkStart w:id="11" w:name="_Hlk188345764"/>
      <w:r w:rsidRPr="00407A55">
        <w:rPr>
          <w:rFonts w:ascii="Times New Roman" w:eastAsia="Times New Roman" w:hAnsi="Times New Roman" w:cs="Times New Roman"/>
          <w:b/>
          <w:i/>
          <w:sz w:val="27"/>
          <w:szCs w:val="27"/>
          <w:lang w:eastAsia="ru-RU"/>
        </w:rPr>
        <w:t xml:space="preserve">Надання якісних послуг з перевезення пасажирів </w:t>
      </w:r>
    </w:p>
    <w:p w:rsidR="00051B2D" w:rsidRPr="00407A55" w:rsidP="00051B2D" w14:paraId="4E21217B" w14:textId="77777777">
      <w:pPr>
        <w:spacing w:after="0" w:line="240" w:lineRule="auto"/>
        <w:ind w:firstLine="567"/>
        <w:jc w:val="center"/>
        <w:rPr>
          <w:rFonts w:ascii="Times New Roman" w:eastAsia="Times New Roman" w:hAnsi="Times New Roman" w:cs="Times New Roman"/>
          <w:b/>
          <w:i/>
          <w:sz w:val="27"/>
          <w:szCs w:val="27"/>
          <w:lang w:eastAsia="ru-RU"/>
        </w:rPr>
      </w:pPr>
      <w:r w:rsidRPr="00407A55">
        <w:rPr>
          <w:rFonts w:ascii="Times New Roman" w:eastAsia="Times New Roman" w:hAnsi="Times New Roman" w:cs="Times New Roman"/>
          <w:b/>
          <w:i/>
          <w:sz w:val="27"/>
          <w:szCs w:val="27"/>
          <w:lang w:eastAsia="ru-RU"/>
        </w:rPr>
        <w:t>та розвиток дорожнього господарства</w:t>
      </w:r>
    </w:p>
    <w:p w:rsidR="00051B2D" w:rsidRPr="00407A55" w:rsidP="00051B2D" w14:paraId="680E3A22"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val="ru-RU" w:eastAsia="ru-RU"/>
        </w:rPr>
      </w:pPr>
      <w:bookmarkStart w:id="12" w:name="_Hlk219895910"/>
      <w:bookmarkEnd w:id="11"/>
      <w:r w:rsidRPr="00407A55">
        <w:rPr>
          <w:rFonts w:ascii="Times New Roman" w:eastAsia="Times New Roman" w:hAnsi="Times New Roman" w:cs="Times New Roman"/>
          <w:sz w:val="27"/>
          <w:szCs w:val="27"/>
          <w:lang w:val="ru-RU" w:eastAsia="ru-RU"/>
        </w:rPr>
        <w:t>На території громади створена розгалужена транспортна інфраструктура.</w:t>
      </w:r>
    </w:p>
    <w:p w:rsidR="00051B2D" w:rsidRPr="00407A55" w:rsidP="00051B2D" w14:paraId="04D90B03"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У </w:t>
      </w:r>
      <w:r w:rsidRPr="00407A55">
        <w:rPr>
          <w:rFonts w:ascii="Times New Roman" w:eastAsia="Times New Roman" w:hAnsi="Times New Roman" w:cs="Times New Roman"/>
          <w:sz w:val="27"/>
          <w:szCs w:val="27"/>
          <w:lang w:eastAsia="ru-RU"/>
        </w:rPr>
        <w:t xml:space="preserve">І півріччі </w:t>
      </w:r>
      <w:r w:rsidRPr="00407A55">
        <w:rPr>
          <w:rFonts w:ascii="Times New Roman" w:eastAsia="Times New Roman" w:hAnsi="Times New Roman" w:cs="Times New Roman"/>
          <w:sz w:val="27"/>
          <w:szCs w:val="27"/>
          <w:lang w:val="ru-RU" w:eastAsia="ru-RU"/>
        </w:rPr>
        <w:t>202</w:t>
      </w:r>
      <w:r w:rsidRPr="00407A55">
        <w:rPr>
          <w:rFonts w:ascii="Times New Roman" w:eastAsia="Times New Roman" w:hAnsi="Times New Roman" w:cs="Times New Roman"/>
          <w:sz w:val="27"/>
          <w:szCs w:val="27"/>
          <w:lang w:eastAsia="ru-RU"/>
        </w:rPr>
        <w:t>6</w:t>
      </w:r>
      <w:r w:rsidRPr="00407A55">
        <w:rPr>
          <w:rFonts w:ascii="Times New Roman" w:eastAsia="Times New Roman" w:hAnsi="Times New Roman" w:cs="Times New Roman"/>
          <w:sz w:val="27"/>
          <w:szCs w:val="27"/>
          <w:lang w:val="ru-RU" w:eastAsia="ru-RU"/>
        </w:rPr>
        <w:t xml:space="preserve"> ро</w:t>
      </w:r>
      <w:r w:rsidRPr="00407A55">
        <w:rPr>
          <w:rFonts w:ascii="Times New Roman" w:eastAsia="Times New Roman" w:hAnsi="Times New Roman" w:cs="Times New Roman"/>
          <w:sz w:val="27"/>
          <w:szCs w:val="27"/>
          <w:lang w:eastAsia="ru-RU"/>
        </w:rPr>
        <w:t>ку</w:t>
      </w:r>
      <w:r w:rsidRPr="00407A55">
        <w:rPr>
          <w:rFonts w:ascii="Times New Roman" w:eastAsia="Times New Roman" w:hAnsi="Times New Roman" w:cs="Times New Roman"/>
          <w:sz w:val="27"/>
          <w:szCs w:val="27"/>
          <w:lang w:val="ru-RU" w:eastAsia="ru-RU"/>
        </w:rPr>
        <w:t xml:space="preserve"> приміське транспортне сполучення з містом Київ забезпечували 12 маршрутів. </w:t>
      </w:r>
    </w:p>
    <w:p w:rsidR="00051B2D" w:rsidRPr="00407A55" w:rsidP="00051B2D" w14:paraId="158831B5"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В межах громади діють 6 маршрутів (№ 2, № 3, № 5, № 9, № 10, №17).</w:t>
      </w:r>
    </w:p>
    <w:p w:rsidR="00051B2D" w:rsidRPr="00407A55" w:rsidP="00051B2D" w14:paraId="24E7A866"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Протягом навчального 202</w:t>
      </w:r>
      <w:r w:rsidRPr="00407A55">
        <w:rPr>
          <w:rFonts w:ascii="Times New Roman" w:eastAsia="Times New Roman" w:hAnsi="Times New Roman" w:cs="Times New Roman"/>
          <w:sz w:val="27"/>
          <w:szCs w:val="27"/>
          <w:lang w:eastAsia="ru-RU"/>
        </w:rPr>
        <w:t>5/</w:t>
      </w:r>
      <w:r w:rsidRPr="00407A55">
        <w:rPr>
          <w:rFonts w:ascii="Times New Roman" w:eastAsia="Times New Roman" w:hAnsi="Times New Roman" w:cs="Times New Roman"/>
          <w:sz w:val="27"/>
          <w:szCs w:val="27"/>
          <w:lang w:val="ru-RU" w:eastAsia="ru-RU"/>
        </w:rPr>
        <w:t>202</w:t>
      </w:r>
      <w:r w:rsidRPr="00407A55">
        <w:rPr>
          <w:rFonts w:ascii="Times New Roman" w:eastAsia="Times New Roman" w:hAnsi="Times New Roman" w:cs="Times New Roman"/>
          <w:sz w:val="27"/>
          <w:szCs w:val="27"/>
          <w:lang w:eastAsia="ru-RU"/>
        </w:rPr>
        <w:t>6</w:t>
      </w:r>
      <w:r w:rsidRPr="00407A55">
        <w:rPr>
          <w:rFonts w:ascii="Times New Roman" w:eastAsia="Times New Roman" w:hAnsi="Times New Roman" w:cs="Times New Roman"/>
          <w:sz w:val="27"/>
          <w:szCs w:val="27"/>
          <w:lang w:val="ru-RU" w:eastAsia="ru-RU"/>
        </w:rPr>
        <w:t xml:space="preserve"> років вартість проїзду для школярів становить 50% від вартості проїзду (</w:t>
      </w:r>
      <w:r w:rsidRPr="00407A55">
        <w:rPr>
          <w:rFonts w:ascii="Times New Roman" w:eastAsia="Times New Roman" w:hAnsi="Times New Roman" w:cs="Times New Roman"/>
          <w:sz w:val="27"/>
          <w:szCs w:val="27"/>
          <w:lang w:eastAsia="ru-RU"/>
        </w:rPr>
        <w:t>10</w:t>
      </w:r>
      <w:r w:rsidRPr="00407A55">
        <w:rPr>
          <w:rFonts w:ascii="Times New Roman" w:eastAsia="Times New Roman" w:hAnsi="Times New Roman" w:cs="Times New Roman"/>
          <w:sz w:val="27"/>
          <w:szCs w:val="27"/>
          <w:lang w:val="ru-RU" w:eastAsia="ru-RU"/>
        </w:rPr>
        <w:t xml:space="preserve"> грн.). </w:t>
      </w:r>
    </w:p>
    <w:p w:rsidR="00051B2D" w:rsidRPr="00407A55" w:rsidP="00051B2D" w14:paraId="66341B02"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Постійно проводиться робота з перевізниками щодо покращення обслуговування пасажирів.</w:t>
      </w:r>
    </w:p>
    <w:p w:rsidR="00051B2D" w:rsidRPr="00407A55" w:rsidP="00051B2D" w14:paraId="77FD0047" w14:textId="77777777">
      <w:pPr>
        <w:shd w:val="clear" w:color="auto" w:fill="FFFFFF"/>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Мешканці громади користуються приміським залізничним транспортом. В межах території громади знаходяться залізнична станція «Бровари» та пасажирські платформи «Княжичі» та «Ялинка».</w:t>
      </w:r>
    </w:p>
    <w:p w:rsidR="00051B2D" w:rsidRPr="00407A55" w:rsidP="00051B2D" w14:paraId="40009ADB" w14:textId="77777777">
      <w:pPr>
        <w:shd w:val="clear" w:color="auto" w:fill="FFFFFF"/>
        <w:spacing w:after="0" w:line="240" w:lineRule="auto"/>
        <w:ind w:firstLine="567"/>
        <w:contextualSpacing/>
        <w:jc w:val="both"/>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sz w:val="27"/>
          <w:szCs w:val="27"/>
          <w:lang w:val="ru-RU" w:eastAsia="ru-RU"/>
        </w:rPr>
        <w:t xml:space="preserve">В рамках міської Програми «З турботою про кожного» за рахунок коштів місцевого бюджету у звітному періоді відшкодовано витрати перевізників за безкоштовне перевезення пільгових категорій населення пасажирським автомобільним транспортом на суму </w:t>
      </w:r>
      <w:r w:rsidRPr="00407A55">
        <w:rPr>
          <w:rFonts w:ascii="Times New Roman" w:eastAsia="Times New Roman" w:hAnsi="Times New Roman" w:cs="Times New Roman"/>
          <w:sz w:val="27"/>
          <w:szCs w:val="27"/>
          <w:lang w:eastAsia="ru-RU"/>
        </w:rPr>
        <w:t>2 060,76</w:t>
      </w:r>
      <w:r w:rsidRPr="00407A55">
        <w:rPr>
          <w:rFonts w:ascii="Times New Roman" w:eastAsia="Times New Roman" w:hAnsi="Times New Roman" w:cs="Times New Roman"/>
          <w:sz w:val="27"/>
          <w:szCs w:val="27"/>
          <w:lang w:val="ru-RU" w:eastAsia="ru-RU"/>
        </w:rPr>
        <w:t xml:space="preserve"> тис. грн., а також відшкодовано витрати за перевезення на пільгових умовах залізничним транспортом окремих категорій громадян на суму – </w:t>
      </w:r>
      <w:r w:rsidRPr="00407A55">
        <w:rPr>
          <w:rFonts w:ascii="Times New Roman" w:eastAsia="Times New Roman" w:hAnsi="Times New Roman" w:cs="Times New Roman"/>
          <w:sz w:val="27"/>
          <w:szCs w:val="27"/>
          <w:lang w:eastAsia="ru-RU"/>
        </w:rPr>
        <w:t>675,86</w:t>
      </w:r>
      <w:r w:rsidRPr="00407A55">
        <w:rPr>
          <w:rFonts w:ascii="Times New Roman" w:eastAsia="Times New Roman" w:hAnsi="Times New Roman" w:cs="Times New Roman"/>
          <w:sz w:val="27"/>
          <w:szCs w:val="27"/>
          <w:lang w:val="ru-RU" w:eastAsia="ru-RU"/>
        </w:rPr>
        <w:t xml:space="preserve"> тис. грн. </w:t>
      </w:r>
    </w:p>
    <w:bookmarkEnd w:id="12"/>
    <w:p w:rsidR="00051B2D" w:rsidRPr="00407A55" w:rsidP="00051B2D" w14:paraId="72418F29" w14:textId="77777777">
      <w:pPr>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В громаді постійно проводиться робота щодо належного утримання доріг та інших обꞌєктів транспортної інфраструктури. У звітному періоді виконувались роботи по капітальному ремонту (додаткові роботи) проїзної частини прибудинкових територій та внутрішньоквартальних проїздів по вул. Петлюри Симона, 15, 15-А та по вул. Олімпійська, 6, 6-А.</w:t>
      </w:r>
    </w:p>
    <w:p w:rsidR="00051B2D" w:rsidRPr="00407A55" w:rsidP="00051B2D" w14:paraId="581DFC4C" w14:textId="77777777">
      <w:pPr>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Комунальним підприємством Броварської міської ради Броварського району Київської області «Бровари-Благоустрій» у звітному кварталі проводились роботи по поточному та ямковому ремонту доріг громади:</w:t>
      </w:r>
    </w:p>
    <w:p w:rsidR="00051B2D" w:rsidRPr="00407A55" w:rsidP="00051B2D" w14:paraId="1164D8BD" w14:textId="77777777">
      <w:pPr>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власними силами виконано ремонт дорожнього асфальто-бетонного покриття площею 11006,5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 в тому числі в с. Княжичі - 311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 xml:space="preserve">; </w:t>
      </w:r>
    </w:p>
    <w:p w:rsidR="00051B2D" w:rsidRPr="00407A55" w:rsidP="00051B2D" w14:paraId="64DB7811" w14:textId="77777777">
      <w:pPr>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поточний та ямковий ремонт дорожнього асфальто-бетонного із залученням підрядних організацій, площею 23621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 xml:space="preserve"> на суму 35 863,97 тис. грн., в тому числі с. Княжичі 272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 xml:space="preserve"> покриття на суму 324,3 тис. грн.;</w:t>
      </w:r>
    </w:p>
    <w:p w:rsidR="00051B2D" w:rsidRPr="00407A55" w:rsidP="00051B2D" w14:paraId="529A00DC" w14:textId="77777777">
      <w:pPr>
        <w:autoSpaceDE w:val="0"/>
        <w:autoSpaceDN w:val="0"/>
        <w:adjustRightInd w:val="0"/>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проводяться роботи по ліквідації вибоїн та тріщин в дорожньому полотні пневмо–струменевим методом установкою «MADPATCHER», роботи виконані по вулицях: Петлюри Симона, Чорних Запорожців, Героїв України, Героїв УПА, Київська, Онікієнка Олега, Бандери Степана, бульв. Незалежності площа виконання складає –1004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 в тому числі в с. Княжичі вул. Соборна - 157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w:t>
      </w:r>
    </w:p>
    <w:p w:rsidR="00051B2D" w:rsidRPr="00407A55" w:rsidP="00051B2D" w14:paraId="791FEC35" w14:textId="77777777">
      <w:pPr>
        <w:autoSpaceDE w:val="0"/>
        <w:autoSpaceDN w:val="0"/>
        <w:adjustRightInd w:val="0"/>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з червня запроваджено нові роботи по герметизації тріщин в дорожньому покритті плавильно-заливальною машиною. Роботи проведені по вул. Героїв України, Ярослава Мудрого, Грушевського Михайла, Вокзальна та шляхопровід №1, загерметизовано 570 м/п тріщин;</w:t>
      </w:r>
    </w:p>
    <w:p w:rsidR="00051B2D" w:rsidRPr="00407A55" w:rsidP="00051B2D" w14:paraId="58B5A9DC" w14:textId="77777777">
      <w:pPr>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реконструкція транспортної розв'язки на перехресті бульв Незалежності та вул. Січових Стрільців, виконано робіт на суму 4 708,6 тис. грн., роботи продовжуються;</w:t>
      </w:r>
    </w:p>
    <w:p w:rsidR="00051B2D" w:rsidRPr="00407A55" w:rsidP="00051B2D" w14:paraId="4C423975" w14:textId="77777777">
      <w:pPr>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продовжується будівництво вулиці Чубинського Павла (на ділянці від вул. Київської до вул. Стефаника Василя) на суму 10 535,1 тис грн. площа виконання 5538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w:t>
      </w:r>
    </w:p>
    <w:p w:rsidR="00051B2D" w:rsidRPr="00407A55" w:rsidP="00051B2D" w14:paraId="23A323DC" w14:textId="77777777">
      <w:pPr>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ремонт покриття доріжок та тротуарів із фігурних елементів мощення 73,5 м</w:t>
      </w:r>
      <w:r w:rsidRPr="00407A55">
        <w:rPr>
          <w:rFonts w:ascii="Times New Roman" w:eastAsia="Times New Roman" w:hAnsi="Times New Roman" w:cs="Times New Roman"/>
          <w:sz w:val="27"/>
          <w:szCs w:val="27"/>
          <w:vertAlign w:val="superscript"/>
          <w:lang w:val="ru-RU" w:eastAsia="ru-RU"/>
        </w:rPr>
        <w:t>2</w:t>
      </w:r>
      <w:r w:rsidRPr="00407A55">
        <w:rPr>
          <w:rFonts w:ascii="Times New Roman" w:eastAsia="Times New Roman" w:hAnsi="Times New Roman" w:cs="Times New Roman"/>
          <w:sz w:val="27"/>
          <w:szCs w:val="27"/>
          <w:lang w:val="ru-RU" w:eastAsia="ru-RU"/>
        </w:rPr>
        <w:t>;</w:t>
      </w:r>
    </w:p>
    <w:p w:rsidR="00051B2D" w:rsidRPr="00407A55" w:rsidP="00051B2D" w14:paraId="44A3670B" w14:textId="77777777">
      <w:pPr>
        <w:spacing w:after="0" w:line="240" w:lineRule="auto"/>
        <w:ind w:firstLine="426"/>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 -ямковий ремонт доріг регенерованим асфальтобетоном – 459 м</w:t>
      </w:r>
      <w:r w:rsidRPr="00407A55">
        <w:rPr>
          <w:rFonts w:ascii="Times New Roman" w:eastAsia="Times New Roman" w:hAnsi="Times New Roman" w:cs="Times New Roman"/>
          <w:sz w:val="27"/>
          <w:szCs w:val="27"/>
          <w:vertAlign w:val="superscript"/>
          <w:lang w:val="ru-RU" w:eastAsia="ru-RU"/>
        </w:rPr>
        <w:t xml:space="preserve">2 </w:t>
      </w:r>
      <w:r w:rsidRPr="00407A55">
        <w:rPr>
          <w:rFonts w:ascii="Times New Roman" w:eastAsia="Times New Roman" w:hAnsi="Times New Roman" w:cs="Times New Roman"/>
          <w:sz w:val="27"/>
          <w:szCs w:val="27"/>
          <w:lang w:val="ru-RU" w:eastAsia="ru-RU"/>
        </w:rPr>
        <w:t>(в холодний період).</w:t>
      </w:r>
    </w:p>
    <w:p w:rsidR="00051B2D" w:rsidRPr="00407A55" w:rsidP="00051B2D" w14:paraId="4BB4ECB5" w14:textId="77777777">
      <w:pPr>
        <w:spacing w:after="0" w:line="240" w:lineRule="auto"/>
        <w:ind w:firstLine="567"/>
        <w:contextualSpacing/>
        <w:jc w:val="both"/>
        <w:rPr>
          <w:rFonts w:ascii="Times New Roman" w:eastAsia="Times New Roman" w:hAnsi="Times New Roman" w:cs="Times New Roman"/>
          <w:b/>
          <w:bCs/>
          <w:i/>
          <w:iCs/>
          <w:sz w:val="27"/>
          <w:szCs w:val="27"/>
          <w:lang w:eastAsia="ru-RU"/>
        </w:rPr>
      </w:pP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b/>
          <w:i/>
          <w:color w:val="000000"/>
          <w:spacing w:val="-2"/>
          <w:sz w:val="27"/>
          <w:szCs w:val="27"/>
          <w:lang w:eastAsia="ru-RU"/>
        </w:rPr>
        <w:t xml:space="preserve">                                                        </w:t>
      </w:r>
    </w:p>
    <w:p w:rsidR="00051B2D" w:rsidRPr="00407A55" w:rsidP="00051B2D" w14:paraId="76E9C22E" w14:textId="77777777">
      <w:pPr>
        <w:spacing w:after="0" w:line="240" w:lineRule="auto"/>
        <w:ind w:firstLine="567"/>
        <w:jc w:val="center"/>
        <w:rPr>
          <w:rFonts w:ascii="Times New Roman" w:eastAsia="Times New Roman" w:hAnsi="Times New Roman" w:cs="Times New Roman"/>
          <w:b/>
          <w:i/>
          <w:iCs/>
          <w:sz w:val="27"/>
          <w:szCs w:val="27"/>
          <w:lang w:eastAsia="ru-RU"/>
        </w:rPr>
      </w:pPr>
      <w:bookmarkStart w:id="13" w:name="_Hlk158104314"/>
      <w:r w:rsidRPr="00407A55">
        <w:rPr>
          <w:rFonts w:ascii="Times New Roman" w:eastAsia="Times New Roman" w:hAnsi="Times New Roman" w:cs="Times New Roman"/>
          <w:b/>
          <w:i/>
          <w:iCs/>
          <w:sz w:val="27"/>
          <w:szCs w:val="27"/>
          <w:lang w:eastAsia="ru-RU"/>
        </w:rPr>
        <w:t>Розвиток ринку праці для підвищення рівня зайнятості</w:t>
      </w:r>
    </w:p>
    <w:p w:rsidR="00051B2D" w:rsidRPr="00407A55" w:rsidP="00051B2D" w14:paraId="00CB442B" w14:textId="77777777">
      <w:pPr>
        <w:suppressAutoHyphens/>
        <w:spacing w:after="0" w:line="240" w:lineRule="auto"/>
        <w:ind w:firstLine="567"/>
        <w:jc w:val="both"/>
        <w:rPr>
          <w:rFonts w:ascii="Times New Roman" w:eastAsia="Calibri" w:hAnsi="Times New Roman" w:cs="Times New Roman"/>
          <w:color w:val="000000"/>
          <w:sz w:val="27"/>
          <w:szCs w:val="27"/>
          <w:lang w:eastAsia="zh-CN"/>
        </w:rPr>
      </w:pPr>
      <w:r w:rsidRPr="00407A55">
        <w:rPr>
          <w:rFonts w:ascii="Times New Roman" w:eastAsia="Calibri" w:hAnsi="Times New Roman" w:cs="Times New Roman"/>
          <w:color w:val="000000"/>
          <w:sz w:val="27"/>
          <w:szCs w:val="27"/>
          <w:lang w:eastAsia="zh-CN"/>
        </w:rPr>
        <w:t>У сфері зайнятості спостерігається відплив працездатного населення з ринку праці, включаючи кваліфіковані кадри, зокрема до лав Збройних Сил України, Сил територіальної оборони, за кордон (у більшості – це жінки працездатного віку), до волонтерських організацій. Зростає потреба в максимально раціональному використанні наявної робочої сили та забезпеченні сприятливого рівня адаптивності працездатного населення до змін на ринку праці.</w:t>
      </w:r>
    </w:p>
    <w:p w:rsidR="00051B2D" w:rsidRPr="00407A55" w:rsidP="00051B2D" w14:paraId="1102D701" w14:textId="77777777">
      <w:pPr>
        <w:spacing w:after="0" w:line="240" w:lineRule="auto"/>
        <w:ind w:firstLine="567"/>
        <w:jc w:val="both"/>
        <w:rPr>
          <w:rFonts w:ascii="Times New Roman" w:eastAsia="Times New Roman" w:hAnsi="Times New Roman" w:cs="Times New Roman"/>
          <w:bCs/>
          <w:sz w:val="27"/>
          <w:szCs w:val="27"/>
          <w:lang w:eastAsia="ru-RU"/>
        </w:rPr>
      </w:pPr>
      <w:r w:rsidRPr="00407A55">
        <w:rPr>
          <w:rFonts w:ascii="Times New Roman" w:eastAsia="Times New Roman" w:hAnsi="Times New Roman" w:cs="Times New Roman"/>
          <w:bCs/>
          <w:sz w:val="27"/>
          <w:szCs w:val="27"/>
          <w:lang w:eastAsia="ru-RU"/>
        </w:rPr>
        <w:t xml:space="preserve">Станом на 01.07.2026 у Броварській філії Київського обласного центру зайнятості (далі – Філія) перебувало на обліку з числа безробітних 230 осіб  громади, з них 197 осіб (85,7%) - жінки, 50 осіб (21,7%)  - молодь у віці до 35 років, 51 особа (22,2%) ВПО, 2 особи (1%)  - учасники бойових дій. </w:t>
      </w:r>
    </w:p>
    <w:p w:rsidR="00051B2D" w:rsidRPr="00407A55" w:rsidP="00051B2D" w14:paraId="34FEE961" w14:textId="77777777">
      <w:pPr>
        <w:suppressAutoHyphens/>
        <w:spacing w:after="0" w:line="240" w:lineRule="auto"/>
        <w:ind w:firstLine="567"/>
        <w:jc w:val="both"/>
        <w:rPr>
          <w:rFonts w:ascii="Times New Roman" w:eastAsia="Calibri" w:hAnsi="Times New Roman" w:cs="Times New Roman"/>
          <w:color w:val="000000"/>
          <w:sz w:val="27"/>
          <w:szCs w:val="27"/>
          <w:lang w:eastAsia="zh-CN"/>
        </w:rPr>
      </w:pPr>
      <w:r w:rsidRPr="00407A55">
        <w:rPr>
          <w:rFonts w:ascii="Times New Roman" w:eastAsia="Calibri" w:hAnsi="Times New Roman" w:cs="Times New Roman"/>
          <w:color w:val="000000"/>
          <w:sz w:val="27"/>
          <w:szCs w:val="27"/>
          <w:lang w:eastAsia="zh-CN"/>
        </w:rPr>
        <w:t>У звітному періоді за сприянням Філії на вільні та новостворені робочі місця працевлаштовано 196 мешканців громади, в тому числі 43 особи ВПО.</w:t>
      </w:r>
    </w:p>
    <w:p w:rsidR="00051B2D" w:rsidRPr="00407A55" w:rsidP="00051B2D" w14:paraId="324BED11" w14:textId="77777777">
      <w:pPr>
        <w:spacing w:after="0" w:line="240" w:lineRule="auto"/>
        <w:ind w:firstLine="567"/>
        <w:jc w:val="both"/>
        <w:rPr>
          <w:rFonts w:ascii="Times New Roman" w:eastAsia="Times New Roman" w:hAnsi="Times New Roman" w:cs="Times New Roman"/>
          <w:bCs/>
          <w:iCs/>
          <w:sz w:val="27"/>
          <w:szCs w:val="27"/>
          <w:lang w:eastAsia="ru-RU"/>
        </w:rPr>
      </w:pPr>
      <w:r w:rsidRPr="00407A55">
        <w:rPr>
          <w:rFonts w:ascii="Times New Roman" w:eastAsia="Times New Roman" w:hAnsi="Times New Roman" w:cs="Times New Roman"/>
          <w:bCs/>
          <w:iCs/>
          <w:sz w:val="27"/>
          <w:szCs w:val="27"/>
          <w:lang w:eastAsia="ru-RU"/>
        </w:rPr>
        <w:t xml:space="preserve">Загальна кількість вакансій, які зареєстровані від роботодавців регіону складала 1890 одиниць, з них 504 вакансій укомплектовано за сприянням Філії. </w:t>
      </w:r>
    </w:p>
    <w:p w:rsidR="00051B2D" w:rsidRPr="00407A55" w:rsidP="00051B2D" w14:paraId="25D27790" w14:textId="77777777">
      <w:pPr>
        <w:suppressAutoHyphens/>
        <w:spacing w:after="0" w:line="240" w:lineRule="auto"/>
        <w:ind w:firstLine="567"/>
        <w:jc w:val="center"/>
        <w:rPr>
          <w:rFonts w:ascii="Times New Roman" w:eastAsia="Calibri" w:hAnsi="Times New Roman" w:cs="Times New Roman"/>
          <w:b/>
          <w:bCs/>
          <w:color w:val="000000"/>
          <w:sz w:val="27"/>
          <w:szCs w:val="27"/>
          <w:lang w:eastAsia="zh-CN"/>
        </w:rPr>
      </w:pPr>
    </w:p>
    <w:p w:rsidR="00051B2D" w:rsidRPr="00407A55" w:rsidP="00051B2D" w14:paraId="16418AFF" w14:textId="77777777">
      <w:pPr>
        <w:suppressAutoHyphens/>
        <w:spacing w:after="0" w:line="240" w:lineRule="auto"/>
        <w:ind w:firstLine="567"/>
        <w:jc w:val="center"/>
        <w:rPr>
          <w:rFonts w:ascii="Times New Roman" w:eastAsia="Calibri" w:hAnsi="Times New Roman" w:cs="Times New Roman"/>
          <w:b/>
          <w:bCs/>
          <w:color w:val="000000"/>
          <w:sz w:val="27"/>
          <w:szCs w:val="27"/>
          <w:lang w:eastAsia="zh-CN"/>
        </w:rPr>
      </w:pPr>
      <w:r w:rsidRPr="00407A55">
        <w:rPr>
          <w:rFonts w:ascii="Times New Roman" w:eastAsia="Calibri" w:hAnsi="Times New Roman" w:cs="Times New Roman"/>
          <w:b/>
          <w:bCs/>
          <w:color w:val="000000"/>
          <w:sz w:val="27"/>
          <w:szCs w:val="27"/>
          <w:lang w:eastAsia="zh-CN"/>
        </w:rPr>
        <w:t>Показники центру зайнятості, (осіб)</w:t>
      </w:r>
    </w:p>
    <w:p w:rsidR="00051B2D" w:rsidRPr="00407A55" w:rsidP="00051B2D" w14:paraId="6B7E12E4" w14:textId="77777777">
      <w:pPr>
        <w:suppressAutoHyphens/>
        <w:spacing w:after="0" w:line="240" w:lineRule="auto"/>
        <w:ind w:firstLine="567"/>
        <w:jc w:val="center"/>
        <w:rPr>
          <w:rFonts w:ascii="Times New Roman" w:eastAsia="Calibri" w:hAnsi="Times New Roman" w:cs="Times New Roman"/>
          <w:noProof/>
          <w:sz w:val="27"/>
          <w:szCs w:val="27"/>
          <w:lang w:eastAsia="zh-CN"/>
        </w:rPr>
      </w:pPr>
      <w:r w:rsidRPr="00407A55">
        <w:rPr>
          <w:rFonts w:ascii="Times New Roman" w:eastAsia="Calibri" w:hAnsi="Times New Roman" w:cs="Times New Roman"/>
          <w:noProof/>
          <w:sz w:val="27"/>
          <w:szCs w:val="27"/>
          <w:lang w:eastAsia="zh-CN"/>
        </w:rPr>
        <w:drawing>
          <wp:inline distT="0" distB="0" distL="0" distR="0">
            <wp:extent cx="5636260" cy="2576195"/>
            <wp:effectExtent l="0" t="0" r="2540" b="1460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051B2D" w:rsidRPr="00407A55" w:rsidP="00051B2D" w14:paraId="5EA7AA80" w14:textId="77777777">
      <w:pPr>
        <w:suppressAutoHyphens/>
        <w:spacing w:after="0" w:line="240" w:lineRule="auto"/>
        <w:ind w:firstLine="567"/>
        <w:jc w:val="both"/>
        <w:rPr>
          <w:rFonts w:ascii="Times New Roman" w:eastAsia="Calibri" w:hAnsi="Times New Roman" w:cs="Times New Roman"/>
          <w:color w:val="000000"/>
          <w:sz w:val="27"/>
          <w:szCs w:val="27"/>
          <w:lang w:eastAsia="zh-CN"/>
        </w:rPr>
      </w:pPr>
      <w:r w:rsidRPr="00407A55">
        <w:rPr>
          <w:rFonts w:ascii="Times New Roman" w:eastAsia="Calibri" w:hAnsi="Times New Roman" w:cs="Times New Roman"/>
          <w:color w:val="000000"/>
          <w:sz w:val="27"/>
          <w:szCs w:val="27"/>
          <w:lang w:eastAsia="zh-CN"/>
        </w:rPr>
        <w:t>В оплачуваних громадських роботах, інших тимчасових роботах та в суспільно корисних роботах приймали участь 208 осіб, в тому числі 100 ВПО.</w:t>
      </w:r>
    </w:p>
    <w:p w:rsidR="00051B2D" w:rsidRPr="00407A55" w:rsidP="00051B2D" w14:paraId="6144E7DC" w14:textId="77777777">
      <w:pPr>
        <w:spacing w:after="0" w:line="240" w:lineRule="auto"/>
        <w:ind w:firstLine="567"/>
        <w:jc w:val="both"/>
        <w:rPr>
          <w:rFonts w:ascii="Times New Roman" w:eastAsia="Times New Roman" w:hAnsi="Times New Roman" w:cs="Times New Roman"/>
          <w:bCs/>
          <w:iCs/>
          <w:color w:val="000000"/>
          <w:sz w:val="27"/>
          <w:szCs w:val="27"/>
          <w:lang w:eastAsia="ru-RU"/>
        </w:rPr>
      </w:pPr>
      <w:r w:rsidRPr="00407A55">
        <w:rPr>
          <w:rFonts w:ascii="Times New Roman" w:eastAsia="Times New Roman" w:hAnsi="Times New Roman" w:cs="Times New Roman"/>
          <w:bCs/>
          <w:iCs/>
          <w:color w:val="000000"/>
          <w:sz w:val="27"/>
          <w:szCs w:val="27"/>
          <w:lang w:eastAsia="ru-RU"/>
        </w:rPr>
        <w:t>У І півріччі 26 мешканців громади та  учасників бойових дій / їх дружини  отримали мікрогранти на створення або розвиток власного бізнесу.</w:t>
      </w:r>
    </w:p>
    <w:p w:rsidR="00051B2D" w:rsidRPr="00407A55" w:rsidP="00051B2D" w14:paraId="2B7FCA53" w14:textId="77777777">
      <w:pPr>
        <w:spacing w:after="0" w:line="240" w:lineRule="auto"/>
        <w:ind w:firstLine="567"/>
        <w:jc w:val="both"/>
        <w:rPr>
          <w:rFonts w:ascii="Times New Roman" w:eastAsia="Times New Roman" w:hAnsi="Times New Roman" w:cs="Times New Roman"/>
          <w:bCs/>
          <w:iCs/>
          <w:sz w:val="27"/>
          <w:szCs w:val="27"/>
          <w:lang w:eastAsia="ru-RU"/>
        </w:rPr>
      </w:pPr>
      <w:r w:rsidRPr="00407A55">
        <w:rPr>
          <w:rFonts w:ascii="Times New Roman" w:eastAsia="Times New Roman" w:hAnsi="Times New Roman" w:cs="Times New Roman"/>
          <w:noProof/>
          <w:sz w:val="27"/>
          <w:szCs w:val="27"/>
          <w:lang w:eastAsia="ru-RU"/>
        </w:rPr>
        <w:drawing>
          <wp:inline distT="0" distB="0" distL="0" distR="0">
            <wp:extent cx="5667375" cy="3267075"/>
            <wp:effectExtent l="19050" t="38100" r="9525" b="47625"/>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051B2D" w:rsidRPr="00407A55" w:rsidP="00051B2D" w14:paraId="60819F1A" w14:textId="77777777">
      <w:pPr>
        <w:spacing w:after="0" w:line="240" w:lineRule="auto"/>
        <w:ind w:firstLine="567"/>
        <w:jc w:val="both"/>
        <w:rPr>
          <w:rFonts w:ascii="Times New Roman" w:eastAsia="Times New Roman" w:hAnsi="Times New Roman" w:cs="Times New Roman"/>
          <w:bCs/>
          <w:sz w:val="27"/>
          <w:szCs w:val="27"/>
          <w:lang w:eastAsia="ru-RU"/>
        </w:rPr>
      </w:pPr>
      <w:r w:rsidRPr="00407A55">
        <w:rPr>
          <w:rFonts w:ascii="Times New Roman" w:eastAsia="Times New Roman" w:hAnsi="Times New Roman" w:cs="Times New Roman"/>
          <w:bCs/>
          <w:sz w:val="27"/>
          <w:szCs w:val="27"/>
          <w:lang w:eastAsia="ru-RU"/>
        </w:rPr>
        <w:t>Протягом  звітного періоду центром зайнятості було проведено 195 профінформаційних та профконсультаційних групових та масових заходів для населення та роботодавців, в тому числі: 11 – ярмарки вакансій, міні-ярмарки та презентації роботодавців; 50 семінарів та тренінгів за різною тематикою; 134 – робочих зустрічей.</w:t>
      </w:r>
    </w:p>
    <w:bookmarkEnd w:id="13"/>
    <w:p w:rsidR="00051B2D" w:rsidRPr="00407A55" w:rsidP="00051B2D" w14:paraId="67C19730" w14:textId="77777777">
      <w:pPr>
        <w:shd w:val="clear" w:color="auto" w:fill="FFFFFF"/>
        <w:tabs>
          <w:tab w:val="left" w:pos="6662"/>
        </w:tabs>
        <w:spacing w:after="0" w:line="240" w:lineRule="auto"/>
        <w:ind w:firstLine="567"/>
        <w:jc w:val="center"/>
        <w:rPr>
          <w:rFonts w:ascii="Times New Roman" w:eastAsia="Times New Roman" w:hAnsi="Times New Roman" w:cs="Times New Roman"/>
          <w:b/>
          <w:i/>
          <w:color w:val="000000"/>
          <w:spacing w:val="-2"/>
          <w:sz w:val="27"/>
          <w:szCs w:val="27"/>
          <w:lang w:eastAsia="ru-RU"/>
        </w:rPr>
      </w:pPr>
    </w:p>
    <w:p w:rsidR="00051B2D" w:rsidRPr="00407A55" w:rsidP="00051B2D" w14:paraId="08D1F81D" w14:textId="77777777">
      <w:pPr>
        <w:shd w:val="clear" w:color="auto" w:fill="FFFFFF"/>
        <w:tabs>
          <w:tab w:val="left" w:pos="6662"/>
        </w:tabs>
        <w:spacing w:after="0" w:line="240" w:lineRule="auto"/>
        <w:ind w:firstLine="567"/>
        <w:jc w:val="center"/>
        <w:rPr>
          <w:rFonts w:ascii="Times New Roman" w:eastAsia="Times New Roman" w:hAnsi="Times New Roman" w:cs="Times New Roman"/>
          <w:b/>
          <w:i/>
          <w:sz w:val="27"/>
          <w:szCs w:val="27"/>
          <w:lang w:eastAsia="ru-RU"/>
        </w:rPr>
      </w:pPr>
      <w:r w:rsidRPr="00407A55">
        <w:rPr>
          <w:rFonts w:ascii="Times New Roman" w:eastAsia="Times New Roman" w:hAnsi="Times New Roman" w:cs="Times New Roman"/>
          <w:b/>
          <w:i/>
          <w:color w:val="000000"/>
          <w:spacing w:val="-2"/>
          <w:sz w:val="27"/>
          <w:szCs w:val="27"/>
          <w:lang w:eastAsia="ru-RU"/>
        </w:rPr>
        <w:t xml:space="preserve">Удосконалення системи </w:t>
      </w:r>
      <w:r w:rsidRPr="00407A55">
        <w:rPr>
          <w:rFonts w:ascii="Times New Roman" w:eastAsia="Times New Roman" w:hAnsi="Times New Roman" w:cs="Times New Roman"/>
          <w:b/>
          <w:bCs/>
          <w:i/>
          <w:sz w:val="27"/>
          <w:szCs w:val="27"/>
          <w:lang w:eastAsia="ru-RU"/>
        </w:rPr>
        <w:t>надання а</w:t>
      </w:r>
      <w:r w:rsidRPr="00407A55">
        <w:rPr>
          <w:rFonts w:ascii="Times New Roman" w:eastAsia="Times New Roman" w:hAnsi="Times New Roman" w:cs="Times New Roman"/>
          <w:b/>
          <w:i/>
          <w:sz w:val="27"/>
          <w:szCs w:val="27"/>
          <w:lang w:eastAsia="ru-RU"/>
        </w:rPr>
        <w:t>дміністративних послуг</w:t>
      </w:r>
    </w:p>
    <w:p w:rsidR="00051B2D" w:rsidRPr="00407A55" w:rsidP="00051B2D" w14:paraId="7A2824AF"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Метою діяльності Центру обслуговування «Прозорий офіс» (далі – Центр) є спрощення та оптимізація процесу отримання адміністративних послуг, підвищення якості та доступності таких послуг, забезпечення прозорості та відкритості діяльності органів влади, зменшення бюрократичних перешкод та корупційних ризиків, ведення єдиної автоматизованої системи електронного документообігу та контролю за дотриманням вимог законодавства у сфері документообігу та законів України «Про звернення громадян» та «Про доступ до публічної інформації».</w:t>
      </w:r>
    </w:p>
    <w:p w:rsidR="00051B2D" w:rsidRPr="00407A55" w:rsidP="00051B2D" w14:paraId="71143798"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Кількість послуг, що надаються в ЦНАП, (одиниць)</w:t>
      </w:r>
    </w:p>
    <w:p w:rsidR="00051B2D" w:rsidRPr="00407A55" w:rsidP="00051B2D" w14:paraId="2FA5C352"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629275" cy="2305050"/>
            <wp:effectExtent l="0" t="0" r="9525"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51B2D" w:rsidRPr="00407A55" w:rsidP="00051B2D" w14:paraId="0542F96F"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Більшість адміністративних послуг, які надаються через Центр є безкоштовними, тільки за отримання 18 послуг стягується адміністративний збір, надходження від якого у І півріччі 2026 року становить 1 692,0 тис. грн.</w:t>
      </w:r>
    </w:p>
    <w:p w:rsidR="00051B2D" w:rsidRPr="00407A55" w:rsidP="00051B2D" w14:paraId="7567C63A"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eastAsia="ru-RU"/>
        </w:rPr>
        <w:t>У</w:t>
      </w:r>
      <w:r w:rsidRPr="00407A55">
        <w:rPr>
          <w:rFonts w:ascii="Times New Roman" w:eastAsia="Times New Roman" w:hAnsi="Times New Roman" w:cs="Times New Roman"/>
          <w:sz w:val="27"/>
          <w:szCs w:val="27"/>
          <w:lang w:val="ru-RU" w:eastAsia="ru-RU"/>
        </w:rPr>
        <w:t xml:space="preserve"> І піврічч</w:t>
      </w:r>
      <w:r w:rsidRPr="00407A55">
        <w:rPr>
          <w:rFonts w:ascii="Times New Roman" w:eastAsia="Times New Roman" w:hAnsi="Times New Roman" w:cs="Times New Roman"/>
          <w:sz w:val="27"/>
          <w:szCs w:val="27"/>
          <w:lang w:eastAsia="ru-RU"/>
        </w:rPr>
        <w:t>і</w:t>
      </w:r>
      <w:r w:rsidRPr="00407A55">
        <w:rPr>
          <w:rFonts w:ascii="Times New Roman" w:eastAsia="Times New Roman" w:hAnsi="Times New Roman" w:cs="Times New Roman"/>
          <w:sz w:val="27"/>
          <w:szCs w:val="27"/>
          <w:lang w:val="ru-RU" w:eastAsia="ru-RU"/>
        </w:rPr>
        <w:t xml:space="preserve"> 2026 року </w:t>
      </w:r>
      <w:r w:rsidRPr="00407A55">
        <w:rPr>
          <w:rFonts w:ascii="Times New Roman" w:eastAsia="Times New Roman" w:hAnsi="Times New Roman" w:cs="Times New Roman"/>
          <w:sz w:val="27"/>
          <w:szCs w:val="27"/>
          <w:lang w:eastAsia="ru-RU"/>
        </w:rPr>
        <w:t xml:space="preserve">до Центру надійшло 29 447 документів, що </w:t>
      </w:r>
      <w:r w:rsidRPr="00407A55">
        <w:rPr>
          <w:rFonts w:ascii="Times New Roman" w:eastAsia="Times New Roman" w:hAnsi="Times New Roman" w:cs="Times New Roman"/>
          <w:sz w:val="27"/>
          <w:szCs w:val="27"/>
          <w:lang w:val="ru-RU" w:eastAsia="ru-RU"/>
        </w:rPr>
        <w:t xml:space="preserve">на 3 988 </w:t>
      </w:r>
      <w:r w:rsidRPr="00407A55">
        <w:rPr>
          <w:rFonts w:ascii="Times New Roman" w:eastAsia="Times New Roman" w:hAnsi="Times New Roman" w:cs="Times New Roman"/>
          <w:sz w:val="27"/>
          <w:szCs w:val="27"/>
          <w:lang w:eastAsia="ru-RU"/>
        </w:rPr>
        <w:t>звернень більше ніж у відповідному періоді 2025 року</w:t>
      </w:r>
      <w:r w:rsidRPr="00407A55">
        <w:rPr>
          <w:rFonts w:ascii="Times New Roman" w:eastAsia="Times New Roman" w:hAnsi="Times New Roman" w:cs="Times New Roman"/>
          <w:sz w:val="27"/>
          <w:szCs w:val="27"/>
          <w:lang w:val="ru-RU" w:eastAsia="ru-RU"/>
        </w:rPr>
        <w:t xml:space="preserve"> (16%)</w:t>
      </w:r>
      <w:r w:rsidRPr="00407A55">
        <w:rPr>
          <w:rFonts w:ascii="Times New Roman" w:eastAsia="Times New Roman" w:hAnsi="Times New Roman" w:cs="Times New Roman"/>
          <w:sz w:val="27"/>
          <w:szCs w:val="27"/>
          <w:lang w:eastAsia="ru-RU"/>
        </w:rPr>
        <w:t xml:space="preserve">. </w:t>
      </w:r>
      <w:r w:rsidRPr="00407A55">
        <w:rPr>
          <w:rFonts w:ascii="Times New Roman" w:eastAsia="Times New Roman" w:hAnsi="Times New Roman" w:cs="Times New Roman"/>
          <w:sz w:val="27"/>
          <w:szCs w:val="27"/>
          <w:lang w:val="ru-RU" w:eastAsia="ru-RU"/>
        </w:rPr>
        <w:t>Найбільше до Центру зверталися з питання декларування та реєстрації місця проживання фізичних осіб –</w:t>
      </w:r>
      <w:r w:rsidRPr="00407A55">
        <w:rPr>
          <w:rFonts w:ascii="Times New Roman" w:eastAsia="Times New Roman" w:hAnsi="Times New Roman" w:cs="Times New Roman"/>
          <w:sz w:val="27"/>
          <w:szCs w:val="27"/>
          <w:lang w:eastAsia="ru-RU"/>
        </w:rPr>
        <w:t xml:space="preserve"> 12 933</w:t>
      </w:r>
      <w:r w:rsidRPr="00407A55">
        <w:rPr>
          <w:rFonts w:ascii="Times New Roman" w:eastAsia="Times New Roman" w:hAnsi="Times New Roman" w:cs="Times New Roman"/>
          <w:sz w:val="27"/>
          <w:szCs w:val="27"/>
          <w:lang w:val="ru-RU" w:eastAsia="ru-RU"/>
        </w:rPr>
        <w:t xml:space="preserve"> (4</w:t>
      </w:r>
      <w:r w:rsidRPr="00407A55">
        <w:rPr>
          <w:rFonts w:ascii="Times New Roman" w:eastAsia="Times New Roman" w:hAnsi="Times New Roman" w:cs="Times New Roman"/>
          <w:sz w:val="27"/>
          <w:szCs w:val="27"/>
          <w:lang w:eastAsia="ru-RU"/>
        </w:rPr>
        <w:t>3,9</w:t>
      </w:r>
      <w:r w:rsidRPr="00407A55">
        <w:rPr>
          <w:rFonts w:ascii="Times New Roman" w:eastAsia="Times New Roman" w:hAnsi="Times New Roman" w:cs="Times New Roman"/>
          <w:sz w:val="27"/>
          <w:szCs w:val="27"/>
          <w:lang w:val="ru-RU" w:eastAsia="ru-RU"/>
        </w:rPr>
        <w:t>%).</w:t>
      </w:r>
    </w:p>
    <w:p w:rsidR="00051B2D" w:rsidRPr="00407A55" w:rsidP="00051B2D" w14:paraId="292C9409" w14:textId="77777777">
      <w:pPr>
        <w:autoSpaceDE w:val="0"/>
        <w:autoSpaceDN w:val="0"/>
        <w:adjustRightInd w:val="0"/>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Times New Roman" w:hAnsi="Times New Roman" w:cs="Times New Roman"/>
          <w:noProof/>
          <w:sz w:val="27"/>
          <w:szCs w:val="27"/>
          <w:lang w:val="ru-RU" w:eastAsia="ru-RU"/>
        </w:rPr>
        <w:drawing>
          <wp:inline distT="0" distB="0" distL="0" distR="0">
            <wp:extent cx="5671820" cy="3046095"/>
            <wp:effectExtent l="0" t="0" r="5080" b="190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51B2D" w:rsidRPr="00407A55" w:rsidP="00051B2D" w14:paraId="2E37E594" w14:textId="77777777">
      <w:pPr>
        <w:autoSpaceDE w:val="0"/>
        <w:autoSpaceDN w:val="0"/>
        <w:adjustRightInd w:val="0"/>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 xml:space="preserve">В Центрі обслуговування «Прозорий офіс» та на віддалених робочих місцях в населених пунктах Княжичі та Требухів проводиться моніторинг якості надання адміністративних послуг, розміщені </w:t>
      </w:r>
      <w:r w:rsidRPr="00407A55">
        <w:rPr>
          <w:rFonts w:ascii="Times New Roman" w:eastAsia="Calibri" w:hAnsi="Times New Roman" w:cs="Times New Roman"/>
          <w:sz w:val="27"/>
          <w:szCs w:val="27"/>
          <w:lang w:val="ru-RU" w:eastAsia="en-US"/>
        </w:rPr>
        <w:t>QR</w:t>
      </w:r>
      <w:r w:rsidRPr="00407A55">
        <w:rPr>
          <w:rFonts w:ascii="Times New Roman" w:eastAsia="Calibri" w:hAnsi="Times New Roman" w:cs="Times New Roman"/>
          <w:sz w:val="27"/>
          <w:szCs w:val="27"/>
          <w:lang w:eastAsia="en-US"/>
        </w:rPr>
        <w:t xml:space="preserve">-коди на форми-опитувальники (анкети) з питаннями щодо оцінки рівня задоволеності суб’єктів звернення якістю надання адміністративних послуг. </w:t>
      </w:r>
    </w:p>
    <w:p w:rsidR="00051B2D" w:rsidRPr="00407A55" w:rsidP="00051B2D" w14:paraId="316F1D1B"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val="ru-RU" w:eastAsia="ru-RU"/>
        </w:rPr>
        <w:t xml:space="preserve">Одним з найважливіших напрямків роботи Центру є питання соціального захисту ветеранів війни та членів їх сімей. Саме для цього при Центрі працює «Єдине вікно для ветеранів», роботу якого забезпечують фахівці управління з питань ветеранської політики Броварської міської ради. За звітний період </w:t>
      </w:r>
      <w:r w:rsidRPr="00407A55">
        <w:rPr>
          <w:rFonts w:ascii="Times New Roman" w:eastAsia="Times New Roman" w:hAnsi="Times New Roman" w:cs="Times New Roman"/>
          <w:sz w:val="27"/>
          <w:szCs w:val="27"/>
          <w:lang w:eastAsia="ru-RU"/>
        </w:rPr>
        <w:t>фахівцями управління з питань ветеранської політики</w:t>
      </w:r>
      <w:r w:rsidRPr="00407A55">
        <w:rPr>
          <w:rFonts w:ascii="Times New Roman" w:eastAsia="Times New Roman" w:hAnsi="Times New Roman" w:cs="Times New Roman"/>
          <w:sz w:val="27"/>
          <w:szCs w:val="27"/>
        </w:rPr>
        <w:t xml:space="preserve"> зареєстровано 589 звернень від ветеранів та членів їх сімей, у сфері соціального захисту та підтримки - 1675.</w:t>
      </w:r>
    </w:p>
    <w:p w:rsidR="00051B2D" w:rsidRPr="00407A55" w:rsidP="00051B2D" w14:paraId="0EBC7372"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Приміщення Центру та віддалені робочі місця його структурних підрозділів, які, для зручності мешканців, розташовані в старостинських округах громади, облаштовані відповідно до потреб суб’єктів звернення. </w:t>
      </w:r>
    </w:p>
    <w:p w:rsidR="00051B2D" w:rsidRPr="00407A55" w:rsidP="00051B2D" w14:paraId="6EA59FB2"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Так, у секторі прийому та інформування приміщень Центру, знаходяться зручні зони очікування, облаштовані дитячі куточки. </w:t>
      </w:r>
    </w:p>
    <w:p w:rsidR="00051B2D" w:rsidRPr="00407A55" w:rsidP="00051B2D" w14:paraId="62EC7436"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 xml:space="preserve">Запроваджена електронна черга, (здійснюється запис на прийом через IBOX з видачею талонів). Крім того система дозволяє записуватися в чергу через інтернет, без попереднього відвідування Центру. </w:t>
      </w:r>
    </w:p>
    <w:p w:rsidR="00051B2D" w:rsidRPr="00407A55" w:rsidP="00051B2D" w14:paraId="243321E5"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lang w:eastAsia="ru-RU"/>
        </w:rPr>
        <w:t>У звітному періоді впроваджено</w:t>
      </w:r>
      <w:r w:rsidRPr="00407A55">
        <w:rPr>
          <w:rFonts w:ascii="Times New Roman" w:eastAsia="Times New Roman" w:hAnsi="Times New Roman" w:cs="Times New Roman"/>
          <w:sz w:val="27"/>
          <w:szCs w:val="27"/>
        </w:rPr>
        <w:t xml:space="preserve"> електронну чергу для отримання соціальних послуг та послуг «єдиного вікна» для ветеранів, що дозволило рівномірно розподілити навантаження на адміністраторів. Відсутність скупчень людей у залах створює комфортні умови як для відвідувачів так і для персоналу. Суб’єкти </w:t>
      </w:r>
      <w:r w:rsidRPr="00407A55">
        <w:rPr>
          <w:rFonts w:ascii="Times New Roman" w:eastAsia="Times New Roman" w:hAnsi="Times New Roman" w:cs="Times New Roman"/>
          <w:sz w:val="27"/>
          <w:szCs w:val="27"/>
        </w:rPr>
        <w:t>самостійно обирають час отримання послуги та мають можливість спланувати прийом.</w:t>
      </w:r>
    </w:p>
    <w:p w:rsidR="00051B2D" w:rsidRPr="00407A55" w:rsidP="00051B2D" w14:paraId="58A825B5"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На рецепції Центру, його відокремлених структурних підрозділах та робочих місцях наявний безперешкодний доступ для осіб з інвалідністю зі слуху до сервісу системи відеозв'язку з перекладачем жестової мови «СЕРВІС УТОГ». У відокремлених структурних підрозділах Центру запроваджено тактильні системи (маркування для людей з вадами зору) для навігації в просторі (таблички з назвами структурних підрозділів та графіків роботи) та контрастне маркування (жовті смуги, стрічки), що виділяє перешкоди та важливі елементи, допомагаючи людям з порушеннями зору орієнтуватися, знаходити потрібне та забезпечуючи безпеку.</w:t>
      </w:r>
    </w:p>
    <w:p w:rsidR="00051B2D" w:rsidRPr="00407A55" w:rsidP="00051B2D" w14:paraId="45BB7096"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Оплату за надання адміністративних послуг відвідувачі також можуть здійснити безпосередньо через термінал самообслуговування, що розташований у приміщеннях Центру, як в готівковій формі так і карткою будь-якого банку.</w:t>
      </w:r>
    </w:p>
    <w:p w:rsidR="00051B2D" w:rsidRPr="00407A55" w:rsidP="00051B2D" w14:paraId="42DB108B"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У межах тристоронньої угоди укладеною між Центральним міжрегіональним управлінням Міністерства юстиції (м. Київ), відділенням Нотаріальної палати України в Київській області та виконавчим комітетом Броварської міської ради, в Центрі запроваджено прийом громадян нотаріусами Броварського округу для надання консультацій. </w:t>
      </w:r>
    </w:p>
    <w:p w:rsidR="00051B2D" w:rsidRPr="00407A55" w:rsidP="00051B2D" w14:paraId="69168D78"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За звітний період, за рахунок коштів міського бюджету повністю оновлено 7 робочих місць адміністраторів (встановлено нові комп’ютери та багатофункціональні пристрої), що дозволило значно скоротити час обслуговування суб’єктів звернень, відповідно, зменшено час очікування у черзі.</w:t>
      </w:r>
    </w:p>
    <w:p w:rsidR="00051B2D" w:rsidRPr="00407A55" w:rsidP="00051B2D" w14:paraId="213E20CB"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Також, у звітному періоді було проведено роботи з благоустрою вхідної групи відділу документування та оформлення паспортів громадянина України.</w:t>
      </w:r>
    </w:p>
    <w:p w:rsidR="00051B2D" w:rsidRPr="00407A55" w:rsidP="00051B2D" w14:paraId="677CCA4F" w14:textId="77777777">
      <w:pPr>
        <w:autoSpaceDE w:val="0"/>
        <w:autoSpaceDN w:val="0"/>
        <w:adjustRightInd w:val="0"/>
        <w:spacing w:after="0" w:line="240" w:lineRule="auto"/>
        <w:ind w:firstLine="567"/>
        <w:jc w:val="both"/>
        <w:rPr>
          <w:rFonts w:ascii="Times New Roman" w:eastAsia="Calibri" w:hAnsi="Times New Roman" w:cs="Times New Roman"/>
          <w:sz w:val="27"/>
          <w:szCs w:val="27"/>
          <w:lang w:val="ru-RU" w:eastAsia="en-US"/>
        </w:rPr>
      </w:pPr>
      <w:r w:rsidRPr="00407A55">
        <w:rPr>
          <w:rFonts w:ascii="Times New Roman" w:eastAsia="Calibri" w:hAnsi="Times New Roman" w:cs="Times New Roman"/>
          <w:sz w:val="27"/>
          <w:szCs w:val="27"/>
          <w:lang w:val="ru-RU" w:eastAsia="en-US"/>
        </w:rPr>
        <w:t>У 202</w:t>
      </w:r>
      <w:r w:rsidRPr="00407A55">
        <w:rPr>
          <w:rFonts w:ascii="Times New Roman" w:eastAsia="Calibri" w:hAnsi="Times New Roman" w:cs="Times New Roman"/>
          <w:sz w:val="27"/>
          <w:szCs w:val="27"/>
          <w:lang w:eastAsia="en-US"/>
        </w:rPr>
        <w:t>6</w:t>
      </w:r>
      <w:r w:rsidRPr="00407A55">
        <w:rPr>
          <w:rFonts w:ascii="Times New Roman" w:eastAsia="Calibri" w:hAnsi="Times New Roman" w:cs="Times New Roman"/>
          <w:sz w:val="27"/>
          <w:szCs w:val="27"/>
          <w:lang w:val="ru-RU" w:eastAsia="en-US"/>
        </w:rPr>
        <w:t xml:space="preserve"> році у Центрі продовжу</w:t>
      </w:r>
      <w:r w:rsidRPr="00407A55">
        <w:rPr>
          <w:rFonts w:ascii="Times New Roman" w:eastAsia="Calibri" w:hAnsi="Times New Roman" w:cs="Times New Roman"/>
          <w:sz w:val="27"/>
          <w:szCs w:val="27"/>
          <w:lang w:eastAsia="en-US"/>
        </w:rPr>
        <w:t>є</w:t>
      </w:r>
      <w:r w:rsidRPr="00407A55">
        <w:rPr>
          <w:rFonts w:ascii="Times New Roman" w:eastAsia="Calibri" w:hAnsi="Times New Roman" w:cs="Times New Roman"/>
          <w:sz w:val="27"/>
          <w:szCs w:val="27"/>
          <w:lang w:val="ru-RU" w:eastAsia="en-US"/>
        </w:rPr>
        <w:t xml:space="preserve"> працювати Центр рекрутингу української армії.</w:t>
      </w:r>
    </w:p>
    <w:p w:rsidR="00051B2D" w:rsidRPr="00407A55" w:rsidP="00051B2D" w14:paraId="396A2C3D" w14:textId="77777777">
      <w:pPr>
        <w:shd w:val="clear" w:color="auto" w:fill="FFFFFF"/>
        <w:tabs>
          <w:tab w:val="left" w:pos="6662"/>
        </w:tabs>
        <w:spacing w:after="0" w:line="240" w:lineRule="auto"/>
        <w:ind w:firstLine="567"/>
        <w:jc w:val="center"/>
        <w:rPr>
          <w:rFonts w:ascii="Times New Roman" w:eastAsia="Times New Roman" w:hAnsi="Times New Roman" w:cs="Times New Roman"/>
          <w:b/>
          <w:i/>
          <w:sz w:val="27"/>
          <w:szCs w:val="27"/>
          <w:lang w:val="ru-RU" w:eastAsia="ru-RU"/>
        </w:rPr>
      </w:pPr>
    </w:p>
    <w:p w:rsidR="00051B2D" w:rsidRPr="00407A55" w:rsidP="00051B2D" w14:paraId="392FFD72" w14:textId="77777777">
      <w:pPr>
        <w:tabs>
          <w:tab w:val="left" w:pos="284"/>
        </w:tabs>
        <w:spacing w:after="0" w:line="240" w:lineRule="auto"/>
        <w:ind w:firstLine="567"/>
        <w:jc w:val="center"/>
        <w:rPr>
          <w:rFonts w:ascii="Times New Roman" w:eastAsia="Calibri" w:hAnsi="Times New Roman" w:cs="Times New Roman"/>
          <w:b/>
          <w:i/>
          <w:iCs/>
          <w:sz w:val="27"/>
          <w:szCs w:val="27"/>
          <w:lang w:eastAsia="en-US"/>
        </w:rPr>
      </w:pPr>
      <w:r w:rsidRPr="00407A55">
        <w:rPr>
          <w:rFonts w:ascii="Times New Roman" w:eastAsia="Calibri" w:hAnsi="Times New Roman" w:cs="Times New Roman"/>
          <w:b/>
          <w:i/>
          <w:iCs/>
          <w:sz w:val="27"/>
          <w:szCs w:val="27"/>
          <w:lang w:eastAsia="en-US"/>
        </w:rPr>
        <w:t>Розвиток сільськогосподарського виробництва</w:t>
      </w:r>
    </w:p>
    <w:p w:rsidR="00051B2D" w:rsidRPr="00407A55" w:rsidP="00051B2D" w14:paraId="011ADDBA" w14:textId="77777777">
      <w:pPr>
        <w:spacing w:after="0" w:line="240" w:lineRule="auto"/>
        <w:ind w:right="140" w:firstLine="567"/>
        <w:contextualSpacing/>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На території Броварської міської територіальної громади в селах Княжичі та Требухів працюють </w:t>
      </w:r>
      <w:r w:rsidRPr="00407A55">
        <w:rPr>
          <w:rFonts w:ascii="Times New Roman" w:eastAsia="Times New Roman" w:hAnsi="Times New Roman" w:cs="Times New Roman"/>
          <w:iCs/>
          <w:sz w:val="27"/>
          <w:szCs w:val="27"/>
          <w:lang w:eastAsia="ru-RU"/>
        </w:rPr>
        <w:t>чотири суб’єкти господарювання</w:t>
      </w:r>
      <w:r w:rsidRPr="00407A55">
        <w:rPr>
          <w:rFonts w:ascii="Times New Roman" w:eastAsia="Times New Roman" w:hAnsi="Times New Roman" w:cs="Times New Roman"/>
          <w:sz w:val="27"/>
          <w:szCs w:val="27"/>
          <w:lang w:eastAsia="ru-RU"/>
        </w:rPr>
        <w:t>, пріоритетами розвитку яких є рослинництво.</w:t>
      </w:r>
    </w:p>
    <w:p w:rsidR="00051B2D" w:rsidRPr="00407A55" w:rsidP="00051B2D" w14:paraId="7EB8DDD7" w14:textId="77777777">
      <w:pPr>
        <w:spacing w:after="0" w:line="240" w:lineRule="auto"/>
        <w:ind w:right="140" w:firstLine="567"/>
        <w:contextualSpacing/>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Посіяно сільськогосподарських культур в громаді (га)</w:t>
      </w:r>
    </w:p>
    <w:p w:rsidR="00051B2D" w:rsidRPr="00407A55" w:rsidP="00051B2D" w14:paraId="152386EE" w14:textId="77777777">
      <w:pPr>
        <w:spacing w:after="0" w:line="240" w:lineRule="auto"/>
        <w:ind w:right="140"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noProof/>
          <w:sz w:val="27"/>
          <w:szCs w:val="27"/>
          <w:lang w:val="ru-RU" w:eastAsia="ru-RU"/>
        </w:rPr>
        <w:drawing>
          <wp:inline distT="0" distB="0" distL="0" distR="0">
            <wp:extent cx="5619750" cy="25146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051B2D" w:rsidRPr="00407A55" w:rsidP="00051B2D" w14:paraId="0EFC2737" w14:textId="77777777">
      <w:pPr>
        <w:tabs>
          <w:tab w:val="left" w:pos="9356"/>
        </w:tabs>
        <w:spacing w:after="0" w:line="240" w:lineRule="auto"/>
        <w:ind w:right="140" w:firstLine="567"/>
        <w:contextualSpacing/>
        <w:jc w:val="both"/>
        <w:rPr>
          <w:rFonts w:ascii="Times New Roman" w:eastAsia="Times New Roman" w:hAnsi="Times New Roman" w:cs="Times New Roman"/>
          <w:sz w:val="27"/>
          <w:szCs w:val="27"/>
          <w:lang w:eastAsia="ru-RU"/>
        </w:rPr>
      </w:pPr>
    </w:p>
    <w:p w:rsidR="00051B2D" w:rsidRPr="00407A55" w:rsidP="00051B2D" w14:paraId="7A7918C8" w14:textId="77777777">
      <w:pPr>
        <w:tabs>
          <w:tab w:val="left" w:pos="9356"/>
        </w:tabs>
        <w:spacing w:after="0" w:line="240" w:lineRule="auto"/>
        <w:ind w:right="140"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eastAsia="ru-RU"/>
        </w:rPr>
        <w:t>В</w:t>
      </w:r>
      <w:r w:rsidRPr="00407A55">
        <w:rPr>
          <w:rFonts w:ascii="Times New Roman" w:eastAsia="Times New Roman" w:hAnsi="Times New Roman" w:cs="Times New Roman"/>
          <w:sz w:val="27"/>
          <w:szCs w:val="27"/>
          <w:lang w:val="ru-RU" w:eastAsia="ru-RU"/>
        </w:rPr>
        <w:t xml:space="preserve"> селах громади </w:t>
      </w:r>
      <w:r w:rsidRPr="00407A55">
        <w:rPr>
          <w:rFonts w:ascii="Times New Roman" w:eastAsia="Times New Roman" w:hAnsi="Times New Roman" w:cs="Times New Roman"/>
          <w:sz w:val="27"/>
          <w:szCs w:val="27"/>
          <w:lang w:eastAsia="ru-RU"/>
        </w:rPr>
        <w:t xml:space="preserve">в 1 півріччі 2026 року було посіяно 710 га </w:t>
      </w:r>
      <w:r w:rsidRPr="00407A55">
        <w:rPr>
          <w:rFonts w:ascii="Times New Roman" w:eastAsia="Times New Roman" w:hAnsi="Times New Roman" w:cs="Times New Roman"/>
          <w:sz w:val="27"/>
          <w:szCs w:val="27"/>
          <w:lang w:val="ru-RU" w:eastAsia="ru-RU"/>
        </w:rPr>
        <w:t>кукурудзи</w:t>
      </w:r>
      <w:r w:rsidRPr="00407A55">
        <w:rPr>
          <w:rFonts w:ascii="Times New Roman" w:eastAsia="Times New Roman" w:hAnsi="Times New Roman" w:cs="Times New Roman"/>
          <w:sz w:val="27"/>
          <w:szCs w:val="27"/>
          <w:lang w:eastAsia="ru-RU"/>
        </w:rPr>
        <w:t xml:space="preserve"> на зерно,</w:t>
      </w:r>
      <w:r w:rsidRPr="00407A55">
        <w:rPr>
          <w:rFonts w:ascii="Times New Roman" w:eastAsia="Times New Roman" w:hAnsi="Times New Roman" w:cs="Times New Roman"/>
          <w:sz w:val="27"/>
          <w:szCs w:val="27"/>
          <w:lang w:val="ru-RU" w:eastAsia="ru-RU"/>
        </w:rPr>
        <w:t xml:space="preserve">  </w:t>
      </w:r>
      <w:r w:rsidRPr="00407A55">
        <w:rPr>
          <w:rFonts w:ascii="Times New Roman" w:eastAsia="Times New Roman" w:hAnsi="Times New Roman" w:cs="Times New Roman"/>
          <w:sz w:val="27"/>
          <w:szCs w:val="27"/>
          <w:lang w:eastAsia="ru-RU"/>
        </w:rPr>
        <w:t>522</w:t>
      </w:r>
      <w:r w:rsidRPr="00407A55">
        <w:rPr>
          <w:rFonts w:ascii="Times New Roman" w:eastAsia="Times New Roman" w:hAnsi="Times New Roman" w:cs="Times New Roman"/>
          <w:sz w:val="27"/>
          <w:szCs w:val="27"/>
          <w:lang w:val="ru-RU" w:eastAsia="ru-RU"/>
        </w:rPr>
        <w:t xml:space="preserve"> га соняшнику</w:t>
      </w:r>
      <w:r w:rsidRPr="00407A55">
        <w:rPr>
          <w:rFonts w:ascii="Times New Roman" w:eastAsia="Times New Roman" w:hAnsi="Times New Roman" w:cs="Times New Roman"/>
          <w:sz w:val="27"/>
          <w:szCs w:val="27"/>
          <w:lang w:eastAsia="ru-RU"/>
        </w:rPr>
        <w:t xml:space="preserve">, 338 га ріпаку. </w:t>
      </w:r>
      <w:r w:rsidRPr="00407A55">
        <w:rPr>
          <w:rFonts w:ascii="Times New Roman" w:eastAsia="Times New Roman" w:hAnsi="Times New Roman" w:cs="Times New Roman"/>
          <w:sz w:val="27"/>
          <w:szCs w:val="27"/>
          <w:lang w:val="ru-RU" w:eastAsia="ru-RU"/>
        </w:rPr>
        <w:t xml:space="preserve">Зібрано врожаю </w:t>
      </w:r>
      <w:r w:rsidRPr="00407A55">
        <w:rPr>
          <w:rFonts w:ascii="Times New Roman" w:eastAsia="Times New Roman" w:hAnsi="Times New Roman" w:cs="Times New Roman"/>
          <w:sz w:val="27"/>
          <w:szCs w:val="27"/>
          <w:lang w:eastAsia="ru-RU"/>
        </w:rPr>
        <w:t>338 га ріпаку.</w:t>
      </w:r>
    </w:p>
    <w:p w:rsidR="00051B2D" w:rsidRPr="00407A55" w:rsidP="00051B2D" w14:paraId="12B8AC84" w14:textId="77777777">
      <w:pPr>
        <w:spacing w:after="0" w:line="240" w:lineRule="auto"/>
        <w:ind w:firstLine="567"/>
        <w:rPr>
          <w:rFonts w:ascii="Times New Roman" w:eastAsia="Times New Roman" w:hAnsi="Times New Roman" w:cs="Times New Roman"/>
          <w:sz w:val="27"/>
          <w:szCs w:val="27"/>
          <w:lang w:val="ru-RU" w:eastAsia="ru-RU"/>
        </w:rPr>
      </w:pPr>
    </w:p>
    <w:p w:rsidR="00051B2D" w:rsidRPr="00407A55" w:rsidP="00051B2D" w14:paraId="51BF012B" w14:textId="77777777">
      <w:pPr>
        <w:tabs>
          <w:tab w:val="left" w:pos="284"/>
        </w:tabs>
        <w:spacing w:after="0" w:line="240" w:lineRule="auto"/>
        <w:ind w:firstLine="567"/>
        <w:jc w:val="center"/>
        <w:rPr>
          <w:rFonts w:ascii="Times New Roman" w:eastAsia="Times New Roman" w:hAnsi="Times New Roman" w:cs="Times New Roman"/>
          <w:b/>
          <w:i/>
          <w:iCs/>
          <w:color w:val="000000"/>
          <w:sz w:val="27"/>
          <w:szCs w:val="27"/>
          <w:lang w:eastAsia="ru-RU"/>
        </w:rPr>
      </w:pPr>
      <w:r w:rsidRPr="00407A55">
        <w:rPr>
          <w:rFonts w:ascii="Times New Roman" w:eastAsia="Times New Roman" w:hAnsi="Times New Roman" w:cs="Times New Roman"/>
          <w:b/>
          <w:i/>
          <w:iCs/>
          <w:color w:val="000000"/>
          <w:sz w:val="27"/>
          <w:szCs w:val="27"/>
          <w:lang w:eastAsia="ru-RU"/>
        </w:rPr>
        <w:t>Розвиток промислового потенціалу</w:t>
      </w:r>
    </w:p>
    <w:p w:rsidR="00051B2D" w:rsidP="00051B2D" w14:paraId="279CB7D2" w14:textId="77777777">
      <w:pPr>
        <w:spacing w:after="0" w:line="240" w:lineRule="auto"/>
        <w:ind w:right="-1"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shd w:val="clear" w:color="auto" w:fill="FFFFFF"/>
          <w:lang w:eastAsia="ru-RU"/>
        </w:rPr>
        <w:t xml:space="preserve">Провідною галуззю економіки громади є промисловість. </w:t>
      </w:r>
      <w:r w:rsidRPr="00407A55">
        <w:rPr>
          <w:rFonts w:ascii="Times New Roman" w:eastAsia="Times New Roman" w:hAnsi="Times New Roman" w:cs="Times New Roman"/>
          <w:color w:val="000000"/>
          <w:sz w:val="27"/>
          <w:szCs w:val="27"/>
          <w:lang w:eastAsia="ru-RU"/>
        </w:rPr>
        <w:t xml:space="preserve">Основу промислового комплексу громади складають підприємства переробної промисловості, які представлені металургійним виробництвом  та виробництвом готових металевих виробів, виробництвом гумових і пластмасових виробів, виробництвом харчових продуктів, напоїв, виготовленням виробів з деревини, машинобудуванням, текстильним виробництвом, виробництвом одягу, виробництвом іншої неметалевої мінеральної продукції, </w:t>
      </w:r>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виробництвом основних фармацевтичних продуктів і фармацевтичних препаратів, виробництвом хімічних речовин і хімічної продукції.</w:t>
      </w:r>
    </w:p>
    <w:p w:rsidR="00051B2D" w:rsidRPr="00407A55" w:rsidP="00051B2D" w14:paraId="4244CE07" w14:textId="77777777">
      <w:pPr>
        <w:spacing w:after="0" w:line="240" w:lineRule="auto"/>
        <w:ind w:right="-1" w:firstLine="567"/>
        <w:jc w:val="both"/>
        <w:rPr>
          <w:rFonts w:ascii="Times New Roman" w:eastAsia="Times New Roman" w:hAnsi="Times New Roman" w:cs="Times New Roman"/>
          <w:color w:val="000000"/>
          <w:sz w:val="27"/>
          <w:szCs w:val="27"/>
          <w:lang w:eastAsia="ru-RU"/>
        </w:rPr>
      </w:pPr>
    </w:p>
    <w:p w:rsidR="00051B2D" w:rsidRPr="00407A55" w:rsidP="00051B2D" w14:paraId="64A0BB1B" w14:textId="77777777">
      <w:pPr>
        <w:spacing w:after="0" w:line="240" w:lineRule="auto"/>
        <w:ind w:right="-1" w:firstLine="567"/>
        <w:jc w:val="both"/>
        <w:rPr>
          <w:rFonts w:ascii="Times New Roman" w:eastAsia="Times New Roman" w:hAnsi="Times New Roman" w:cs="Times New Roman"/>
          <w:color w:val="000000"/>
          <w:sz w:val="27"/>
          <w:szCs w:val="27"/>
          <w:shd w:val="clear" w:color="auto" w:fill="FFFFFF"/>
          <w:lang w:eastAsia="ru-RU"/>
        </w:rPr>
      </w:pPr>
      <w:r w:rsidRPr="00407A55">
        <w:rPr>
          <w:rFonts w:ascii="Times New Roman" w:eastAsia="Times New Roman" w:hAnsi="Times New Roman" w:cs="Times New Roman"/>
          <w:noProof/>
          <w:sz w:val="27"/>
          <w:szCs w:val="27"/>
          <w:lang w:val="ru-RU" w:eastAsia="ru-RU"/>
        </w:rPr>
        <w:drawing>
          <wp:inline distT="0" distB="0" distL="0" distR="0">
            <wp:extent cx="5684520" cy="3216275"/>
            <wp:effectExtent l="0" t="0" r="11430" b="317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051B2D" w:rsidRPr="00407A55" w:rsidP="00051B2D" w14:paraId="0536EF7A" w14:textId="77777777">
      <w:pPr>
        <w:spacing w:after="0" w:line="240" w:lineRule="auto"/>
        <w:ind w:right="-1" w:firstLine="567"/>
        <w:jc w:val="both"/>
        <w:rPr>
          <w:rFonts w:ascii="Times New Roman" w:eastAsia="Times New Roman" w:hAnsi="Times New Roman" w:cs="Times New Roman"/>
          <w:color w:val="000000"/>
          <w:sz w:val="27"/>
          <w:szCs w:val="27"/>
          <w:shd w:val="clear" w:color="auto" w:fill="FFFFFF"/>
          <w:lang w:eastAsia="ru-RU"/>
        </w:rPr>
      </w:pPr>
      <w:r w:rsidRPr="00407A55">
        <w:rPr>
          <w:rFonts w:ascii="Times New Roman" w:eastAsia="Times New Roman" w:hAnsi="Times New Roman" w:cs="Times New Roman"/>
          <w:color w:val="000000"/>
          <w:sz w:val="27"/>
          <w:szCs w:val="27"/>
          <w:shd w:val="clear" w:color="auto" w:fill="FFFFFF"/>
          <w:lang w:eastAsia="ru-RU"/>
        </w:rPr>
        <w:t xml:space="preserve"> </w:t>
      </w:r>
    </w:p>
    <w:p w:rsidR="00051B2D" w:rsidRPr="00407A55" w:rsidP="00051B2D" w14:paraId="278DC7AE" w14:textId="77777777">
      <w:pPr>
        <w:spacing w:after="0" w:line="240" w:lineRule="auto"/>
        <w:ind w:right="-1"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color w:val="000000"/>
          <w:sz w:val="27"/>
          <w:szCs w:val="27"/>
          <w:shd w:val="clear" w:color="auto" w:fill="FFFFFF"/>
          <w:lang w:eastAsia="ru-RU"/>
        </w:rPr>
        <w:t xml:space="preserve">За </w:t>
      </w:r>
      <w:bookmarkStart w:id="14" w:name="_Hlk188344818"/>
      <w:r w:rsidRPr="00407A55">
        <w:rPr>
          <w:rFonts w:ascii="Times New Roman" w:eastAsia="Times New Roman" w:hAnsi="Times New Roman" w:cs="Times New Roman"/>
          <w:color w:val="000000"/>
          <w:sz w:val="27"/>
          <w:szCs w:val="27"/>
          <w:shd w:val="clear" w:color="auto" w:fill="FFFFFF"/>
          <w:lang w:eastAsia="ru-RU"/>
        </w:rPr>
        <w:t xml:space="preserve">даними моніторингу діяльності промислових підприємств спостерігається </w:t>
      </w:r>
      <w:r w:rsidRPr="00407A55">
        <w:rPr>
          <w:rFonts w:ascii="Times New Roman" w:eastAsia="Times New Roman" w:hAnsi="Times New Roman" w:cs="Times New Roman"/>
          <w:sz w:val="27"/>
          <w:szCs w:val="27"/>
          <w:lang w:eastAsia="ru-RU"/>
        </w:rPr>
        <w:t>збільшення обсягів виробництва промислової продукції у діючих цінах в порівнянні з  відповідним періодом 2025 року.</w:t>
      </w:r>
    </w:p>
    <w:p w:rsidR="00051B2D" w:rsidP="00051B2D" w14:paraId="05322612"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6FEB3B6E"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2E53E253"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631E4B43"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1C3A43A0"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02411564"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15DE3CA7"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09C9834D"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12BEE709"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P="00051B2D" w14:paraId="40B1F160"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p>
    <w:p w:rsidR="00051B2D" w:rsidRPr="00407A55" w:rsidP="00051B2D" w14:paraId="0585D70E" w14:textId="77777777">
      <w:pPr>
        <w:spacing w:after="0" w:line="240" w:lineRule="auto"/>
        <w:ind w:right="-1" w:firstLine="567"/>
        <w:jc w:val="center"/>
        <w:rPr>
          <w:rFonts w:ascii="Times New Roman" w:eastAsia="Times New Roman" w:hAnsi="Times New Roman" w:cs="Times New Roman"/>
          <w:b/>
          <w:bCs/>
          <w:i/>
          <w:iCs/>
          <w:color w:val="000000"/>
          <w:sz w:val="27"/>
          <w:szCs w:val="27"/>
          <w:lang w:eastAsia="ru-RU"/>
        </w:rPr>
      </w:pPr>
      <w:r w:rsidRPr="00407A55">
        <w:rPr>
          <w:rFonts w:ascii="Times New Roman" w:eastAsia="Times New Roman" w:hAnsi="Times New Roman" w:cs="Times New Roman"/>
          <w:b/>
          <w:bCs/>
          <w:i/>
          <w:iCs/>
          <w:color w:val="000000"/>
          <w:sz w:val="27"/>
          <w:szCs w:val="27"/>
          <w:lang w:eastAsia="ru-RU"/>
        </w:rPr>
        <w:t>Структура обсягів реалізованої промислової продукції за видами діяльності у І півріччі 2026 року, %</w:t>
      </w:r>
    </w:p>
    <w:p w:rsidR="00051B2D" w:rsidRPr="00407A55" w:rsidP="00051B2D" w14:paraId="7A97EC21" w14:textId="77777777">
      <w:pPr>
        <w:spacing w:after="0" w:line="240" w:lineRule="auto"/>
        <w:ind w:right="-1"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noProof/>
          <w:color w:val="000000"/>
          <w:sz w:val="27"/>
          <w:szCs w:val="27"/>
          <w:shd w:val="clear" w:color="auto" w:fill="FFFFFF"/>
          <w:lang w:val="ru-RU" w:eastAsia="ru-RU"/>
        </w:rPr>
        <w:drawing>
          <wp:inline distT="0" distB="0" distL="0" distR="0">
            <wp:extent cx="5682615" cy="3266440"/>
            <wp:effectExtent l="38100" t="0" r="13335" b="1016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51B2D" w:rsidRPr="00407A55" w:rsidP="00051B2D" w14:paraId="314AA919" w14:textId="77777777">
      <w:pPr>
        <w:spacing w:after="0" w:line="240" w:lineRule="auto"/>
        <w:ind w:right="-1"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Найбільшими за обсягами виробництва промислової продукції є ТОВ «Спецбудмаш», ТОВ «Орієнтир-буделемент», </w:t>
      </w:r>
      <w:r w:rsidRPr="00407A55">
        <w:rPr>
          <w:rFonts w:ascii="Times New Roman" w:eastAsia="Times New Roman" w:hAnsi="Times New Roman" w:cs="Times New Roman"/>
          <w:color w:val="000000"/>
          <w:sz w:val="27"/>
          <w:szCs w:val="27"/>
          <w:lang w:eastAsia="ru-RU"/>
        </w:rPr>
        <w:t>ТОВ «Київгума», ТОВ «Київський Пекарний Дім»</w:t>
      </w:r>
      <w:r w:rsidRPr="00407A55">
        <w:rPr>
          <w:rFonts w:ascii="Times New Roman" w:eastAsia="Times New Roman" w:hAnsi="Times New Roman" w:cs="Times New Roman"/>
          <w:sz w:val="27"/>
          <w:szCs w:val="27"/>
          <w:lang w:eastAsia="ru-RU"/>
        </w:rPr>
        <w:t xml:space="preserve">. </w:t>
      </w:r>
    </w:p>
    <w:p w:rsidR="00051B2D" w:rsidRPr="00407A55" w:rsidP="00051B2D" w14:paraId="1845E858"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Незважаючи на виклики, які постали перед промисловцями у зв’язку з повномасштабною війною в країні (внаслідок бойових дій часткових пошкоджень зазнали 22 промислових підприємства, які розташовані на території громади), підприємства громади постійно працюють над впровадженням нових технологічних процесів та інновацій, освоєнням випуску нових видів продукції, що відповідає міжнародним стандартам:</w:t>
      </w:r>
    </w:p>
    <w:p w:rsidR="00051B2D" w:rsidRPr="00407A55" w:rsidP="00051B2D" w14:paraId="4CEF3DA7"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ТОВ «Спецбудмаш» - спеціалізується на виробництві комунальної, спеціальної, будівельної та дорожньої техніки і запасних частин до неї.   Продовжує випуск продукції і розробку перспективних моделей устаткування. Здійснює розробку як  новітнього інноваційного обладнання так і підвищує ефективність вже існуючого обладнання за допомогою новітніх технічних рішень.</w:t>
      </w:r>
    </w:p>
    <w:p w:rsidR="00051B2D" w:rsidRPr="00407A55" w:rsidP="00051B2D" w14:paraId="111D06AA"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sz w:val="27"/>
          <w:szCs w:val="27"/>
          <w:lang w:eastAsia="ru-RU"/>
        </w:rPr>
        <w:t>ТОВ «Політехносервіс» - здійснює створення продукції для міського електричного транспорту вітчизняного виробництва на рівні найкращих європейських зразків, а саме тролейбусів, тролейбусів з автономним ходом, електробусів з максимальною локалізацією вітчизняних комплектуючих.</w:t>
      </w:r>
    </w:p>
    <w:p w:rsidR="00051B2D" w:rsidRPr="00407A55" w:rsidP="00051B2D" w14:paraId="219556D1"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ТОВ «Орієнтир-буделемент» - найпотужніший виробник автоклавного газобетону в Європі. </w:t>
      </w:r>
      <w:r w:rsidRPr="00407A55">
        <w:rPr>
          <w:rFonts w:ascii="Times New Roman" w:eastAsia="Times New Roman" w:hAnsi="Times New Roman" w:cs="Times New Roman"/>
          <w:color w:val="000000"/>
          <w:sz w:val="27"/>
          <w:szCs w:val="27"/>
          <w:lang w:val="ru-RU" w:eastAsia="ru-RU"/>
        </w:rPr>
        <w:t>Середня добова потужність виробництва лінії з виготовлення газобетонних блоків ТМ Стоунлайт становить понад 4150 м</w:t>
      </w:r>
      <w:r w:rsidRPr="00407A55">
        <w:rPr>
          <w:rFonts w:ascii="Times New Roman" w:eastAsia="Times New Roman" w:hAnsi="Times New Roman" w:cs="Times New Roman"/>
          <w:color w:val="000000"/>
          <w:sz w:val="27"/>
          <w:szCs w:val="27"/>
          <w:vertAlign w:val="superscript"/>
          <w:lang w:val="ru-RU" w:eastAsia="ru-RU"/>
        </w:rPr>
        <w:t>2</w:t>
      </w:r>
      <w:r w:rsidRPr="00407A55">
        <w:rPr>
          <w:rFonts w:ascii="Times New Roman" w:eastAsia="Times New Roman" w:hAnsi="Times New Roman" w:cs="Times New Roman"/>
          <w:color w:val="000000"/>
          <w:sz w:val="27"/>
          <w:szCs w:val="27"/>
          <w:lang w:val="ru-RU" w:eastAsia="ru-RU"/>
        </w:rPr>
        <w:t xml:space="preserve">.  </w:t>
      </w:r>
      <w:r w:rsidRPr="00407A55">
        <w:rPr>
          <w:rFonts w:ascii="Times New Roman" w:eastAsia="Times New Roman" w:hAnsi="Times New Roman" w:cs="Times New Roman"/>
          <w:color w:val="000000"/>
          <w:sz w:val="27"/>
          <w:szCs w:val="27"/>
          <w:lang w:eastAsia="ru-RU"/>
        </w:rPr>
        <w:t>Це стало можливим завдяки постійній модернізації виробництва, використанню власних унікальних запатентованих розробок та впровадженню передових світових технологій.</w:t>
      </w:r>
      <w:r w:rsidRPr="00407A55">
        <w:rPr>
          <w:rFonts w:ascii="Times New Roman" w:eastAsia="Times New Roman" w:hAnsi="Times New Roman" w:cs="Times New Roman"/>
          <w:color w:val="000000"/>
          <w:sz w:val="27"/>
          <w:szCs w:val="27"/>
          <w:shd w:val="clear" w:color="auto" w:fill="FFFFFF"/>
          <w:lang w:val="ru-RU" w:eastAsia="ru-RU"/>
        </w:rPr>
        <w:t xml:space="preserve"> </w:t>
      </w:r>
    </w:p>
    <w:p w:rsidR="00051B2D" w:rsidRPr="00407A55" w:rsidP="00051B2D" w14:paraId="79304619"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ТОВ «Київгума» - лідер ринку України з виробництва виробів з гуми, латексу, ПВХ, ТЕП і силікону. В</w:t>
      </w:r>
      <w:r w:rsidRPr="00407A55">
        <w:rPr>
          <w:rFonts w:ascii="Times New Roman" w:eastAsia="Times New Roman" w:hAnsi="Times New Roman" w:cs="Times New Roman"/>
          <w:color w:val="000000"/>
          <w:sz w:val="27"/>
          <w:szCs w:val="27"/>
          <w:lang w:val="ru-RU" w:eastAsia="ru-RU"/>
        </w:rPr>
        <w:t>иробляє більше 4 тис. найменувань продукції для всіх галузей народног</w:t>
      </w:r>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color w:val="000000"/>
          <w:sz w:val="27"/>
          <w:szCs w:val="27"/>
          <w:lang w:val="ru-RU" w:eastAsia="ru-RU"/>
        </w:rPr>
        <w:t>о господарства.</w:t>
      </w:r>
      <w:r w:rsidRPr="00407A55">
        <w:rPr>
          <w:rFonts w:ascii="Times New Roman" w:eastAsia="Times New Roman" w:hAnsi="Times New Roman" w:cs="Times New Roman"/>
          <w:color w:val="000000"/>
          <w:sz w:val="27"/>
          <w:szCs w:val="27"/>
          <w:lang w:eastAsia="ru-RU"/>
        </w:rPr>
        <w:t xml:space="preserve"> Щомісяця освоює виробництво понад 30-ти нових неформових виробів (ущільнювачів), які використовуються в різних галузях </w:t>
      </w:r>
      <w:r w:rsidRPr="00407A55">
        <w:rPr>
          <w:rFonts w:ascii="Times New Roman" w:eastAsia="Times New Roman" w:hAnsi="Times New Roman" w:cs="Times New Roman"/>
          <w:color w:val="000000"/>
          <w:sz w:val="27"/>
          <w:szCs w:val="27"/>
          <w:lang w:eastAsia="ru-RU"/>
        </w:rPr>
        <w:t xml:space="preserve">промисловості: будівництві, сільському господарстві, автомобільній промисловості, побуті і т.д. Продукція підприємства постачається в усі регіони України та понад 30 країн світу. </w:t>
      </w:r>
    </w:p>
    <w:p w:rsidR="00051B2D" w:rsidRPr="00407A55" w:rsidP="00051B2D" w14:paraId="4BFE136F"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У І півріччі 2026 року ТОВ «Київгума» розпочало виробництво ущільнювачів для сонячних електростанцій та розширило лінію виробництва засобів захисту (гумових рукавичок).</w:t>
      </w:r>
    </w:p>
    <w:p w:rsidR="00051B2D" w:rsidRPr="00407A55" w:rsidP="00051B2D" w14:paraId="6D3C67F5"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ТОВ «Німецько-українська науково-виробнича фірма «Бровафарма» розробила </w:t>
      </w:r>
      <w:r w:rsidRPr="00407A55">
        <w:rPr>
          <w:rFonts w:ascii="Times New Roman" w:eastAsia="Times New Roman" w:hAnsi="Times New Roman" w:cs="Times New Roman"/>
          <w:color w:val="000000"/>
          <w:sz w:val="27"/>
          <w:szCs w:val="27"/>
          <w:lang w:val="ru-RU" w:eastAsia="ru-RU"/>
        </w:rPr>
        <w:t>сучасні краплі для зниження тривожності та профілактики стресу у собак і котів.</w:t>
      </w:r>
      <w:r w:rsidRPr="00407A55">
        <w:rPr>
          <w:rFonts w:ascii="Times New Roman" w:eastAsia="Times New Roman" w:hAnsi="Times New Roman" w:cs="Times New Roman"/>
          <w:color w:val="666666"/>
          <w:sz w:val="27"/>
          <w:szCs w:val="27"/>
          <w:lang w:val="ru-RU" w:eastAsia="ru-RU"/>
        </w:rPr>
        <w:t> </w:t>
      </w:r>
    </w:p>
    <w:p w:rsidR="00051B2D" w:rsidRPr="00407A55" w:rsidP="00051B2D" w14:paraId="416D0BA7" w14:textId="77777777">
      <w:pPr>
        <w:shd w:val="clear" w:color="auto" w:fill="FFFFFF"/>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ДП «Зееландія» спільно з БО «Перспектива 21.3» та «Пекарня 21.3» у співпраці з </w:t>
      </w:r>
      <w:r w:rsidRPr="00407A55">
        <w:rPr>
          <w:rFonts w:ascii="Times New Roman" w:eastAsia="Times New Roman" w:hAnsi="Times New Roman" w:cs="Times New Roman"/>
          <w:color w:val="000000"/>
          <w:sz w:val="27"/>
          <w:szCs w:val="27"/>
          <w:lang w:val="ru-RU" w:eastAsia="ru-RU"/>
        </w:rPr>
        <w:t>Kom</w:t>
      </w:r>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color w:val="000000"/>
          <w:sz w:val="27"/>
          <w:szCs w:val="27"/>
          <w:lang w:val="ru-RU" w:eastAsia="ru-RU"/>
        </w:rPr>
        <w:t>over</w:t>
      </w:r>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color w:val="000000"/>
          <w:sz w:val="27"/>
          <w:szCs w:val="27"/>
          <w:lang w:val="ru-RU" w:eastAsia="ru-RU"/>
        </w:rPr>
        <w:t>an</w:t>
      </w:r>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color w:val="000000"/>
          <w:sz w:val="27"/>
          <w:szCs w:val="27"/>
          <w:lang w:val="ru-RU" w:eastAsia="ru-RU"/>
        </w:rPr>
        <w:t>help</w:t>
      </w:r>
      <w:r w:rsidRPr="00407A55">
        <w:rPr>
          <w:rFonts w:ascii="Times New Roman" w:eastAsia="Times New Roman" w:hAnsi="Times New Roman" w:cs="Times New Roman"/>
          <w:color w:val="000000"/>
          <w:sz w:val="27"/>
          <w:szCs w:val="27"/>
          <w:lang w:eastAsia="ru-RU"/>
        </w:rPr>
        <w:t xml:space="preserve"> реалізовують проєкт уряду Нідерландів </w:t>
      </w:r>
      <w:r w:rsidRPr="00407A55">
        <w:rPr>
          <w:rFonts w:ascii="Times New Roman" w:eastAsia="Times New Roman" w:hAnsi="Times New Roman" w:cs="Times New Roman"/>
          <w:color w:val="000000"/>
          <w:sz w:val="27"/>
          <w:szCs w:val="27"/>
          <w:lang w:val="ru-RU" w:eastAsia="ru-RU"/>
        </w:rPr>
        <w:t>Bake</w:t>
      </w:r>
      <w:r w:rsidRPr="00407A55">
        <w:rPr>
          <w:rFonts w:ascii="Times New Roman" w:eastAsia="Times New Roman" w:hAnsi="Times New Roman" w:cs="Times New Roman"/>
          <w:color w:val="000000"/>
          <w:sz w:val="27"/>
          <w:szCs w:val="27"/>
          <w:lang w:eastAsia="ru-RU"/>
        </w:rPr>
        <w:t>4</w:t>
      </w:r>
      <w:r w:rsidRPr="00407A55">
        <w:rPr>
          <w:rFonts w:ascii="Times New Roman" w:eastAsia="Times New Roman" w:hAnsi="Times New Roman" w:cs="Times New Roman"/>
          <w:color w:val="000000"/>
          <w:sz w:val="27"/>
          <w:szCs w:val="27"/>
          <w:lang w:val="ru-RU" w:eastAsia="ru-RU"/>
        </w:rPr>
        <w:t>Ukraine</w:t>
      </w:r>
      <w:r w:rsidRPr="00407A55">
        <w:rPr>
          <w:rFonts w:ascii="Times New Roman" w:eastAsia="Times New Roman" w:hAnsi="Times New Roman" w:cs="Times New Roman"/>
          <w:color w:val="000000"/>
          <w:sz w:val="27"/>
          <w:szCs w:val="27"/>
          <w:lang w:eastAsia="ru-RU"/>
        </w:rPr>
        <w:t>: Створення навчального Пекарського Центру для розбудови України. Метою проєкту є забезпечення продовольчої безпеки міських та сільських громад шляхом сприяння сталому розвитку індустрії міні-пекарень в регіонах України, що постраждали від військової агресії Росії.</w:t>
      </w:r>
    </w:p>
    <w:p w:rsidR="00051B2D" w:rsidRPr="00407A55" w:rsidP="00051B2D" w14:paraId="0F64E402" w14:textId="77777777">
      <w:pPr>
        <w:shd w:val="clear" w:color="auto" w:fill="FFFFFF"/>
        <w:spacing w:after="0" w:line="240" w:lineRule="auto"/>
        <w:ind w:firstLine="567"/>
        <w:jc w:val="both"/>
        <w:textAlignment w:val="baseline"/>
        <w:rPr>
          <w:rFonts w:ascii="Times New Roman" w:eastAsia="Times New Roman" w:hAnsi="Times New Roman" w:cs="Times New Roman"/>
          <w:color w:val="000000"/>
          <w:sz w:val="27"/>
          <w:szCs w:val="27"/>
        </w:rPr>
      </w:pPr>
      <w:r w:rsidRPr="00407A55">
        <w:rPr>
          <w:rFonts w:ascii="Times New Roman" w:eastAsia="Times New Roman" w:hAnsi="Times New Roman" w:cs="Times New Roman"/>
          <w:color w:val="000000"/>
          <w:sz w:val="27"/>
          <w:szCs w:val="27"/>
          <w:lang w:eastAsia="ru-RU"/>
        </w:rPr>
        <w:t xml:space="preserve">ТОВ «Базис» отримало перемогу у </w:t>
      </w:r>
      <w:r w:rsidRPr="00407A55">
        <w:rPr>
          <w:rFonts w:ascii="Times New Roman" w:eastAsia="Times New Roman" w:hAnsi="Times New Roman" w:cs="Times New Roman"/>
          <w:color w:val="000000"/>
          <w:sz w:val="27"/>
          <w:szCs w:val="27"/>
          <w:lang w:val="ru-RU" w:eastAsia="ru-RU"/>
        </w:rPr>
        <w:t>XXVIII</w:t>
      </w:r>
      <w:r w:rsidRPr="00407A55">
        <w:rPr>
          <w:rFonts w:ascii="Times New Roman" w:eastAsia="Times New Roman" w:hAnsi="Times New Roman" w:cs="Times New Roman"/>
          <w:color w:val="000000"/>
          <w:sz w:val="27"/>
          <w:szCs w:val="27"/>
          <w:lang w:eastAsia="ru-RU"/>
        </w:rPr>
        <w:t xml:space="preserve"> Всеукраїнському конкурсі «Українська зірка упаковки» у 2026 році, інноваційне рішення компанії –</w:t>
      </w:r>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було визнано кращим у категорії спеціальної картонної упаковки з автоматизованим фасуванням.</w:t>
      </w:r>
    </w:p>
    <w:bookmarkEnd w:id="14"/>
    <w:p w:rsidR="00051B2D" w:rsidRPr="00407A55" w:rsidP="00051B2D" w14:paraId="2C8BC824"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У структурі обсягів реалізованої промислової продукції зберігається тенденція аналогічна виробництву продукції.</w:t>
      </w:r>
    </w:p>
    <w:p w:rsidR="00051B2D" w:rsidRPr="00407A55" w:rsidP="00051B2D" w14:paraId="0989D563" w14:textId="77777777">
      <w:pPr>
        <w:spacing w:after="0" w:line="240" w:lineRule="auto"/>
        <w:ind w:right="140" w:firstLine="567"/>
        <w:jc w:val="center"/>
        <w:rPr>
          <w:rFonts w:ascii="Times New Roman" w:eastAsia="Times New Roman" w:hAnsi="Times New Roman" w:cs="Times New Roman"/>
          <w:b/>
          <w:bCs/>
          <w:i/>
          <w:iCs/>
          <w:sz w:val="27"/>
          <w:szCs w:val="27"/>
          <w:lang w:eastAsia="ru-RU"/>
        </w:rPr>
      </w:pPr>
    </w:p>
    <w:p w:rsidR="00051B2D" w:rsidRPr="00407A55" w:rsidP="00051B2D" w14:paraId="07CBF54F" w14:textId="77777777">
      <w:pPr>
        <w:spacing w:after="0" w:line="240" w:lineRule="auto"/>
        <w:ind w:right="140" w:firstLine="567"/>
        <w:jc w:val="center"/>
        <w:rPr>
          <w:rFonts w:ascii="Times New Roman" w:eastAsia="Times New Roman" w:hAnsi="Times New Roman" w:cs="Times New Roman"/>
          <w:b/>
          <w:bCs/>
          <w:i/>
          <w:iCs/>
          <w:sz w:val="27"/>
          <w:szCs w:val="27"/>
          <w:lang w:eastAsia="ru-RU"/>
        </w:rPr>
      </w:pPr>
      <w:r w:rsidRPr="00407A55">
        <w:rPr>
          <w:rFonts w:ascii="Times New Roman" w:eastAsia="Times New Roman" w:hAnsi="Times New Roman" w:cs="Times New Roman"/>
          <w:b/>
          <w:bCs/>
          <w:i/>
          <w:iCs/>
          <w:sz w:val="27"/>
          <w:szCs w:val="27"/>
          <w:lang w:eastAsia="ru-RU"/>
        </w:rPr>
        <w:t>Розвиток малого та середнього бізнесу, інвестиційна діяльність</w:t>
      </w:r>
    </w:p>
    <w:p w:rsidR="00051B2D" w:rsidRPr="00407A55" w:rsidP="00051B2D" w14:paraId="368E8FF9" w14:textId="77777777">
      <w:pPr>
        <w:spacing w:after="0" w:line="240" w:lineRule="auto"/>
        <w:ind w:firstLine="567"/>
        <w:jc w:val="both"/>
        <w:rPr>
          <w:rFonts w:ascii="Times New Roman" w:eastAsia="Times New Roman" w:hAnsi="Times New Roman" w:cs="Times New Roman"/>
          <w:color w:val="000000"/>
          <w:sz w:val="27"/>
          <w:szCs w:val="27"/>
          <w:lang w:eastAsia="ru-RU"/>
        </w:rPr>
      </w:pPr>
      <w:bookmarkStart w:id="15" w:name="_Hlk188345214"/>
      <w:bookmarkStart w:id="16" w:name="_Hlk203395836"/>
      <w:r w:rsidRPr="00407A55">
        <w:rPr>
          <w:rFonts w:ascii="Times New Roman" w:eastAsia="Times New Roman" w:hAnsi="Times New Roman" w:cs="Times New Roman"/>
          <w:color w:val="000000"/>
          <w:sz w:val="27"/>
          <w:szCs w:val="27"/>
          <w:lang w:val="ru-RU" w:eastAsia="ru-RU"/>
        </w:rPr>
        <w:t>За даними ГУ ДПС України в Київській області станом на 01.</w:t>
      </w:r>
      <w:r w:rsidRPr="00407A55">
        <w:rPr>
          <w:rFonts w:ascii="Times New Roman" w:eastAsia="Times New Roman" w:hAnsi="Times New Roman" w:cs="Times New Roman"/>
          <w:color w:val="000000"/>
          <w:sz w:val="27"/>
          <w:szCs w:val="27"/>
          <w:lang w:eastAsia="ru-RU"/>
        </w:rPr>
        <w:t>10</w:t>
      </w:r>
      <w:r w:rsidRPr="00407A55">
        <w:rPr>
          <w:rFonts w:ascii="Times New Roman" w:eastAsia="Times New Roman" w:hAnsi="Times New Roman" w:cs="Times New Roman"/>
          <w:color w:val="000000"/>
          <w:sz w:val="27"/>
          <w:szCs w:val="27"/>
          <w:lang w:val="ru-RU" w:eastAsia="ru-RU"/>
        </w:rPr>
        <w:t>.202</w:t>
      </w:r>
      <w:r w:rsidRPr="00407A55">
        <w:rPr>
          <w:rFonts w:ascii="Times New Roman" w:eastAsia="Times New Roman" w:hAnsi="Times New Roman" w:cs="Times New Roman"/>
          <w:color w:val="000000"/>
          <w:sz w:val="27"/>
          <w:szCs w:val="27"/>
          <w:lang w:eastAsia="ru-RU"/>
        </w:rPr>
        <w:t>5</w:t>
      </w:r>
      <w:r w:rsidRPr="00407A55">
        <w:rPr>
          <w:rFonts w:ascii="Times New Roman" w:eastAsia="Times New Roman" w:hAnsi="Times New Roman" w:cs="Times New Roman"/>
          <w:color w:val="000000"/>
          <w:sz w:val="27"/>
          <w:szCs w:val="27"/>
          <w:lang w:val="ru-RU" w:eastAsia="ru-RU"/>
        </w:rPr>
        <w:t xml:space="preserve"> на податковому обліку перебувало 19230 суб’єктів підприємницької діяльності</w:t>
      </w:r>
      <w:r w:rsidRPr="00407A55">
        <w:rPr>
          <w:rFonts w:ascii="Times New Roman" w:eastAsia="Times New Roman" w:hAnsi="Times New Roman" w:cs="Times New Roman"/>
          <w:color w:val="000000"/>
          <w:sz w:val="27"/>
          <w:szCs w:val="27"/>
          <w:lang w:eastAsia="ru-RU"/>
        </w:rPr>
        <w:t>. Із загальної кількості суб’єктів підприємницької діяльності левову частку (97,5%) становило мікропідприємництво.</w:t>
      </w:r>
      <w:r w:rsidRPr="00407A55">
        <w:rPr>
          <w:rFonts w:ascii="Times New Roman" w:eastAsia="Times New Roman" w:hAnsi="Times New Roman" w:cs="Times New Roman"/>
          <w:color w:val="000000"/>
          <w:sz w:val="27"/>
          <w:szCs w:val="27"/>
          <w:lang w:val="en-US" w:eastAsia="ru-RU"/>
        </w:rPr>
        <w:t>  </w:t>
      </w:r>
    </w:p>
    <w:p w:rsidR="00051B2D" w:rsidRPr="00407A55" w:rsidP="00051B2D" w14:paraId="163606BF" w14:textId="77777777">
      <w:pPr>
        <w:spacing w:after="0" w:line="240" w:lineRule="auto"/>
        <w:ind w:firstLine="567"/>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eastAsia="ru-RU"/>
        </w:rPr>
        <w:t>Внаслідок ворожої атаки у громаді частково було пошкоджено 59 підприємств та 1 підприємство повністю зруйновано.</w:t>
      </w:r>
    </w:p>
    <w:p w:rsidR="00051B2D" w:rsidRPr="00407A55" w:rsidP="00051B2D" w14:paraId="31AD8536"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Станом на 01.07.2026 суб’єктам підприємницької діяльності передано в оренду 22814,32 м</w:t>
      </w:r>
      <w:r w:rsidRPr="00407A55">
        <w:rPr>
          <w:rFonts w:ascii="Times New Roman" w:eastAsia="Times New Roman" w:hAnsi="Times New Roman" w:cs="Times New Roman"/>
          <w:color w:val="000000"/>
          <w:sz w:val="27"/>
          <w:szCs w:val="27"/>
          <w:vertAlign w:val="superscript"/>
          <w:lang w:eastAsia="ru-RU"/>
        </w:rPr>
        <w:t>2</w:t>
      </w:r>
      <w:r w:rsidRPr="00407A55">
        <w:rPr>
          <w:rFonts w:ascii="Times New Roman" w:eastAsia="Times New Roman" w:hAnsi="Times New Roman" w:cs="Times New Roman"/>
          <w:color w:val="000000"/>
          <w:sz w:val="27"/>
          <w:szCs w:val="27"/>
          <w:lang w:eastAsia="ru-RU"/>
        </w:rPr>
        <w:t xml:space="preserve"> загальних площ приміщень комунальної власності, в тому числі площ в постійній оренді 6375,44 м</w:t>
      </w:r>
      <w:r w:rsidRPr="00407A55">
        <w:rPr>
          <w:rFonts w:ascii="Times New Roman" w:eastAsia="Times New Roman" w:hAnsi="Times New Roman" w:cs="Times New Roman"/>
          <w:color w:val="000000"/>
          <w:sz w:val="27"/>
          <w:szCs w:val="27"/>
          <w:vertAlign w:val="superscript"/>
          <w:lang w:eastAsia="ru-RU"/>
        </w:rPr>
        <w:t>2</w:t>
      </w:r>
      <w:r w:rsidRPr="00407A55">
        <w:rPr>
          <w:rFonts w:ascii="Times New Roman" w:eastAsia="Times New Roman" w:hAnsi="Times New Roman" w:cs="Times New Roman"/>
          <w:color w:val="000000"/>
          <w:sz w:val="27"/>
          <w:szCs w:val="27"/>
          <w:lang w:eastAsia="ru-RU"/>
        </w:rPr>
        <w:t>, в погодинній оренді (площ нежитлових приміщень – 3990,44 м</w:t>
      </w:r>
      <w:r w:rsidRPr="00407A55">
        <w:rPr>
          <w:rFonts w:ascii="Times New Roman" w:eastAsia="Times New Roman" w:hAnsi="Times New Roman" w:cs="Times New Roman"/>
          <w:color w:val="000000"/>
          <w:sz w:val="27"/>
          <w:szCs w:val="27"/>
          <w:vertAlign w:val="superscript"/>
          <w:lang w:eastAsia="ru-RU"/>
        </w:rPr>
        <w:t>2</w:t>
      </w:r>
      <w:r w:rsidRPr="00407A55">
        <w:rPr>
          <w:rFonts w:ascii="Times New Roman" w:eastAsia="Times New Roman" w:hAnsi="Times New Roman" w:cs="Times New Roman"/>
          <w:color w:val="000000"/>
          <w:sz w:val="27"/>
          <w:szCs w:val="27"/>
          <w:lang w:eastAsia="ru-RU"/>
        </w:rPr>
        <w:t>, площ майданчиків – 12448,44 м</w:t>
      </w:r>
      <w:r w:rsidRPr="00407A55">
        <w:rPr>
          <w:rFonts w:ascii="Times New Roman" w:eastAsia="Times New Roman" w:hAnsi="Times New Roman" w:cs="Times New Roman"/>
          <w:color w:val="000000"/>
          <w:sz w:val="27"/>
          <w:szCs w:val="27"/>
          <w:vertAlign w:val="superscript"/>
          <w:lang w:eastAsia="ru-RU"/>
        </w:rPr>
        <w:t>2</w:t>
      </w:r>
      <w:r w:rsidRPr="00407A55">
        <w:rPr>
          <w:rFonts w:ascii="Times New Roman" w:eastAsia="Times New Roman" w:hAnsi="Times New Roman" w:cs="Times New Roman"/>
          <w:color w:val="000000"/>
          <w:sz w:val="27"/>
          <w:szCs w:val="27"/>
          <w:lang w:eastAsia="ru-RU"/>
        </w:rPr>
        <w:t xml:space="preserve">). </w:t>
      </w:r>
    </w:p>
    <w:p w:rsidR="00051B2D" w:rsidRPr="00407A55" w:rsidP="00051B2D" w14:paraId="68DC2874"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На підтримку підприємництва в громаді діє</w:t>
      </w:r>
      <w:r w:rsidRPr="00407A55">
        <w:rPr>
          <w:rFonts w:ascii="Times New Roman" w:eastAsia="Times New Roman" w:hAnsi="Times New Roman" w:cs="Times New Roman"/>
          <w:color w:val="000000"/>
          <w:sz w:val="27"/>
          <w:szCs w:val="27"/>
          <w:lang w:val="ru-RU" w:eastAsia="ru-RU"/>
        </w:rPr>
        <w:t> </w:t>
      </w:r>
      <w:r w:rsidRPr="00407A55">
        <w:rPr>
          <w:rFonts w:ascii="Times New Roman" w:eastAsia="Times New Roman" w:hAnsi="Times New Roman" w:cs="Times New Roman"/>
          <w:color w:val="000000"/>
          <w:sz w:val="27"/>
          <w:szCs w:val="27"/>
          <w:lang w:eastAsia="ru-RU"/>
        </w:rPr>
        <w:t xml:space="preserve"> 17 об’єктів інфраструктури: 8 страхових компаній, 8 аудиторських фірм, молодіжна рада.</w:t>
      </w:r>
      <w:r w:rsidRPr="00407A55">
        <w:rPr>
          <w:rFonts w:ascii="Times New Roman" w:eastAsia="Times New Roman" w:hAnsi="Times New Roman" w:cs="Times New Roman"/>
          <w:color w:val="000000"/>
          <w:sz w:val="27"/>
          <w:szCs w:val="27"/>
          <w:lang w:val="ru-RU" w:eastAsia="ru-RU"/>
        </w:rPr>
        <w:t>   </w:t>
      </w:r>
    </w:p>
    <w:p w:rsidR="00051B2D" w:rsidRPr="00407A55" w:rsidP="00051B2D" w14:paraId="6108E10D"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Працює Центр підтримки бізнесу, який надає безкоштовну інформаційно-консультаційну підтримку потенційним суб’єктам підприємницької діяльності та особам, які планують відкрити власну справу або її масштабувати, щодо діючих грантових пропозицій, вимог їх отримання, реєстрації бізнесу, провадження підприємницької діяльності, встановлення тимчасових споруд, оренди приміщення, з питань реклами тощо. </w:t>
      </w:r>
    </w:p>
    <w:p w:rsidR="00051B2D" w:rsidRPr="00407A55" w:rsidP="00051B2D" w14:paraId="2CAE93AE" w14:textId="77777777">
      <w:pPr>
        <w:spacing w:after="0" w:line="240" w:lineRule="auto"/>
        <w:ind w:firstLine="567"/>
        <w:jc w:val="both"/>
        <w:rPr>
          <w:rFonts w:ascii="Times New Roman" w:eastAsia="Times New Roman" w:hAnsi="Times New Roman" w:cs="Times New Roman"/>
          <w:noProof/>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noProof/>
          <w:sz w:val="27"/>
          <w:szCs w:val="27"/>
          <w:lang w:val="ru-RU" w:eastAsia="ru-RU"/>
        </w:rPr>
        <w:drawing>
          <wp:inline distT="0" distB="0" distL="0" distR="0">
            <wp:extent cx="5334000" cy="3370108"/>
            <wp:effectExtent l="0" t="0" r="0" b="1905"/>
            <wp:docPr id="1637553557" name="Рисунок 163755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553557" name="Графіка 1"/>
                    <pic:cNvPicPr/>
                  </pic:nvPicPr>
                  <pic:blipFill>
                    <a:blip xmlns:r="http://schemas.openxmlformats.org/officeDocument/2006/relationships" r:embed="rId38"/>
                    <a:stretch>
                      <a:fillRect/>
                    </a:stretch>
                  </pic:blipFill>
                  <pic:spPr>
                    <a:xfrm>
                      <a:off x="0" y="0"/>
                      <a:ext cx="5334000" cy="3369945"/>
                    </a:xfrm>
                    <a:prstGeom prst="rect">
                      <a:avLst/>
                    </a:prstGeom>
                  </pic:spPr>
                </pic:pic>
              </a:graphicData>
            </a:graphic>
          </wp:inline>
        </w:drawing>
      </w:r>
    </w:p>
    <w:p w:rsidR="00051B2D" w:rsidRPr="00407A55" w:rsidP="00051B2D" w14:paraId="40643987"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В 2026 році у громаді працювали підприємства торгівлі, заклади ресторанного господарства, які представлені у громаді відомими торговельними</w:t>
      </w:r>
      <w:r w:rsidRPr="00407A55">
        <w:rPr>
          <w:rFonts w:ascii="Times New Roman" w:eastAsia="Times New Roman" w:hAnsi="Times New Roman" w:cs="Times New Roman"/>
          <w:color w:val="000000"/>
          <w:sz w:val="27"/>
          <w:szCs w:val="27"/>
          <w:lang w:val="en-US" w:eastAsia="ru-RU"/>
        </w:rPr>
        <w:t> </w:t>
      </w:r>
      <w:r w:rsidRPr="00407A55">
        <w:rPr>
          <w:rFonts w:ascii="Times New Roman" w:eastAsia="Times New Roman" w:hAnsi="Times New Roman" w:cs="Times New Roman"/>
          <w:color w:val="000000"/>
          <w:sz w:val="27"/>
          <w:szCs w:val="27"/>
          <w:lang w:eastAsia="ru-RU"/>
        </w:rPr>
        <w:t>мережами: «Сільпо-фуд», «</w:t>
      </w:r>
      <w:r w:rsidRPr="00407A55">
        <w:rPr>
          <w:rFonts w:ascii="Times New Roman" w:eastAsia="Times New Roman" w:hAnsi="Times New Roman" w:cs="Times New Roman"/>
          <w:color w:val="000000"/>
          <w:sz w:val="27"/>
          <w:szCs w:val="27"/>
          <w:lang w:val="en-US" w:eastAsia="ru-RU"/>
        </w:rPr>
        <w:t>Food</w:t>
      </w:r>
      <w:r w:rsidRPr="00407A55">
        <w:rPr>
          <w:rFonts w:ascii="Times New Roman" w:eastAsia="Times New Roman" w:hAnsi="Times New Roman" w:cs="Times New Roman"/>
          <w:color w:val="000000"/>
          <w:sz w:val="27"/>
          <w:szCs w:val="27"/>
          <w:lang w:eastAsia="ru-RU"/>
        </w:rPr>
        <w:t xml:space="preserve"> </w:t>
      </w:r>
      <w:r w:rsidRPr="00407A55">
        <w:rPr>
          <w:rFonts w:ascii="Times New Roman" w:eastAsia="Times New Roman" w:hAnsi="Times New Roman" w:cs="Times New Roman"/>
          <w:color w:val="000000"/>
          <w:sz w:val="27"/>
          <w:szCs w:val="27"/>
          <w:lang w:val="en-US" w:eastAsia="ru-RU"/>
        </w:rPr>
        <w:t>market</w:t>
      </w:r>
      <w:r w:rsidRPr="00407A55">
        <w:rPr>
          <w:rFonts w:ascii="Times New Roman" w:eastAsia="Times New Roman" w:hAnsi="Times New Roman" w:cs="Times New Roman"/>
          <w:color w:val="000000"/>
          <w:sz w:val="27"/>
          <w:szCs w:val="27"/>
          <w:lang w:eastAsia="ru-RU"/>
        </w:rPr>
        <w:t>», «Варус», «Фора», «АТБ», «</w:t>
      </w:r>
      <w:r w:rsidRPr="00407A55">
        <w:rPr>
          <w:rFonts w:ascii="Times New Roman" w:eastAsia="Times New Roman" w:hAnsi="Times New Roman" w:cs="Times New Roman"/>
          <w:color w:val="000000"/>
          <w:sz w:val="27"/>
          <w:szCs w:val="27"/>
          <w:lang w:val="en-US" w:eastAsia="ru-RU"/>
        </w:rPr>
        <w:t>THRASH</w:t>
      </w:r>
      <w:r w:rsidRPr="00407A55">
        <w:rPr>
          <w:rFonts w:ascii="Times New Roman" w:eastAsia="Times New Roman" w:hAnsi="Times New Roman" w:cs="Times New Roman"/>
          <w:color w:val="000000"/>
          <w:sz w:val="27"/>
          <w:szCs w:val="27"/>
          <w:lang w:eastAsia="ru-RU"/>
        </w:rPr>
        <w:t>», «Копійочка», «</w:t>
      </w:r>
      <w:r w:rsidRPr="00407A55">
        <w:rPr>
          <w:rFonts w:ascii="Times New Roman" w:eastAsia="Times New Roman" w:hAnsi="Times New Roman" w:cs="Times New Roman"/>
          <w:color w:val="000000"/>
          <w:sz w:val="27"/>
          <w:szCs w:val="27"/>
          <w:lang w:val="en-US" w:eastAsia="ru-RU"/>
        </w:rPr>
        <w:t>Eva</w:t>
      </w:r>
      <w:r w:rsidRPr="00407A55">
        <w:rPr>
          <w:rFonts w:ascii="Times New Roman" w:eastAsia="Times New Roman" w:hAnsi="Times New Roman" w:cs="Times New Roman"/>
          <w:color w:val="000000"/>
          <w:sz w:val="27"/>
          <w:szCs w:val="27"/>
          <w:lang w:eastAsia="ru-RU"/>
        </w:rPr>
        <w:t>»,</w:t>
      </w:r>
      <w:r w:rsidRPr="00407A55">
        <w:rPr>
          <w:rFonts w:ascii="Times New Roman" w:eastAsia="Times New Roman" w:hAnsi="Times New Roman" w:cs="Times New Roman"/>
          <w:color w:val="000000"/>
          <w:sz w:val="27"/>
          <w:szCs w:val="27"/>
          <w:lang w:val="en-US" w:eastAsia="ru-RU"/>
        </w:rPr>
        <w:t> </w:t>
      </w:r>
      <w:r w:rsidRPr="00407A55">
        <w:rPr>
          <w:rFonts w:ascii="Times New Roman" w:eastAsia="Times New Roman" w:hAnsi="Times New Roman" w:cs="Times New Roman"/>
          <w:color w:val="000000"/>
          <w:sz w:val="27"/>
          <w:szCs w:val="27"/>
          <w:lang w:eastAsia="ru-RU"/>
        </w:rPr>
        <w:t>«</w:t>
      </w:r>
      <w:r w:rsidRPr="00407A55">
        <w:rPr>
          <w:rFonts w:ascii="Times New Roman" w:eastAsia="Times New Roman" w:hAnsi="Times New Roman" w:cs="Times New Roman"/>
          <w:color w:val="000000"/>
          <w:sz w:val="27"/>
          <w:szCs w:val="27"/>
          <w:lang w:val="en-US" w:eastAsia="ru-RU"/>
        </w:rPr>
        <w:t>Watsons</w:t>
      </w:r>
      <w:r w:rsidRPr="00407A55">
        <w:rPr>
          <w:rFonts w:ascii="Times New Roman" w:eastAsia="Times New Roman" w:hAnsi="Times New Roman" w:cs="Times New Roman"/>
          <w:color w:val="000000"/>
          <w:sz w:val="27"/>
          <w:szCs w:val="27"/>
          <w:lang w:eastAsia="ru-RU"/>
        </w:rPr>
        <w:t>», «Епіцентр», «</w:t>
      </w:r>
      <w:r w:rsidRPr="00407A55">
        <w:rPr>
          <w:rFonts w:ascii="Times New Roman" w:eastAsia="Times New Roman" w:hAnsi="Times New Roman" w:cs="Times New Roman"/>
          <w:color w:val="000000"/>
          <w:sz w:val="27"/>
          <w:szCs w:val="27"/>
          <w:lang w:val="en-US" w:eastAsia="ru-RU"/>
        </w:rPr>
        <w:t>Comfy</w:t>
      </w:r>
      <w:r w:rsidRPr="00407A55">
        <w:rPr>
          <w:rFonts w:ascii="Times New Roman" w:eastAsia="Times New Roman" w:hAnsi="Times New Roman" w:cs="Times New Roman"/>
          <w:color w:val="000000"/>
          <w:sz w:val="27"/>
          <w:szCs w:val="27"/>
          <w:lang w:eastAsia="ru-RU"/>
        </w:rPr>
        <w:t>», «Фокстрот», «Аврора», «</w:t>
      </w:r>
      <w:r w:rsidRPr="00407A55">
        <w:rPr>
          <w:rFonts w:ascii="Times New Roman" w:eastAsia="Times New Roman" w:hAnsi="Times New Roman" w:cs="Times New Roman"/>
          <w:color w:val="000000"/>
          <w:sz w:val="27"/>
          <w:szCs w:val="27"/>
          <w:lang w:val="en-US" w:eastAsia="ru-RU"/>
        </w:rPr>
        <w:t>Prostor</w:t>
      </w:r>
      <w:r w:rsidRPr="00407A55">
        <w:rPr>
          <w:rFonts w:ascii="Times New Roman" w:eastAsia="Times New Roman" w:hAnsi="Times New Roman" w:cs="Times New Roman"/>
          <w:color w:val="000000"/>
          <w:sz w:val="27"/>
          <w:szCs w:val="27"/>
          <w:lang w:eastAsia="ru-RU"/>
        </w:rPr>
        <w:t>», «</w:t>
      </w:r>
      <w:r w:rsidRPr="00407A55">
        <w:rPr>
          <w:rFonts w:ascii="Times New Roman" w:eastAsia="Times New Roman" w:hAnsi="Times New Roman" w:cs="Times New Roman"/>
          <w:color w:val="000000"/>
          <w:sz w:val="27"/>
          <w:szCs w:val="27"/>
          <w:lang w:val="en-US" w:eastAsia="ru-RU"/>
        </w:rPr>
        <w:t>McDonald</w:t>
      </w:r>
      <w:r w:rsidRPr="00407A55">
        <w:rPr>
          <w:rFonts w:ascii="Times New Roman" w:eastAsia="Times New Roman" w:hAnsi="Times New Roman" w:cs="Times New Roman"/>
          <w:color w:val="000000"/>
          <w:sz w:val="27"/>
          <w:szCs w:val="27"/>
          <w:lang w:eastAsia="ru-RU"/>
        </w:rPr>
        <w:t>’</w:t>
      </w:r>
      <w:r w:rsidRPr="00407A55">
        <w:rPr>
          <w:rFonts w:ascii="Times New Roman" w:eastAsia="Times New Roman" w:hAnsi="Times New Roman" w:cs="Times New Roman"/>
          <w:color w:val="000000"/>
          <w:sz w:val="27"/>
          <w:szCs w:val="27"/>
          <w:lang w:val="en-US" w:eastAsia="ru-RU"/>
        </w:rPr>
        <w:t>s</w:t>
      </w:r>
      <w:r w:rsidRPr="00407A55">
        <w:rPr>
          <w:rFonts w:ascii="Times New Roman" w:eastAsia="Times New Roman" w:hAnsi="Times New Roman" w:cs="Times New Roman"/>
          <w:color w:val="000000"/>
          <w:sz w:val="27"/>
          <w:szCs w:val="27"/>
          <w:lang w:eastAsia="ru-RU"/>
        </w:rPr>
        <w:t>», «</w:t>
      </w:r>
      <w:r w:rsidRPr="00407A55">
        <w:rPr>
          <w:rFonts w:ascii="Times New Roman" w:eastAsia="Times New Roman" w:hAnsi="Times New Roman" w:cs="Times New Roman"/>
          <w:color w:val="000000"/>
          <w:sz w:val="27"/>
          <w:szCs w:val="27"/>
          <w:lang w:val="en-US" w:eastAsia="ru-RU"/>
        </w:rPr>
        <w:t>KFC</w:t>
      </w:r>
      <w:r w:rsidRPr="00407A55">
        <w:rPr>
          <w:rFonts w:ascii="Times New Roman" w:eastAsia="Times New Roman" w:hAnsi="Times New Roman" w:cs="Times New Roman"/>
          <w:color w:val="000000"/>
          <w:sz w:val="27"/>
          <w:szCs w:val="27"/>
          <w:lang w:eastAsia="ru-RU"/>
        </w:rPr>
        <w:t>», «</w:t>
      </w:r>
      <w:r w:rsidRPr="00407A55">
        <w:rPr>
          <w:rFonts w:ascii="Times New Roman" w:eastAsia="Times New Roman" w:hAnsi="Times New Roman" w:cs="Times New Roman"/>
          <w:color w:val="000000"/>
          <w:sz w:val="27"/>
          <w:szCs w:val="27"/>
          <w:lang w:val="en-US" w:eastAsia="ru-RU"/>
        </w:rPr>
        <w:t>Hesburger</w:t>
      </w:r>
      <w:r w:rsidRPr="00407A55">
        <w:rPr>
          <w:rFonts w:ascii="Times New Roman" w:eastAsia="Times New Roman" w:hAnsi="Times New Roman" w:cs="Times New Roman"/>
          <w:color w:val="000000"/>
          <w:sz w:val="27"/>
          <w:szCs w:val="27"/>
          <w:lang w:eastAsia="ru-RU"/>
        </w:rPr>
        <w:t>», «Чорноморка» тощо. Також діяли</w:t>
      </w:r>
      <w:r w:rsidRPr="00407A55">
        <w:rPr>
          <w:rFonts w:ascii="Times New Roman" w:eastAsia="Times New Roman" w:hAnsi="Times New Roman" w:cs="Times New Roman"/>
          <w:color w:val="000000"/>
          <w:sz w:val="27"/>
          <w:szCs w:val="27"/>
          <w:lang w:val="ru-RU" w:eastAsia="ru-RU"/>
        </w:rPr>
        <w:t xml:space="preserve"> 3 об’єкти змішаного типу ринкового господарства та 1 торговельно-виставковий павільйон.</w:t>
      </w:r>
    </w:p>
    <w:p w:rsidR="00051B2D" w:rsidRPr="00407A55" w:rsidP="00051B2D" w14:paraId="5FFFB62D"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600700" cy="2619617"/>
            <wp:effectExtent l="0" t="0" r="0" b="9525"/>
            <wp:docPr id="1129830007" name="Рисунок 112983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830007" name="Графіка 1"/>
                    <pic:cNvPicPr/>
                  </pic:nvPicPr>
                  <pic:blipFill>
                    <a:blip xmlns:r="http://schemas.openxmlformats.org/officeDocument/2006/relationships" r:embed="rId39"/>
                    <a:stretch>
                      <a:fillRect/>
                    </a:stretch>
                  </pic:blipFill>
                  <pic:spPr>
                    <a:xfrm>
                      <a:off x="0" y="0"/>
                      <a:ext cx="5606114" cy="2622149"/>
                    </a:xfrm>
                    <a:prstGeom prst="rect">
                      <a:avLst/>
                    </a:prstGeom>
                  </pic:spPr>
                </pic:pic>
              </a:graphicData>
            </a:graphic>
          </wp:inline>
        </w:drawing>
      </w:r>
      <w:r w:rsidRPr="00407A55">
        <w:rPr>
          <w:rFonts w:ascii="Times New Roman" w:eastAsia="Times New Roman" w:hAnsi="Times New Roman" w:cs="Times New Roman"/>
          <w:color w:val="000000"/>
          <w:sz w:val="27"/>
          <w:szCs w:val="27"/>
          <w:lang w:eastAsia="ru-RU"/>
        </w:rPr>
        <w:t xml:space="preserve"> </w:t>
      </w:r>
    </w:p>
    <w:p w:rsidR="00051B2D" w:rsidRPr="00407A55" w:rsidP="00051B2D" w14:paraId="6FFCB6C9"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noProof/>
          <w:sz w:val="27"/>
          <w:szCs w:val="27"/>
          <w:lang w:eastAsia="ru-RU"/>
        </w:rPr>
        <w:t>У звітному періоді  реалізація державної регуляторної політики Броварською міською радою Броварського району Київської області та її виконавчим комітетом (далі - міська рада, виконавчий комітет) здійснювалась відповідно до вимог Закону України «Про засади державної регуляторної політики у сфері господарської діяльності»: прийнято 3 регуляторних акти,  здійснено 6 відстежень результативності регулятрних актів.</w:t>
      </w:r>
    </w:p>
    <w:bookmarkEnd w:id="15"/>
    <w:bookmarkEnd w:id="16"/>
    <w:p w:rsidR="00051B2D" w:rsidP="00051B2D" w14:paraId="4CFD2013" w14:textId="77777777">
      <w:pPr>
        <w:spacing w:after="0" w:line="240" w:lineRule="auto"/>
        <w:ind w:firstLine="567"/>
        <w:jc w:val="both"/>
        <w:rPr>
          <w:rFonts w:ascii="Times New Roman" w:eastAsia="Calibri" w:hAnsi="Times New Roman" w:cs="Times New Roman"/>
          <w:sz w:val="27"/>
          <w:szCs w:val="27"/>
          <w:lang w:eastAsia="en-US"/>
        </w:rPr>
      </w:pPr>
    </w:p>
    <w:p w:rsidR="00051B2D" w:rsidRPr="00407A55" w:rsidP="00051B2D" w14:paraId="25C457D7" w14:textId="77777777">
      <w:pPr>
        <w:spacing w:after="0" w:line="240" w:lineRule="auto"/>
        <w:ind w:firstLine="567"/>
        <w:jc w:val="both"/>
        <w:rPr>
          <w:rFonts w:ascii="Times New Roman" w:eastAsia="Calibri" w:hAnsi="Times New Roman" w:cs="Times New Roman"/>
          <w:sz w:val="27"/>
          <w:szCs w:val="27"/>
          <w:lang w:val="en-US" w:eastAsia="en-US"/>
        </w:rPr>
      </w:pPr>
      <w:r w:rsidRPr="00407A55">
        <w:rPr>
          <w:rFonts w:ascii="Times New Roman" w:eastAsia="Calibri" w:hAnsi="Times New Roman" w:cs="Times New Roman"/>
          <w:sz w:val="27"/>
          <w:szCs w:val="27"/>
          <w:lang w:eastAsia="en-US"/>
        </w:rPr>
        <w:t xml:space="preserve">За оперативними даними станом на 01 липня 2026 року у місті Бровари завершено реалізацію 10 інвестиційних проєктів, в т.ч.:  </w:t>
      </w:r>
    </w:p>
    <w:p w:rsidR="00051B2D" w:rsidRPr="00407A55" w:rsidP="00051B2D" w14:paraId="786A8BE6" w14:textId="77777777">
      <w:pPr>
        <w:spacing w:after="0" w:line="240" w:lineRule="auto"/>
        <w:ind w:firstLine="567"/>
        <w:jc w:val="center"/>
        <w:rPr>
          <w:rFonts w:ascii="Times New Roman" w:eastAsia="Calibri" w:hAnsi="Times New Roman" w:cs="Times New Roman"/>
          <w:sz w:val="27"/>
          <w:szCs w:val="27"/>
          <w:lang w:val="en-US" w:eastAsia="en-US"/>
        </w:rPr>
      </w:pPr>
      <w:r w:rsidRPr="00407A55">
        <w:rPr>
          <w:rFonts w:ascii="Times New Roman" w:eastAsia="Calibri" w:hAnsi="Times New Roman" w:cs="Times New Roman"/>
          <w:noProof/>
          <w:sz w:val="27"/>
          <w:szCs w:val="27"/>
          <w:lang w:eastAsia="en-US"/>
        </w:rPr>
        <w:drawing>
          <wp:inline distT="0" distB="0" distL="0" distR="0">
            <wp:extent cx="4191000" cy="245745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51B2D" w:rsidRPr="00407A55" w:rsidP="00051B2D" w14:paraId="2A85EA9F" w14:textId="77777777">
      <w:pPr>
        <w:spacing w:after="0" w:line="240" w:lineRule="auto"/>
        <w:ind w:firstLine="567"/>
        <w:jc w:val="both"/>
        <w:rPr>
          <w:rFonts w:ascii="Times New Roman" w:eastAsia="Calibri" w:hAnsi="Times New Roman" w:cs="Times New Roman"/>
          <w:b/>
          <w:i/>
          <w:sz w:val="27"/>
          <w:szCs w:val="27"/>
          <w:lang w:eastAsia="en-US"/>
        </w:rPr>
      </w:pPr>
      <w:r w:rsidRPr="00407A55">
        <w:rPr>
          <w:rFonts w:ascii="Times New Roman" w:eastAsia="Calibri" w:hAnsi="Times New Roman" w:cs="Times New Roman"/>
          <w:b/>
          <w:i/>
          <w:sz w:val="27"/>
          <w:szCs w:val="27"/>
          <w:lang w:eastAsia="en-US"/>
        </w:rPr>
        <w:t>6 – у сфері торгівлі, послуг та адміністративних/офісних приміщень/промислових будівель:</w:t>
      </w:r>
      <w:r w:rsidRPr="00407A55">
        <w:rPr>
          <w:rFonts w:ascii="Times New Roman" w:eastAsia="Times New Roman" w:hAnsi="Times New Roman" w:cs="Times New Roman"/>
          <w:sz w:val="27"/>
          <w:szCs w:val="27"/>
          <w:lang w:eastAsia="ru-RU"/>
        </w:rPr>
        <w:t xml:space="preserve"> р</w:t>
      </w:r>
      <w:r w:rsidRPr="00407A55">
        <w:rPr>
          <w:rFonts w:ascii="Times New Roman" w:eastAsia="Calibri" w:hAnsi="Times New Roman" w:cs="Times New Roman"/>
          <w:sz w:val="27"/>
          <w:szCs w:val="27"/>
          <w:lang w:eastAsia="en-US"/>
        </w:rPr>
        <w:t>еконструкція нежитлового приміщення №113 під стоматологічний кабінет по вул. Київській, 235-А;</w:t>
      </w:r>
      <w:r w:rsidRPr="00407A55">
        <w:rPr>
          <w:rFonts w:ascii="Times New Roman" w:eastAsia="Calibri" w:hAnsi="Times New Roman" w:cs="Times New Roman"/>
          <w:b/>
          <w:i/>
          <w:sz w:val="27"/>
          <w:szCs w:val="27"/>
          <w:shd w:val="clear" w:color="auto" w:fill="FFFFFF"/>
          <w:lang w:eastAsia="en-US"/>
        </w:rPr>
        <w:t xml:space="preserve">  к</w:t>
      </w:r>
      <w:r w:rsidRPr="00407A55">
        <w:rPr>
          <w:rFonts w:ascii="Times New Roman" w:eastAsia="Calibri" w:hAnsi="Times New Roman" w:cs="Times New Roman"/>
          <w:sz w:val="27"/>
          <w:szCs w:val="27"/>
          <w:lang w:eastAsia="en-US"/>
        </w:rPr>
        <w:t xml:space="preserve">апітальний ремонт нежилового приміщення №5 по бульв. Незалежності, 3; реконструкція нежитлового приміщення 3 під торгово-офісне приміщення з влаштуванням вхідних груп з легких металевих конструкцій та засобів безперешкодного доступу осіб з інвалідністю та інших маломобільних груп населення по вул. Петлюри Симона, 23-б; реконструкція існуючих будівель і споруд по вул. Київській, 94; нове будівництво магазину з кафетерієм та магазину непродовольчих товарів по вул. Переяславський шлях, 140; нове будівництво торгового центру на земельній ділянці з кадастровим номером 3210600000:00:015:0539 за адресою: Київська обл., м. Бровари, вул. Чорновола В`ячеслава, 3, </w:t>
      </w:r>
    </w:p>
    <w:p w:rsidR="00051B2D" w:rsidRPr="00407A55" w:rsidP="00051B2D" w14:paraId="6E86972C" w14:textId="77777777">
      <w:pPr>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b/>
          <w:bCs/>
          <w:i/>
          <w:iCs/>
          <w:sz w:val="27"/>
          <w:szCs w:val="27"/>
          <w:lang w:eastAsia="en-US"/>
        </w:rPr>
        <w:t>1 – у сфері промисловості</w:t>
      </w:r>
      <w:r w:rsidRPr="00407A55">
        <w:rPr>
          <w:rFonts w:ascii="Times New Roman" w:eastAsia="Calibri" w:hAnsi="Times New Roman" w:cs="Times New Roman"/>
          <w:sz w:val="27"/>
          <w:szCs w:val="27"/>
          <w:lang w:eastAsia="en-US"/>
        </w:rPr>
        <w:t xml:space="preserve">: реконструкція виробничої бази (надбудова), реконструкція навісу під склад за адресою: вул. Металургів, 4, м. Бровари. </w:t>
      </w:r>
      <w:r w:rsidRPr="00407A55">
        <w:rPr>
          <w:rFonts w:ascii="Times New Roman" w:eastAsia="Calibri" w:hAnsi="Times New Roman" w:cs="Times New Roman"/>
          <w:b/>
          <w:i/>
          <w:sz w:val="27"/>
          <w:szCs w:val="27"/>
          <w:shd w:val="clear" w:color="auto" w:fill="FFFFFF"/>
          <w:lang w:eastAsia="en-US"/>
        </w:rPr>
        <w:t xml:space="preserve"> </w:t>
      </w:r>
    </w:p>
    <w:p w:rsidR="00051B2D" w:rsidRPr="00407A55" w:rsidP="00051B2D" w14:paraId="3C6262C7" w14:textId="77777777">
      <w:pPr>
        <w:spacing w:after="0" w:line="240" w:lineRule="auto"/>
        <w:ind w:firstLine="567"/>
        <w:jc w:val="both"/>
        <w:rPr>
          <w:rFonts w:ascii="Times New Roman" w:eastAsia="Calibri" w:hAnsi="Times New Roman" w:cs="Times New Roman"/>
          <w:sz w:val="27"/>
          <w:szCs w:val="27"/>
          <w:shd w:val="clear" w:color="auto" w:fill="FFFFFF"/>
          <w:lang w:eastAsia="en-US"/>
        </w:rPr>
      </w:pPr>
      <w:r w:rsidRPr="00407A55">
        <w:rPr>
          <w:rFonts w:ascii="Times New Roman" w:eastAsia="Calibri" w:hAnsi="Times New Roman" w:cs="Times New Roman"/>
          <w:b/>
          <w:i/>
          <w:sz w:val="27"/>
          <w:szCs w:val="27"/>
          <w:shd w:val="clear" w:color="auto" w:fill="FFFFFF"/>
          <w:lang w:eastAsia="en-US"/>
        </w:rPr>
        <w:t xml:space="preserve">3 – у сфері логістики та обслуговування автомобілів: </w:t>
      </w:r>
      <w:r w:rsidRPr="00407A55">
        <w:rPr>
          <w:rFonts w:ascii="Times New Roman" w:eastAsia="Calibri" w:hAnsi="Times New Roman" w:cs="Times New Roman"/>
          <w:sz w:val="27"/>
          <w:szCs w:val="27"/>
          <w:lang w:eastAsia="en-US"/>
        </w:rPr>
        <w:t>нове будівництво складу по вул. Москаленка Сергія, буд. 16-г/8; нове будівництво складських будівель на земельній ділянці з кадастровим номером 3210600000:00:035:0524 по вул. Металургів (І-ша черга будівництва), м. Бровари; нове будівництво виробничо-складського комплексу з побутовими приміщеннями на земельних ділянках з кадастровими номерами: 3210600000:00:037:0510, 3210600000:01:037:0033, 3210600000:01:037:0039 по вул. Лісовій в м. Бровари Броварської територіальної громади Броварського району Київської області</w:t>
      </w:r>
      <w:r w:rsidRPr="00407A55">
        <w:rPr>
          <w:rFonts w:ascii="Times New Roman" w:eastAsia="Calibri" w:hAnsi="Times New Roman" w:cs="Times New Roman"/>
          <w:sz w:val="27"/>
          <w:szCs w:val="27"/>
          <w:shd w:val="clear" w:color="auto" w:fill="FFFFFF"/>
          <w:lang w:eastAsia="en-US"/>
        </w:rPr>
        <w:t>.</w:t>
      </w:r>
    </w:p>
    <w:p w:rsidR="00051B2D" w:rsidRPr="00407A55" w:rsidP="00051B2D" w14:paraId="2574466F" w14:textId="77777777">
      <w:pPr>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 xml:space="preserve">За оперативними даними створено 80 робочих місць, збережено 14 робочих місця та залучено інвестицій на загальну вартість – 319 154 942,67 грн. </w:t>
      </w:r>
    </w:p>
    <w:p w:rsidR="00051B2D" w:rsidRPr="00407A55" w:rsidP="00051B2D" w14:paraId="78BED781" w14:textId="77777777">
      <w:pPr>
        <w:spacing w:after="0" w:line="240" w:lineRule="auto"/>
        <w:ind w:firstLine="567"/>
        <w:jc w:val="both"/>
        <w:rPr>
          <w:rFonts w:ascii="Times New Roman" w:eastAsia="Calibri" w:hAnsi="Times New Roman" w:cs="Times New Roman"/>
          <w:sz w:val="27"/>
          <w:szCs w:val="27"/>
          <w:lang w:eastAsia="en-US"/>
        </w:rPr>
      </w:pPr>
      <w:r w:rsidRPr="00407A55">
        <w:rPr>
          <w:rFonts w:ascii="Times New Roman" w:eastAsia="Calibri" w:hAnsi="Times New Roman" w:cs="Times New Roman"/>
          <w:sz w:val="27"/>
          <w:szCs w:val="27"/>
          <w:lang w:eastAsia="en-US"/>
        </w:rPr>
        <w:t>Станом на 01 липня 2026 року продовжується реалізація 57 інвестиційних проєктів:</w:t>
      </w:r>
    </w:p>
    <w:p w:rsidR="00051B2D" w:rsidRPr="00407A55" w:rsidP="00051B2D" w14:paraId="4C5E5F22" w14:textId="77777777">
      <w:pPr>
        <w:spacing w:after="0" w:line="240" w:lineRule="auto"/>
        <w:ind w:firstLine="567"/>
        <w:jc w:val="both"/>
        <w:rPr>
          <w:rFonts w:ascii="Times New Roman" w:eastAsia="Calibri" w:hAnsi="Times New Roman" w:cs="Times New Roman"/>
          <w:sz w:val="27"/>
          <w:szCs w:val="27"/>
          <w:lang w:val="ru-RU" w:eastAsia="en-US"/>
        </w:rPr>
      </w:pPr>
      <w:r w:rsidRPr="00407A55">
        <w:rPr>
          <w:rFonts w:ascii="Times New Roman" w:eastAsia="Times New Roman" w:hAnsi="Times New Roman" w:cs="Times New Roman"/>
          <w:noProof/>
          <w:sz w:val="27"/>
          <w:szCs w:val="27"/>
          <w:lang w:val="ru-RU" w:eastAsia="ru-RU"/>
        </w:rPr>
        <w:drawing>
          <wp:inline distT="0" distB="0" distL="0" distR="0">
            <wp:extent cx="5457825" cy="303847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51B2D" w:rsidRPr="00407A55" w:rsidP="00051B2D" w14:paraId="5B746B26" w14:textId="77777777">
      <w:pPr>
        <w:spacing w:after="0" w:line="240" w:lineRule="auto"/>
        <w:ind w:firstLine="39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 Броварській міській територіальній громаді активно впроваджується </w:t>
      </w:r>
      <w:r w:rsidRPr="00407A55">
        <w:rPr>
          <w:rFonts w:ascii="Times New Roman" w:eastAsia="Times New Roman" w:hAnsi="Times New Roman" w:cs="Times New Roman"/>
          <w:bCs/>
          <w:sz w:val="27"/>
          <w:szCs w:val="27"/>
          <w:lang w:eastAsia="ru-RU"/>
        </w:rPr>
        <w:t>реформа з управління публічними інвестиціями</w:t>
      </w:r>
      <w:r w:rsidRPr="00407A55">
        <w:rPr>
          <w:rFonts w:ascii="Times New Roman" w:eastAsia="Times New Roman" w:hAnsi="Times New Roman" w:cs="Times New Roman"/>
          <w:sz w:val="27"/>
          <w:szCs w:val="27"/>
          <w:lang w:eastAsia="ru-RU"/>
        </w:rPr>
        <w:t xml:space="preserve">, яка спрямована на підвищення ефективності, прозорості та стратегічному використанні бюджетних коштів, посиленні спроможності громади та підвищення довіри інвесторів. На виконання законодавства у сфері публічних інвестицій був розроблений та опрацьований Інвестиційною радою та затверджений рішенням виконавчого комітету </w:t>
      </w:r>
      <w:r w:rsidRPr="00407A55">
        <w:rPr>
          <w:rFonts w:ascii="Times New Roman" w:eastAsia="Times New Roman" w:hAnsi="Times New Roman" w:cs="Times New Roman"/>
          <w:bCs/>
          <w:sz w:val="27"/>
          <w:szCs w:val="27"/>
          <w:lang w:eastAsia="ru-RU"/>
        </w:rPr>
        <w:t>Середньостроковий план пріоритетних публічних інвестицій Броварської міської територіальної громади на 2026 – 2028 роки, який охоплює  8 пріоритетних галузей (секторів</w:t>
      </w:r>
      <w:r w:rsidRPr="00407A55">
        <w:rPr>
          <w:rFonts w:ascii="Times New Roman" w:eastAsia="Times New Roman" w:hAnsi="Times New Roman" w:cs="Times New Roman"/>
          <w:b/>
          <w:i/>
          <w:iCs/>
          <w:sz w:val="27"/>
          <w:szCs w:val="27"/>
          <w:lang w:eastAsia="ru-RU"/>
        </w:rPr>
        <w:t>)</w:t>
      </w:r>
      <w:r w:rsidRPr="00407A55">
        <w:rPr>
          <w:rFonts w:ascii="Times New Roman" w:eastAsia="Times New Roman" w:hAnsi="Times New Roman" w:cs="Times New Roman"/>
          <w:iCs/>
          <w:sz w:val="27"/>
          <w:szCs w:val="27"/>
          <w:lang w:eastAsia="ru-RU"/>
        </w:rPr>
        <w:t xml:space="preserve"> для публічного інвестування</w:t>
      </w:r>
      <w:r w:rsidRPr="00407A55">
        <w:rPr>
          <w:rFonts w:ascii="Times New Roman" w:eastAsia="Times New Roman" w:hAnsi="Times New Roman" w:cs="Times New Roman"/>
          <w:sz w:val="27"/>
          <w:szCs w:val="27"/>
          <w:lang w:eastAsia="ru-RU"/>
        </w:rPr>
        <w:t xml:space="preserve">, а саме: муніципальна інфраструктура та послуги, житло, транспорт, освіта і наука, охорона здоров`я, культура, спорт та фізичне виховання, соціальна сфера. </w:t>
      </w:r>
    </w:p>
    <w:p w:rsidR="00051B2D" w:rsidRPr="00407A55" w:rsidP="00051B2D" w14:paraId="1C3F7BCE" w14:textId="77777777">
      <w:pPr>
        <w:spacing w:after="0" w:line="240" w:lineRule="auto"/>
        <w:ind w:firstLine="39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Відповідно до Середньострокового плану орієнтовний граничний сукупний обсяг публічних інвестицій з місцевого бюджету складає 200 000,0 тис. грн. щорічно на період 2026-2028 роки:</w:t>
      </w:r>
    </w:p>
    <w:p w:rsidR="00051B2D" w:rsidRPr="00407A55" w:rsidP="00051B2D" w14:paraId="4A7D4FFF"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Граничний розподіл коштів з місцевого бюджету</w:t>
      </w:r>
    </w:p>
    <w:p w:rsidR="00051B2D" w:rsidRPr="00407A55" w:rsidP="00051B2D" w14:paraId="4472D263" w14:textId="77777777">
      <w:pPr>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у 2026 – 2028 рр. за галузями, (%)</w:t>
      </w:r>
    </w:p>
    <w:p w:rsidR="00051B2D" w:rsidRPr="00407A55" w:rsidP="00051B2D" w14:paraId="03FDF743"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noProof/>
          <w:sz w:val="27"/>
          <w:szCs w:val="27"/>
          <w:lang w:eastAsia="ru-RU"/>
        </w:rPr>
        <w:drawing>
          <wp:inline distT="0" distB="0" distL="0" distR="0">
            <wp:extent cx="5769610" cy="2621280"/>
            <wp:effectExtent l="0" t="0" r="2540" b="762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407A55">
        <w:rPr>
          <w:rFonts w:ascii="Times New Roman" w:eastAsia="Times New Roman" w:hAnsi="Times New Roman" w:cs="Times New Roman"/>
          <w:sz w:val="27"/>
          <w:szCs w:val="27"/>
          <w:lang w:eastAsia="ru-RU"/>
        </w:rPr>
        <w:t xml:space="preserve">        Також в електронній </w:t>
      </w:r>
      <w:r w:rsidRPr="00407A55">
        <w:rPr>
          <w:rFonts w:ascii="Times New Roman" w:eastAsia="Times New Roman" w:hAnsi="Times New Roman" w:cs="Times New Roman"/>
          <w:color w:val="000000"/>
          <w:sz w:val="27"/>
          <w:szCs w:val="27"/>
          <w:shd w:val="clear" w:color="auto" w:fill="FFFFFF"/>
          <w:lang w:eastAsia="ru-RU"/>
        </w:rPr>
        <w:t xml:space="preserve">системі управління публічними інвестиціями DREAM </w:t>
      </w:r>
      <w:r w:rsidRPr="00407A55">
        <w:rPr>
          <w:rFonts w:ascii="Times New Roman" w:eastAsia="Times New Roman" w:hAnsi="Times New Roman" w:cs="Times New Roman"/>
          <w:sz w:val="27"/>
          <w:szCs w:val="27"/>
          <w:lang w:eastAsia="ru-RU"/>
        </w:rPr>
        <w:t xml:space="preserve">сформовано та схвалено Інвестиційною радою громади Єдиний проєктний портфель публічних інвестицій Броварської міської територіальної громади на 2026 рік, який складається з 27 інвестиційних проєктів за 6 пріоритетними галузями: </w:t>
      </w:r>
    </w:p>
    <w:p w:rsidR="00051B2D" w:rsidRPr="00407A55" w:rsidP="00051B2D" w14:paraId="410369E8" w14:textId="77777777">
      <w:pPr>
        <w:spacing w:after="0" w:line="240" w:lineRule="auto"/>
        <w:ind w:firstLine="567"/>
        <w:jc w:val="center"/>
        <w:rPr>
          <w:rFonts w:ascii="Times New Roman" w:eastAsia="Times New Roman" w:hAnsi="Times New Roman" w:cs="Times New Roman"/>
          <w:b/>
          <w:bCs/>
          <w:sz w:val="27"/>
          <w:szCs w:val="27"/>
          <w:lang w:val="ru-RU" w:eastAsia="ru-RU"/>
        </w:rPr>
      </w:pPr>
      <w:r w:rsidRPr="00407A55">
        <w:rPr>
          <w:rFonts w:ascii="Times New Roman" w:eastAsia="Times New Roman" w:hAnsi="Times New Roman" w:cs="Times New Roman"/>
          <w:b/>
          <w:bCs/>
          <w:sz w:val="27"/>
          <w:szCs w:val="27"/>
          <w:lang w:eastAsia="ru-RU"/>
        </w:rPr>
        <w:t>Обсяг публічних інвестицій на 2026 рік за галузями, (%)</w:t>
      </w:r>
    </w:p>
    <w:p w:rsidR="00051B2D" w:rsidRPr="00407A55" w:rsidP="00051B2D" w14:paraId="3B02B556"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b/>
          <w:noProof/>
          <w:sz w:val="27"/>
          <w:szCs w:val="27"/>
          <w:lang w:eastAsia="ru-RU"/>
        </w:rPr>
        <w:drawing>
          <wp:inline distT="0" distB="0" distL="0" distR="0">
            <wp:extent cx="5876925" cy="302895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51B2D" w:rsidRPr="00407A55" w:rsidP="00051B2D" w14:paraId="71F365BA"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Розпорядженням Кабінету Міністрів України від 01.07.2026 № 646-р індустріальний парк «БУДШЛЯХМАШ» включено до Реєстру  індустріальних (промислових) парків України. Створення індустріального парку сприятиме залученню інвестицій на суму понад 1,2 млрд грн., створенню 500 нових робочих місць, розширенню вироб</w:t>
      </w:r>
      <w:r w:rsidRPr="00407A55">
        <w:rPr>
          <w:rFonts w:ascii="Times New Roman" w:eastAsia="Times New Roman" w:hAnsi="Times New Roman" w:cs="Times New Roman"/>
          <w:sz w:val="27"/>
          <w:szCs w:val="27"/>
          <w:lang w:eastAsia="ru-RU"/>
        </w:rPr>
        <w:softHyphen/>
        <w:t>ничого та експортного потенціалу регіону, модернізації місцевої інфраструктури.</w:t>
      </w:r>
    </w:p>
    <w:p w:rsidR="00051B2D" w:rsidRPr="00407A55" w:rsidP="00051B2D" w14:paraId="21928755" w14:textId="77777777">
      <w:pPr>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Впродовж І півріччя 2026 року продовжувались роботи з реконструкції дошкільного навчального закладу (ясла-садок) комбінованого типу «Зірочка» по вул. Ярослава Мудрого, 3 в м. Бровари Київської області; будівництва захисної споруди цивільного захисту на території   дошкільного навчального закладу (ясла-садок) комбінованого типу «Зірочка»; реконструкції (для ліквідації наслідків надзвичайної ситуації) закладу дошкільної освіти (ясла-садок) комбінованого типу "Джерельце" Броварської міської ради Броварського району Київської області за адресою: Київська область, м. Бровари,  вул. Петлюри Симона, 13-б; реконструкції інфекційного відділення  центру «Дитяча лікарня» КНТ «Броварська багатопрофільна клінічна лікарня» по вул. Ярослава Мудрого, 47 в м. Бровари Київської області;  ремонтні роботи з усунення аварії ліфтів, капітальні ремонти чотирьох ГРЩ-0,4кВ.; капітальні ремонти внутрішньоквартальних міжбудинкових проїздів та інші. </w:t>
      </w:r>
    </w:p>
    <w:p w:rsidR="00051B2D" w:rsidRPr="00407A55" w:rsidP="00051B2D" w14:paraId="0D5E9DFA" w14:textId="77777777">
      <w:pPr>
        <w:shd w:val="clear" w:color="auto" w:fill="FFFFFF"/>
        <w:tabs>
          <w:tab w:val="left" w:pos="284"/>
          <w:tab w:val="left" w:pos="6662"/>
        </w:tabs>
        <w:spacing w:after="0" w:line="240" w:lineRule="auto"/>
        <w:ind w:firstLine="567"/>
        <w:jc w:val="center"/>
        <w:rPr>
          <w:rFonts w:ascii="Times New Roman" w:eastAsia="Times New Roman" w:hAnsi="Times New Roman" w:cs="Times New Roman"/>
          <w:b/>
          <w:color w:val="000000"/>
          <w:spacing w:val="-2"/>
          <w:sz w:val="27"/>
          <w:szCs w:val="27"/>
          <w:lang w:eastAsia="ru-RU"/>
        </w:rPr>
      </w:pPr>
    </w:p>
    <w:p w:rsidR="00051B2D" w:rsidRPr="00407A55" w:rsidP="00051B2D" w14:paraId="01DF27FC" w14:textId="77777777">
      <w:pPr>
        <w:shd w:val="clear" w:color="auto" w:fill="FFFFFF"/>
        <w:tabs>
          <w:tab w:val="left" w:pos="284"/>
        </w:tabs>
        <w:spacing w:after="0" w:line="240" w:lineRule="auto"/>
        <w:ind w:firstLine="567"/>
        <w:jc w:val="center"/>
        <w:rPr>
          <w:rFonts w:ascii="Times New Roman" w:eastAsia="Times New Roman" w:hAnsi="Times New Roman" w:cs="Times New Roman"/>
          <w:b/>
          <w:bCs/>
          <w:i/>
          <w:iCs/>
          <w:sz w:val="27"/>
          <w:szCs w:val="27"/>
          <w:lang w:eastAsia="ru-RU"/>
        </w:rPr>
      </w:pPr>
      <w:r w:rsidRPr="00407A55">
        <w:rPr>
          <w:rFonts w:ascii="Times New Roman" w:eastAsia="Times New Roman" w:hAnsi="Times New Roman" w:cs="Times New Roman"/>
          <w:b/>
          <w:bCs/>
          <w:i/>
          <w:iCs/>
          <w:sz w:val="27"/>
          <w:szCs w:val="27"/>
          <w:lang w:eastAsia="ru-RU"/>
        </w:rPr>
        <w:t>Розвиток міжнародного співробітництва</w:t>
      </w:r>
    </w:p>
    <w:p w:rsidR="00051B2D" w:rsidRPr="00407A55" w:rsidP="00051B2D" w14:paraId="690DAFCF"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У 2026 році продовжується співпраця з міжнародними партнерами з м. Фонтене-су-Буа (Французька Республіка), м. Єна, м. Ерланген та районом Лан-ділль (ФРН), м. Задар (Республіка Хорватія), м. Рокфорд та м. Такома (США), Гродзиського, Ґнєзненського та Красницького повітів (Республіка Польща), м. </w:t>
      </w:r>
      <w:r w:rsidRPr="00407A55">
        <w:rPr>
          <w:rFonts w:ascii="Times New Roman" w:eastAsia="Times New Roman" w:hAnsi="Times New Roman" w:cs="Times New Roman"/>
          <w:sz w:val="27"/>
          <w:szCs w:val="27"/>
          <w:lang w:eastAsia="ru-RU"/>
        </w:rPr>
        <w:t xml:space="preserve">Сілламяе (Естонія), м.Євле (Королівство Швеція). Проводиться робота щодо налагодження партнерських звꞌязківм з м.Лежа (Албанія). </w:t>
      </w:r>
    </w:p>
    <w:p w:rsidR="00051B2D" w:rsidRPr="00407A55" w:rsidP="00051B2D" w14:paraId="4D1E7A0F"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Продовжується співпраця  в наступних міжнародних програмах та проєктах: </w:t>
      </w:r>
    </w:p>
    <w:p w:rsidR="00051B2D" w:rsidRPr="00407A55" w:rsidP="00051B2D" w14:paraId="253D6479" w14:textId="77777777">
      <w:pPr>
        <w:numPr>
          <w:ilvl w:val="0"/>
          <w:numId w:val="4"/>
        </w:numPr>
        <w:spacing w:after="0" w:line="240" w:lineRule="auto"/>
        <w:ind w:left="0"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професійній новаторській  програма з лідерства та управління BLOOMBERG LSE EUROPEAN CITY LEADERSHIP;</w:t>
      </w:r>
    </w:p>
    <w:p w:rsidR="00051B2D" w:rsidRPr="00407A55" w:rsidP="00051B2D" w14:paraId="3F443353" w14:textId="77777777">
      <w:pPr>
        <w:numPr>
          <w:ilvl w:val="0"/>
          <w:numId w:val="4"/>
        </w:numPr>
        <w:spacing w:after="0" w:line="240" w:lineRule="auto"/>
        <w:ind w:left="0"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програмі міжнародної співпраці «Просування енергоефективності та імплементації Директиви ЄС про енергоефективність в Україні», які спільно фінансуються Європейським Союзом та урядом Німеччини і реалізується німецькою федеральною компанією Deutsche Gesellschaft für Internationale Zusammenarbeit (GIZ) GmbH;  </w:t>
      </w:r>
    </w:p>
    <w:p w:rsidR="00051B2D" w:rsidRPr="00407A55" w:rsidP="00051B2D" w14:paraId="3671C7ED" w14:textId="77777777">
      <w:pPr>
        <w:numPr>
          <w:ilvl w:val="0"/>
          <w:numId w:val="4"/>
        </w:numPr>
        <w:spacing w:after="0" w:line="240" w:lineRule="auto"/>
        <w:ind w:left="0"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програмі Європейського Союзу «CERV» «Громадяни, рівність, права та цінність»: проєкт «Європейські перспективи: громадяни формують майбутнє»;</w:t>
      </w:r>
    </w:p>
    <w:p w:rsidR="00051B2D" w:rsidRPr="00407A55" w:rsidP="00051B2D" w14:paraId="460FA198" w14:textId="77777777">
      <w:pPr>
        <w:numPr>
          <w:ilvl w:val="0"/>
          <w:numId w:val="4"/>
        </w:numPr>
        <w:spacing w:after="0" w:line="240" w:lineRule="auto"/>
        <w:ind w:left="0"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швейцарсько-українському проєкті </w:t>
      </w:r>
      <w:r w:rsidRPr="00407A55">
        <w:rPr>
          <w:rFonts w:ascii="Times New Roman" w:eastAsia="Times New Roman" w:hAnsi="Times New Roman" w:cs="Times New Roman"/>
          <w:color w:val="000000"/>
          <w:sz w:val="27"/>
          <w:szCs w:val="27"/>
          <w:lang w:val="en-US" w:eastAsia="ru-RU"/>
        </w:rPr>
        <w:t>DECIDE</w:t>
      </w:r>
      <w:r w:rsidRPr="00407A55">
        <w:rPr>
          <w:rFonts w:ascii="Times New Roman" w:eastAsia="Times New Roman" w:hAnsi="Times New Roman" w:cs="Times New Roman"/>
          <w:color w:val="000000"/>
          <w:sz w:val="27"/>
          <w:szCs w:val="27"/>
          <w:lang w:eastAsia="ru-RU"/>
        </w:rPr>
        <w:t xml:space="preserve"> для підтримка реформи професійної освіти в Україні»; </w:t>
      </w:r>
    </w:p>
    <w:p w:rsidR="00051B2D" w:rsidRPr="00407A55" w:rsidP="00051B2D" w14:paraId="60B71D88" w14:textId="77777777">
      <w:pPr>
        <w:numPr>
          <w:ilvl w:val="0"/>
          <w:numId w:val="4"/>
        </w:numPr>
        <w:spacing w:after="0" w:line="240" w:lineRule="auto"/>
        <w:ind w:left="0"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програмі розвитку ООН (UNDP) в Україні у співпраці з Міністерством розвитку громад, територій та інфраструктури України за фінансової підтримки Уряду Японії в межах проєкту ПРООН «Трансформаційне відновлення людської безпеки в Україні»;</w:t>
      </w:r>
    </w:p>
    <w:p w:rsidR="00051B2D" w:rsidRPr="00407A55" w:rsidP="00051B2D" w14:paraId="6BF4D806" w14:textId="77777777">
      <w:pPr>
        <w:numPr>
          <w:ilvl w:val="0"/>
          <w:numId w:val="4"/>
        </w:numPr>
        <w:spacing w:after="0" w:line="240" w:lineRule="auto"/>
        <w:ind w:left="0"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проєкті «LEP4WORK – Місцеві партнерства з працевлаштування для гідної праці та ефективного управління ринком праці», що реалізується Українським жіночим фондом за підтримки Міжнародної організації праці;</w:t>
      </w:r>
    </w:p>
    <w:p w:rsidR="00051B2D" w:rsidRPr="00407A55" w:rsidP="00051B2D" w14:paraId="2B10546B" w14:textId="77777777">
      <w:pPr>
        <w:numPr>
          <w:ilvl w:val="0"/>
          <w:numId w:val="4"/>
        </w:numPr>
        <w:spacing w:after="0" w:line="240" w:lineRule="auto"/>
        <w:ind w:left="0"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програмі «Зелене відновлення промисловості через муніципальний розвиток в Україні» за фінансування UNIDO, реалізація проєкту «Оновлення існуючого техніко-економічного обґрунтування реконструкції каналізаційних очисних споруд м. Бровари»;</w:t>
      </w:r>
    </w:p>
    <w:p w:rsidR="00051B2D" w:rsidRPr="00407A55" w:rsidP="00051B2D" w14:paraId="2C8358A0" w14:textId="77777777">
      <w:pPr>
        <w:numPr>
          <w:ilvl w:val="0"/>
          <w:numId w:val="4"/>
        </w:numPr>
        <w:spacing w:after="0" w:line="240" w:lineRule="auto"/>
        <w:ind w:left="0"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європейському проєкт «Шляхи співпраці» за реалізації Мережі асоціацій місцевих влад Південно-Східної Європи та інші.</w:t>
      </w:r>
    </w:p>
    <w:p w:rsidR="00051B2D" w:rsidRPr="00407A55" w:rsidP="00051B2D" w14:paraId="45EBBE1A"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color w:val="000000"/>
          <w:sz w:val="27"/>
          <w:szCs w:val="27"/>
          <w:lang w:eastAsia="ru-RU"/>
        </w:rPr>
        <w:t xml:space="preserve">Громада є членом </w:t>
      </w:r>
      <w:r w:rsidRPr="00407A55">
        <w:rPr>
          <w:rFonts w:ascii="Times New Roman" w:eastAsia="Times New Roman" w:hAnsi="Times New Roman" w:cs="Times New Roman"/>
          <w:sz w:val="27"/>
          <w:szCs w:val="27"/>
          <w:lang w:eastAsia="ru-RU"/>
        </w:rPr>
        <w:t>міжнародної організації ICLEI  «Місцеві органи влади за сталий розвиток»; є учасником європейської ініціативи «Угода мерів» та Міланського Пакту про  продовольчу політику у містах (MUFPP).</w:t>
      </w:r>
    </w:p>
    <w:p w:rsidR="00051B2D" w:rsidRPr="00407A55" w:rsidP="00051B2D" w14:paraId="7FE8CC53" w14:textId="77777777">
      <w:pPr>
        <w:spacing w:after="0" w:line="240" w:lineRule="auto"/>
        <w:ind w:firstLine="567"/>
        <w:jc w:val="both"/>
        <w:rPr>
          <w:rFonts w:ascii="Times New Roman" w:eastAsia="Times New Roman" w:hAnsi="Times New Roman" w:cs="Times New Roman"/>
          <w:iCs/>
          <w:sz w:val="27"/>
          <w:szCs w:val="27"/>
          <w:lang w:eastAsia="ru-RU"/>
        </w:rPr>
      </w:pPr>
      <w:r w:rsidRPr="00407A55">
        <w:rPr>
          <w:rFonts w:ascii="Times New Roman" w:eastAsia="Times New Roman" w:hAnsi="Times New Roman" w:cs="Times New Roman"/>
          <w:sz w:val="27"/>
          <w:szCs w:val="27"/>
          <w:lang w:eastAsia="ru-RU"/>
        </w:rPr>
        <w:t xml:space="preserve">На правах асоційованого партнера громада бере участь у роботі Європейського Альянсу міст і регіонів із відбудови України. Співпраця відбувається в рамках «Платформи з відбудови України» щодо отримання консультацій для міст і регіонів України з питань нарощування потенціалу, належного врядування й технічної допомоги, зміцнення місцевої демократії та підтримці спільних європейських цінностей. </w:t>
      </w:r>
    </w:p>
    <w:p w:rsidR="00051B2D" w:rsidRPr="00407A55" w:rsidP="00051B2D" w14:paraId="20F38709"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 рамках проєкту ««Муніципальні партнерства для цивільного захисту та відновлення в Україні» — </w:t>
      </w:r>
      <w:r w:rsidRPr="00407A55">
        <w:rPr>
          <w:rFonts w:ascii="Times New Roman" w:eastAsia="Times New Roman" w:hAnsi="Times New Roman" w:cs="Times New Roman"/>
          <w:sz w:val="27"/>
          <w:szCs w:val="27"/>
          <w:lang w:val="en-US" w:eastAsia="ru-RU"/>
        </w:rPr>
        <w:t>Reha</w:t>
      </w:r>
      <w:r w:rsidRPr="00407A55">
        <w:rPr>
          <w:rFonts w:ascii="Times New Roman" w:eastAsia="Times New Roman" w:hAnsi="Times New Roman" w:cs="Times New Roman"/>
          <w:sz w:val="27"/>
          <w:szCs w:val="27"/>
          <w:lang w:eastAsia="ru-RU"/>
        </w:rPr>
        <w:t xml:space="preserve">-1», що реалізується товариством </w:t>
      </w:r>
      <w:r w:rsidRPr="00407A55">
        <w:rPr>
          <w:rFonts w:ascii="Times New Roman" w:eastAsia="Times New Roman" w:hAnsi="Times New Roman" w:cs="Times New Roman"/>
          <w:sz w:val="27"/>
          <w:szCs w:val="27"/>
          <w:lang w:val="en-US" w:eastAsia="ru-RU"/>
        </w:rPr>
        <w:t>GIZ</w:t>
      </w:r>
      <w:r w:rsidRPr="00407A55">
        <w:rPr>
          <w:rFonts w:ascii="Times New Roman" w:eastAsia="Times New Roman" w:hAnsi="Times New Roman" w:cs="Times New Roman"/>
          <w:sz w:val="27"/>
          <w:szCs w:val="27"/>
          <w:lang w:eastAsia="ru-RU"/>
        </w:rPr>
        <w:t xml:space="preserve"> за фінансування Фонду Федерального Міністерства економічного співробітництва та розвитку Німеччини (BMZ), у співпраці із містами-партнерами Єна та Ерланген, ФРН, отримано комплект функціональних меблів та реабілітаційних тренажерів для Броварської багатопрофільної клінічної лікарні та два мікроавтобуса </w:t>
      </w:r>
      <w:r w:rsidRPr="00407A55">
        <w:rPr>
          <w:rFonts w:ascii="Times New Roman" w:eastAsia="Times New Roman" w:hAnsi="Times New Roman" w:cs="Times New Roman"/>
          <w:sz w:val="27"/>
          <w:szCs w:val="27"/>
          <w:lang w:val="en-US" w:eastAsia="ru-RU"/>
        </w:rPr>
        <w:t>Mercedes</w:t>
      </w:r>
      <w:r w:rsidRPr="00407A55">
        <w:rPr>
          <w:rFonts w:ascii="Times New Roman" w:eastAsia="Times New Roman" w:hAnsi="Times New Roman" w:cs="Times New Roman"/>
          <w:sz w:val="27"/>
          <w:szCs w:val="27"/>
          <w:lang w:eastAsia="ru-RU"/>
        </w:rPr>
        <w:t>-</w:t>
      </w:r>
      <w:r w:rsidRPr="00407A55">
        <w:rPr>
          <w:rFonts w:ascii="Times New Roman" w:eastAsia="Times New Roman" w:hAnsi="Times New Roman" w:cs="Times New Roman"/>
          <w:sz w:val="27"/>
          <w:szCs w:val="27"/>
          <w:lang w:val="en-US" w:eastAsia="ru-RU"/>
        </w:rPr>
        <w:t>Benz</w:t>
      </w:r>
      <w:r w:rsidRPr="00407A55">
        <w:rPr>
          <w:rFonts w:ascii="Times New Roman" w:eastAsia="Times New Roman" w:hAnsi="Times New Roman" w:cs="Times New Roman"/>
          <w:sz w:val="27"/>
          <w:szCs w:val="27"/>
          <w:lang w:eastAsia="ru-RU"/>
        </w:rPr>
        <w:t xml:space="preserve"> для підтримки комунальних служб та здійснення заходів із реабілітації осіб з обмеженими можливостями/ветеранів війни. </w:t>
      </w:r>
    </w:p>
    <w:p w:rsidR="00051B2D" w:rsidRPr="00407A55" w:rsidP="00051B2D" w14:paraId="399039EA"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 рамках Фонду малих проєктів від Engagement Global за кошти Федерального міністерства економічного співробітництва та розвитку Німеччини </w:t>
      </w:r>
      <w:r w:rsidRPr="00407A55">
        <w:rPr>
          <w:rFonts w:ascii="Times New Roman" w:eastAsia="Times New Roman" w:hAnsi="Times New Roman" w:cs="Times New Roman"/>
          <w:sz w:val="27"/>
          <w:szCs w:val="27"/>
          <w:lang w:eastAsia="ru-RU"/>
        </w:rPr>
        <w:t xml:space="preserve">й міста-побратима Броварів Ерланген, ФРН придбано 107 сучасних високоточних лічильників води та систему дистанційного моніторингу для зчитування даних для КП «Броваритепловодоенергія» для встановлення в комунальних багатоквартирних будинках громади. </w:t>
      </w:r>
    </w:p>
    <w:p w:rsidR="00051B2D" w:rsidRPr="00407A55" w:rsidP="00051B2D" w14:paraId="6D0A9115"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За фінансування м. Ерланген (ФРН), придбано дизельний генератор, від міста Єна (ФРН) громада також отримала новий дизельний генератор, від пожежної службою м.Єна, ФРН  5-й Державний пожежно-рятувальний загон м. Бровари отримав генератор; за рахунок мешканців м.Фонтене-су-Буа, Франція, придбано та передано до Броварського Контакт центру зарядну станцію </w:t>
      </w:r>
      <w:r w:rsidRPr="00407A55">
        <w:rPr>
          <w:rFonts w:ascii="Times New Roman" w:eastAsia="Times New Roman" w:hAnsi="Times New Roman" w:cs="Times New Roman"/>
          <w:sz w:val="27"/>
          <w:szCs w:val="27"/>
          <w:lang w:val="en-US" w:eastAsia="ru-RU"/>
        </w:rPr>
        <w:t>EcoFlow</w:t>
      </w:r>
      <w:r w:rsidRPr="00407A55">
        <w:rPr>
          <w:rFonts w:ascii="Times New Roman" w:eastAsia="Times New Roman" w:hAnsi="Times New Roman" w:cs="Times New Roman"/>
          <w:sz w:val="27"/>
          <w:szCs w:val="27"/>
          <w:lang w:eastAsia="ru-RU"/>
        </w:rPr>
        <w:t>. Також отримано багатофункціональний колісний навантажувач від району Лан-Ділль, (ФРН) в рамках проєкту «Муніципальні партнерства для цивільного захисту та відновлення в Україні».  В рамках проєкту «Посилення постраждалих від війни громад України через місцеві ініціативи (</w:t>
      </w:r>
      <w:r w:rsidRPr="00407A55">
        <w:rPr>
          <w:rFonts w:ascii="Times New Roman" w:eastAsia="Times New Roman" w:hAnsi="Times New Roman" w:cs="Times New Roman"/>
          <w:sz w:val="27"/>
          <w:szCs w:val="27"/>
          <w:lang w:val="en-US" w:eastAsia="ru-RU"/>
        </w:rPr>
        <w:t>EMPOWER</w:t>
      </w:r>
      <w:r w:rsidRPr="00407A55">
        <w:rPr>
          <w:rFonts w:ascii="Times New Roman" w:eastAsia="Times New Roman" w:hAnsi="Times New Roman" w:cs="Times New Roman"/>
          <w:sz w:val="27"/>
          <w:szCs w:val="27"/>
          <w:lang w:eastAsia="ru-RU"/>
        </w:rPr>
        <w:t xml:space="preserve">)» від німецького товариства міжнародного співробітництва GIZ отримано 3 гібрідні СЕС потужністю 38 кВт для 3-х ЗДО громади та 3 системи зберігання енергії(СЗЕ) потужністю 60 кВт для 3-х котелен. </w:t>
      </w:r>
    </w:p>
    <w:p w:rsidR="00051B2D" w:rsidRPr="00407A55" w:rsidP="00051B2D" w14:paraId="496CD2FB"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Крім того, в звітному періоді отримано 13 генераторів від БО «</w:t>
      </w:r>
      <w:r w:rsidRPr="00407A55">
        <w:rPr>
          <w:rFonts w:ascii="Times New Roman" w:eastAsia="Times New Roman" w:hAnsi="Times New Roman" w:cs="Times New Roman"/>
          <w:sz w:val="27"/>
          <w:szCs w:val="27"/>
          <w:lang w:val="en-US" w:eastAsia="ru-RU"/>
        </w:rPr>
        <w:t>Team</w:t>
      </w:r>
      <w:r w:rsidRPr="00407A55">
        <w:rPr>
          <w:rFonts w:ascii="Times New Roman" w:eastAsia="Times New Roman" w:hAnsi="Times New Roman" w:cs="Times New Roman"/>
          <w:sz w:val="27"/>
          <w:szCs w:val="27"/>
          <w:lang w:eastAsia="ru-RU"/>
        </w:rPr>
        <w:t>4</w:t>
      </w:r>
      <w:r w:rsidRPr="00407A55">
        <w:rPr>
          <w:rFonts w:ascii="Times New Roman" w:eastAsia="Times New Roman" w:hAnsi="Times New Roman" w:cs="Times New Roman"/>
          <w:sz w:val="27"/>
          <w:szCs w:val="27"/>
          <w:lang w:val="en-US" w:eastAsia="ru-RU"/>
        </w:rPr>
        <w:t>Ukraine</w:t>
      </w:r>
      <w:r w:rsidRPr="00407A55">
        <w:rPr>
          <w:rFonts w:ascii="Times New Roman" w:eastAsia="Times New Roman" w:hAnsi="Times New Roman" w:cs="Times New Roman"/>
          <w:sz w:val="27"/>
          <w:szCs w:val="27"/>
          <w:lang w:eastAsia="ru-RU"/>
        </w:rPr>
        <w:t xml:space="preserve">» (Чехія),  вантажний пожежний автомобіль Mercedes-Benz від компанії HatchTech Global B.V.(Нідерланди). </w:t>
      </w:r>
    </w:p>
    <w:p w:rsidR="00051B2D" w:rsidRPr="00407A55" w:rsidP="00051B2D" w14:paraId="6EE6C6DD"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В рамках співпраці діти нашої громади долучались до міжнародних змагань з плавання в м. Ерланген. </w:t>
      </w:r>
    </w:p>
    <w:p w:rsidR="00051B2D" w:rsidRPr="00407A55" w:rsidP="00051B2D" w14:paraId="26680AC4"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Група дітей пільгових категорій Броварської громади в червні поточного року відпочивала у Ґродзиському повіті (Республіки Польща).</w:t>
      </w:r>
    </w:p>
    <w:p w:rsidR="00051B2D" w:rsidRPr="00407A55" w:rsidP="00051B2D" w14:paraId="0071CC10"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Підприємства громади здійснюють експорт продукції в різні країни світу. В 2023 році розпочало свою діяльність підприємство ТОВ «ПАТРІОТ-ПЛАСТ», яке на сьогодні постачає високоякісні підвіконня для віконних систем ПВХ до Німеччини, Польщі, країн Балтії, Словаччини, Болгарії, Молдови, Румунії.</w:t>
      </w:r>
    </w:p>
    <w:p w:rsidR="00051B2D" w:rsidRPr="00407A55" w:rsidP="00051B2D" w14:paraId="28AE2089" w14:textId="77777777">
      <w:pPr>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Експортерами також є ТОВ "ВІВО-АКТИВ" -  виробник заквасок та пробіотиків, ТОВ "Німецько - Українська НВФ "Бровафарма" – виробник фармацевтичних препаратів для тварин, ТОВ "Київгума" – виробник гумових виробів будь-якої складності, ТОВ "Орієнтир-буделемент" – виробник газоблоків, ТОВ «Абрісо ЮА» - виробник  поліетиленової (PE) і полістиролової (PS) піни і повітряно-пухирчастої плівки для упаковки, АТ "Бротеп-Еко" виробник градирень (відкритого/закритого типу) та комплектуючих тощо.</w:t>
      </w:r>
    </w:p>
    <w:p w:rsidR="00051B2D" w:rsidRPr="00407A55" w:rsidP="00051B2D" w14:paraId="3B22ED61" w14:textId="77777777">
      <w:pPr>
        <w:spacing w:after="0" w:line="240" w:lineRule="auto"/>
        <w:ind w:firstLine="567"/>
        <w:jc w:val="both"/>
        <w:rPr>
          <w:rFonts w:ascii="Times New Roman" w:eastAsia="Times New Roman" w:hAnsi="Times New Roman" w:cs="Times New Roman"/>
          <w:color w:val="538135"/>
          <w:sz w:val="27"/>
          <w:szCs w:val="27"/>
          <w:lang w:eastAsia="ru-RU"/>
        </w:rPr>
      </w:pPr>
    </w:p>
    <w:p w:rsidR="00051B2D" w:rsidRPr="00407A55" w:rsidP="00051B2D" w14:paraId="45F97DC3" w14:textId="77777777">
      <w:pPr>
        <w:shd w:val="clear" w:color="auto" w:fill="FFFFFF"/>
        <w:tabs>
          <w:tab w:val="left" w:pos="284"/>
          <w:tab w:val="left" w:pos="6662"/>
        </w:tabs>
        <w:spacing w:after="0" w:line="240" w:lineRule="auto"/>
        <w:ind w:firstLine="567"/>
        <w:jc w:val="center"/>
        <w:rPr>
          <w:rFonts w:ascii="Times New Roman" w:eastAsia="Times New Roman" w:hAnsi="Times New Roman" w:cs="Times New Roman"/>
          <w:b/>
          <w:i/>
          <w:iCs/>
          <w:color w:val="000000"/>
          <w:spacing w:val="-2"/>
          <w:sz w:val="27"/>
          <w:szCs w:val="27"/>
          <w:lang w:eastAsia="ru-RU"/>
        </w:rPr>
      </w:pPr>
      <w:r w:rsidRPr="00407A55">
        <w:rPr>
          <w:rFonts w:ascii="Times New Roman" w:eastAsia="Times New Roman" w:hAnsi="Times New Roman" w:cs="Times New Roman"/>
          <w:b/>
          <w:i/>
          <w:iCs/>
          <w:color w:val="000000"/>
          <w:spacing w:val="-2"/>
          <w:sz w:val="27"/>
          <w:szCs w:val="27"/>
          <w:lang w:eastAsia="ru-RU"/>
        </w:rPr>
        <w:t>Містобудівна діяльність</w:t>
      </w:r>
    </w:p>
    <w:p w:rsidR="00051B2D" w:rsidRPr="00407A55" w:rsidP="00051B2D" w14:paraId="0F5A89FE" w14:textId="77777777">
      <w:pPr>
        <w:spacing w:after="0" w:line="240" w:lineRule="auto"/>
        <w:ind w:firstLine="567"/>
        <w:contextualSpacing/>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В громаді діють Програма розроблення містобудівної документації населених пунктів Броварської міської територіальної громади Броварського району Київської області на 2024 – 2028 роки та Програма ведення містобудівного кадастру на  території  Броварської міської територіальної громади Броварського району Київської області на 2024-2028 роки, що дозволяє фінансувати заходи з розроблення містобудівної документації та ведення містобудівного кадастру на території громади. </w:t>
      </w:r>
    </w:p>
    <w:p w:rsidR="00051B2D" w:rsidRPr="00407A55" w:rsidP="00051B2D" w14:paraId="1F6C9B2F" w14:textId="77777777">
      <w:pPr>
        <w:spacing w:after="0" w:line="240" w:lineRule="auto"/>
        <w:ind w:firstLine="567"/>
        <w:contextualSpacing/>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 xml:space="preserve">З метою перетворення громади на безбар’єрний простір та істотне підвищення рівня доступності всіх елементів інфраструктури для мало мобільних груп населення була затверджена Програма створення безбар’єрного простору в </w:t>
      </w:r>
      <w:r w:rsidRPr="00407A55">
        <w:rPr>
          <w:rFonts w:ascii="Times New Roman" w:eastAsia="Times New Roman" w:hAnsi="Times New Roman" w:cs="Times New Roman"/>
          <w:color w:val="000000"/>
          <w:sz w:val="27"/>
          <w:szCs w:val="27"/>
          <w:lang w:val="ru-RU" w:eastAsia="ru-RU"/>
        </w:rPr>
        <w:t>Броварській міській територіальній громаді Броварського району Київської області на 2025-2029 роки, у звітному періоді профінансовано заходів на суму 150,0 тис. грн.</w:t>
      </w:r>
    </w:p>
    <w:p w:rsidR="00051B2D" w:rsidRPr="00407A55" w:rsidP="00051B2D" w14:paraId="248A1F9C" w14:textId="77777777">
      <w:pPr>
        <w:spacing w:after="0" w:line="240" w:lineRule="auto"/>
        <w:ind w:firstLine="567"/>
        <w:contextualSpacing/>
        <w:jc w:val="both"/>
        <w:rPr>
          <w:rFonts w:ascii="Times New Roman" w:eastAsia="Times New Roman" w:hAnsi="Times New Roman" w:cs="Times New Roman"/>
          <w:color w:val="000000"/>
          <w:sz w:val="27"/>
          <w:szCs w:val="27"/>
          <w:lang w:val="ru-RU" w:eastAsia="ru-RU"/>
        </w:rPr>
      </w:pPr>
      <w:r w:rsidRPr="00407A55">
        <w:rPr>
          <w:rFonts w:ascii="Times New Roman" w:eastAsia="Times New Roman" w:hAnsi="Times New Roman" w:cs="Times New Roman"/>
          <w:color w:val="000000"/>
          <w:sz w:val="27"/>
          <w:szCs w:val="27"/>
          <w:lang w:val="ru-RU" w:eastAsia="ru-RU"/>
        </w:rPr>
        <w:t>У І півріччі 2026 року  в сфері містобудування та архітектури надано: містобудівних умов та обмеження для проєктування об’єктів будівництва – 79; надання мотивованих висновків про можливість розміщення на земельній ділянці відповідного об’єкта – 8; будівельних паспортів забудови земельних ділянок – 15; присвоєно 202 адреси; 46 змін, відмов, скасування містобудівних умов та обмежень; 2 – відмови мотивованих висновків; надано 109 дозволів на розміщення зовнішньої реклами; оформлено 12 паспортів прив’язок тимчасових споруд; 334 витягів із містобудівної документації та викопіювань з топозйомки.</w:t>
      </w:r>
    </w:p>
    <w:p w:rsidR="00051B2D" w:rsidRPr="00407A55" w:rsidP="00051B2D" w14:paraId="61EB6CBA" w14:textId="77777777">
      <w:pPr>
        <w:spacing w:after="0" w:line="240" w:lineRule="auto"/>
        <w:ind w:firstLine="567"/>
        <w:contextualSpacing/>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У звітному періоді продовжувалась робота з верифікації будівель та споруд на території м. Бровари в Єдиному державному реєстрі адрес, Реєстрі будівель та споруд шляхом перенесення з топографічних матеріалів полігонів з підтвердженням даних з усіх реєстрів в промисловому середовищі Єдиного державного реєстру адрес, Реєстру будівель та споруд. Показник верифікації – 12107 адрес, що складає 62,3 % від загальної кількості адрес громади.</w:t>
      </w:r>
    </w:p>
    <w:p w:rsidR="00051B2D" w:rsidRPr="00407A55" w:rsidP="00051B2D" w14:paraId="1FB6F93C" w14:textId="77777777">
      <w:pPr>
        <w:tabs>
          <w:tab w:val="left" w:pos="9781"/>
        </w:tabs>
        <w:spacing w:after="0" w:line="240" w:lineRule="auto"/>
        <w:ind w:firstLine="567"/>
        <w:jc w:val="both"/>
        <w:rPr>
          <w:rFonts w:ascii="Times New Roman" w:eastAsia="Times New Roman" w:hAnsi="Times New Roman" w:cs="Times New Roman"/>
          <w:sz w:val="27"/>
          <w:szCs w:val="27"/>
          <w:highlight w:val="yellow"/>
          <w:lang w:eastAsia="ru-RU"/>
        </w:rPr>
      </w:pPr>
      <w:r w:rsidRPr="00407A55">
        <w:rPr>
          <w:rFonts w:ascii="Times New Roman" w:eastAsia="Times New Roman" w:hAnsi="Times New Roman" w:cs="Times New Roman"/>
          <w:sz w:val="27"/>
          <w:szCs w:val="27"/>
          <w:lang w:eastAsia="ru-RU"/>
        </w:rPr>
        <w:t>З метою створення повноцінної інформаційної бази даних</w:t>
      </w:r>
      <w:r w:rsidRPr="00407A55">
        <w:rPr>
          <w:rFonts w:ascii="Times New Roman" w:eastAsia="Times New Roman" w:hAnsi="Times New Roman" w:cs="Times New Roman"/>
          <w:spacing w:val="53"/>
          <w:sz w:val="27"/>
          <w:szCs w:val="27"/>
          <w:lang w:eastAsia="ru-RU"/>
        </w:rPr>
        <w:t xml:space="preserve"> </w:t>
      </w:r>
      <w:r w:rsidRPr="00407A55">
        <w:rPr>
          <w:rFonts w:ascii="Times New Roman" w:eastAsia="Times New Roman" w:hAnsi="Times New Roman" w:cs="Times New Roman"/>
          <w:sz w:val="27"/>
          <w:szCs w:val="27"/>
          <w:lang w:eastAsia="ru-RU"/>
        </w:rPr>
        <w:t>щодо</w:t>
      </w:r>
      <w:r w:rsidRPr="00407A55">
        <w:rPr>
          <w:rFonts w:ascii="Times New Roman" w:eastAsia="Times New Roman" w:hAnsi="Times New Roman" w:cs="Times New Roman"/>
          <w:spacing w:val="53"/>
          <w:sz w:val="27"/>
          <w:szCs w:val="27"/>
          <w:lang w:eastAsia="ru-RU"/>
        </w:rPr>
        <w:t xml:space="preserve"> </w:t>
      </w:r>
      <w:r w:rsidRPr="00407A55">
        <w:rPr>
          <w:rFonts w:ascii="Times New Roman" w:eastAsia="Times New Roman" w:hAnsi="Times New Roman" w:cs="Times New Roman"/>
          <w:sz w:val="27"/>
          <w:szCs w:val="27"/>
          <w:lang w:eastAsia="ru-RU"/>
        </w:rPr>
        <w:t>земель</w:t>
      </w:r>
      <w:r w:rsidRPr="00407A55">
        <w:rPr>
          <w:rFonts w:ascii="Times New Roman" w:eastAsia="Times New Roman" w:hAnsi="Times New Roman" w:cs="Times New Roman"/>
          <w:spacing w:val="53"/>
          <w:sz w:val="27"/>
          <w:szCs w:val="27"/>
          <w:lang w:eastAsia="ru-RU"/>
        </w:rPr>
        <w:t xml:space="preserve"> </w:t>
      </w:r>
      <w:r w:rsidRPr="00407A55">
        <w:rPr>
          <w:rFonts w:ascii="Times New Roman" w:eastAsia="Times New Roman" w:hAnsi="Times New Roman" w:cs="Times New Roman"/>
          <w:sz w:val="27"/>
          <w:szCs w:val="27"/>
          <w:lang w:eastAsia="ru-RU"/>
        </w:rPr>
        <w:t>Броварської</w:t>
      </w:r>
      <w:r w:rsidRPr="00407A55">
        <w:rPr>
          <w:rFonts w:ascii="Times New Roman" w:eastAsia="Times New Roman" w:hAnsi="Times New Roman" w:cs="Times New Roman"/>
          <w:spacing w:val="53"/>
          <w:sz w:val="27"/>
          <w:szCs w:val="27"/>
          <w:lang w:eastAsia="ru-RU"/>
        </w:rPr>
        <w:t xml:space="preserve"> </w:t>
      </w:r>
      <w:r w:rsidRPr="00407A55">
        <w:rPr>
          <w:rFonts w:ascii="Times New Roman" w:eastAsia="Times New Roman" w:hAnsi="Times New Roman" w:cs="Times New Roman"/>
          <w:sz w:val="27"/>
          <w:szCs w:val="27"/>
          <w:lang w:eastAsia="ru-RU"/>
        </w:rPr>
        <w:t>міської</w:t>
      </w:r>
      <w:r w:rsidRPr="00407A55">
        <w:rPr>
          <w:rFonts w:ascii="Times New Roman" w:eastAsia="Times New Roman" w:hAnsi="Times New Roman" w:cs="Times New Roman"/>
          <w:spacing w:val="53"/>
          <w:sz w:val="27"/>
          <w:szCs w:val="27"/>
          <w:lang w:eastAsia="ru-RU"/>
        </w:rPr>
        <w:t xml:space="preserve"> </w:t>
      </w:r>
      <w:r w:rsidRPr="00407A55">
        <w:rPr>
          <w:rFonts w:ascii="Times New Roman" w:eastAsia="Times New Roman" w:hAnsi="Times New Roman" w:cs="Times New Roman"/>
          <w:sz w:val="27"/>
          <w:szCs w:val="27"/>
          <w:lang w:eastAsia="ru-RU"/>
        </w:rPr>
        <w:t>територіальної</w:t>
      </w:r>
      <w:r w:rsidRPr="00407A55">
        <w:rPr>
          <w:rFonts w:ascii="Times New Roman" w:eastAsia="Times New Roman" w:hAnsi="Times New Roman" w:cs="Times New Roman"/>
          <w:spacing w:val="53"/>
          <w:sz w:val="27"/>
          <w:szCs w:val="27"/>
          <w:lang w:eastAsia="ru-RU"/>
        </w:rPr>
        <w:t xml:space="preserve"> </w:t>
      </w:r>
      <w:r w:rsidRPr="00407A55">
        <w:rPr>
          <w:rFonts w:ascii="Times New Roman" w:eastAsia="Times New Roman" w:hAnsi="Times New Roman" w:cs="Times New Roman"/>
          <w:sz w:val="27"/>
          <w:szCs w:val="27"/>
          <w:lang w:eastAsia="ru-RU"/>
        </w:rPr>
        <w:t>громади, на виконання Програми проведення інвентаризації земель на</w:t>
      </w:r>
      <w:r w:rsidRPr="00407A55">
        <w:rPr>
          <w:rFonts w:ascii="Times New Roman" w:eastAsia="Times New Roman" w:hAnsi="Times New Roman" w:cs="Times New Roman"/>
          <w:spacing w:val="80"/>
          <w:w w:val="150"/>
          <w:sz w:val="27"/>
          <w:szCs w:val="27"/>
          <w:lang w:eastAsia="ru-RU"/>
        </w:rPr>
        <w:t xml:space="preserve"> </w:t>
      </w:r>
      <w:r w:rsidRPr="00407A55">
        <w:rPr>
          <w:rFonts w:ascii="Times New Roman" w:eastAsia="Times New Roman" w:hAnsi="Times New Roman" w:cs="Times New Roman"/>
          <w:sz w:val="27"/>
          <w:szCs w:val="27"/>
          <w:lang w:eastAsia="ru-RU"/>
        </w:rPr>
        <w:t>території Броварської міської територіальної громади Київської області (в межах та за межами населених пунктів сіл Княжичі, Сотницьке, Требухів), встановлення меж території Броварської міської територіальної громади та нормативної грошової оцінки земель сіл Требухів, Сотницьке Броварського району</w:t>
      </w:r>
      <w:r w:rsidRPr="00407A55">
        <w:rPr>
          <w:rFonts w:ascii="Times New Roman" w:eastAsia="Times New Roman" w:hAnsi="Times New Roman" w:cs="Times New Roman"/>
          <w:spacing w:val="40"/>
          <w:sz w:val="27"/>
          <w:szCs w:val="27"/>
          <w:lang w:eastAsia="ru-RU"/>
        </w:rPr>
        <w:t xml:space="preserve"> </w:t>
      </w:r>
      <w:r w:rsidRPr="00407A55">
        <w:rPr>
          <w:rFonts w:ascii="Times New Roman" w:eastAsia="Times New Roman" w:hAnsi="Times New Roman" w:cs="Times New Roman"/>
          <w:sz w:val="27"/>
          <w:szCs w:val="27"/>
          <w:lang w:eastAsia="ru-RU"/>
        </w:rPr>
        <w:t>Київської</w:t>
      </w:r>
      <w:r w:rsidRPr="00407A55">
        <w:rPr>
          <w:rFonts w:ascii="Times New Roman" w:eastAsia="Times New Roman" w:hAnsi="Times New Roman" w:cs="Times New Roman"/>
          <w:spacing w:val="40"/>
          <w:sz w:val="27"/>
          <w:szCs w:val="27"/>
          <w:lang w:eastAsia="ru-RU"/>
        </w:rPr>
        <w:t xml:space="preserve"> </w:t>
      </w:r>
      <w:r w:rsidRPr="00407A55">
        <w:rPr>
          <w:rFonts w:ascii="Times New Roman" w:eastAsia="Times New Roman" w:hAnsi="Times New Roman" w:cs="Times New Roman"/>
          <w:sz w:val="27"/>
          <w:szCs w:val="27"/>
          <w:lang w:eastAsia="ru-RU"/>
        </w:rPr>
        <w:t>області</w:t>
      </w:r>
      <w:r w:rsidRPr="00407A55">
        <w:rPr>
          <w:rFonts w:ascii="Times New Roman" w:eastAsia="Times New Roman" w:hAnsi="Times New Roman" w:cs="Times New Roman"/>
          <w:spacing w:val="40"/>
          <w:sz w:val="27"/>
          <w:szCs w:val="27"/>
          <w:lang w:eastAsia="ru-RU"/>
        </w:rPr>
        <w:t xml:space="preserve"> </w:t>
      </w:r>
      <w:r w:rsidRPr="00407A55">
        <w:rPr>
          <w:rFonts w:ascii="Times New Roman" w:eastAsia="Times New Roman" w:hAnsi="Times New Roman" w:cs="Times New Roman"/>
          <w:sz w:val="27"/>
          <w:szCs w:val="27"/>
          <w:lang w:eastAsia="ru-RU"/>
        </w:rPr>
        <w:t>на</w:t>
      </w:r>
      <w:r w:rsidRPr="00407A55">
        <w:rPr>
          <w:rFonts w:ascii="Times New Roman" w:eastAsia="Times New Roman" w:hAnsi="Times New Roman" w:cs="Times New Roman"/>
          <w:spacing w:val="40"/>
          <w:sz w:val="27"/>
          <w:szCs w:val="27"/>
          <w:lang w:eastAsia="ru-RU"/>
        </w:rPr>
        <w:t xml:space="preserve"> </w:t>
      </w:r>
      <w:r w:rsidRPr="00407A55">
        <w:rPr>
          <w:rFonts w:ascii="Times New Roman" w:eastAsia="Times New Roman" w:hAnsi="Times New Roman" w:cs="Times New Roman"/>
          <w:sz w:val="27"/>
          <w:szCs w:val="27"/>
          <w:lang w:eastAsia="ru-RU"/>
        </w:rPr>
        <w:t>2023-2026</w:t>
      </w:r>
      <w:r w:rsidRPr="00407A55">
        <w:rPr>
          <w:rFonts w:ascii="Times New Roman" w:eastAsia="Times New Roman" w:hAnsi="Times New Roman" w:cs="Times New Roman"/>
          <w:spacing w:val="40"/>
          <w:sz w:val="27"/>
          <w:szCs w:val="27"/>
          <w:lang w:eastAsia="ru-RU"/>
        </w:rPr>
        <w:t xml:space="preserve"> </w:t>
      </w:r>
      <w:r w:rsidRPr="00407A55">
        <w:rPr>
          <w:rFonts w:ascii="Times New Roman" w:eastAsia="Times New Roman" w:hAnsi="Times New Roman" w:cs="Times New Roman"/>
          <w:sz w:val="27"/>
          <w:szCs w:val="27"/>
          <w:lang w:eastAsia="ru-RU"/>
        </w:rPr>
        <w:t>роки, рішенням Броварської міської ради Броварського району Київської області від 29.01.2026 №2529-110-08 затверджено технічну документацію із землеустрою щодо інвентаризації земель на території Броварської міської територіальної громади Київської області (в межах та за межами населених пунктів с. Княжичі,  с. Сотницьке, с. Требухів).</w:t>
      </w:r>
      <w:r w:rsidRPr="00407A55">
        <w:rPr>
          <w:rFonts w:ascii="Times New Roman" w:eastAsia="Times New Roman" w:hAnsi="Times New Roman" w:cs="Times New Roman"/>
          <w:sz w:val="27"/>
          <w:szCs w:val="27"/>
          <w:highlight w:val="yellow"/>
          <w:lang w:eastAsia="ru-RU"/>
        </w:rPr>
        <w:t xml:space="preserve"> </w:t>
      </w:r>
    </w:p>
    <w:p w:rsidR="00051B2D" w:rsidRPr="00407A55" w:rsidP="00051B2D" w14:paraId="49842838" w14:textId="77777777">
      <w:pPr>
        <w:autoSpaceDE w:val="0"/>
        <w:autoSpaceDN w:val="0"/>
        <w:adjustRightInd w:val="0"/>
        <w:spacing w:after="0" w:line="240" w:lineRule="auto"/>
        <w:ind w:firstLine="567"/>
        <w:jc w:val="both"/>
        <w:rPr>
          <w:rFonts w:ascii="Times New Roman" w:eastAsia="Times New Roman" w:hAnsi="Times New Roman" w:cs="Times New Roman"/>
          <w:color w:val="000000"/>
          <w:sz w:val="27"/>
          <w:szCs w:val="27"/>
          <w:lang w:eastAsia="ru-RU"/>
        </w:rPr>
      </w:pPr>
      <w:r w:rsidRPr="00407A55">
        <w:rPr>
          <w:rFonts w:ascii="Times New Roman" w:eastAsia="Times New Roman" w:hAnsi="Times New Roman" w:cs="Times New Roman"/>
          <w:color w:val="000000"/>
          <w:sz w:val="27"/>
          <w:szCs w:val="27"/>
          <w:lang w:eastAsia="ru-RU"/>
        </w:rPr>
        <w:t xml:space="preserve">Крім того, з метою регулювання земельних </w:t>
      </w:r>
      <w:r w:rsidRPr="00407A55">
        <w:rPr>
          <w:rFonts w:ascii="Times New Roman" w:eastAsia="Times New Roman" w:hAnsi="Times New Roman" w:cs="Times New Roman"/>
          <w:color w:val="0A0A0A"/>
          <w:sz w:val="27"/>
          <w:szCs w:val="27"/>
          <w:lang w:eastAsia="ru-RU"/>
        </w:rPr>
        <w:t xml:space="preserve">відносин, визначення розміру податків та орендної плати, на сесії Броварської міської ради Броварського району Київської області </w:t>
      </w:r>
      <w:r w:rsidRPr="00407A55">
        <w:rPr>
          <w:rFonts w:ascii="Times New Roman" w:eastAsia="Times New Roman" w:hAnsi="Times New Roman" w:cs="Times New Roman"/>
          <w:color w:val="000000"/>
          <w:sz w:val="27"/>
          <w:szCs w:val="27"/>
          <w:lang w:eastAsia="ru-RU"/>
        </w:rPr>
        <w:t>прийнято рішення від 25.06.2026 року №2803-119-08 «Про затвердження технічної документації з нормативної грошової оцінки земельних ділянок міста Бровари Броварського району Київської області», яке вводиться в дію з 01.01.2027 року.</w:t>
      </w:r>
    </w:p>
    <w:p w:rsidR="00051B2D" w:rsidRPr="00407A55" w:rsidP="00051B2D" w14:paraId="6E07D9BD" w14:textId="77777777">
      <w:pPr>
        <w:spacing w:after="0" w:line="240" w:lineRule="auto"/>
        <w:ind w:right="141" w:firstLine="567"/>
        <w:jc w:val="both"/>
        <w:rPr>
          <w:rFonts w:ascii="Times New Roman" w:eastAsia="Times New Roman" w:hAnsi="Times New Roman" w:cs="Times New Roman"/>
          <w:color w:val="000000"/>
          <w:sz w:val="27"/>
          <w:szCs w:val="27"/>
        </w:rPr>
      </w:pPr>
    </w:p>
    <w:p w:rsidR="00051B2D" w:rsidRPr="00407A55" w:rsidP="00051B2D" w14:paraId="3E3908FE" w14:textId="77777777">
      <w:pPr>
        <w:tabs>
          <w:tab w:val="left" w:pos="284"/>
        </w:tabs>
        <w:spacing w:after="0" w:line="240" w:lineRule="auto"/>
        <w:ind w:firstLine="567"/>
        <w:jc w:val="center"/>
        <w:rPr>
          <w:rFonts w:ascii="Times New Roman" w:eastAsia="Times New Roman" w:hAnsi="Times New Roman" w:cs="Times New Roman"/>
          <w:b/>
          <w:i/>
          <w:sz w:val="27"/>
          <w:szCs w:val="27"/>
          <w:lang w:eastAsia="ru-RU"/>
        </w:rPr>
      </w:pPr>
      <w:r w:rsidRPr="00407A55">
        <w:rPr>
          <w:rFonts w:ascii="Times New Roman" w:eastAsia="Times New Roman" w:hAnsi="Times New Roman" w:cs="Times New Roman"/>
          <w:b/>
          <w:i/>
          <w:sz w:val="27"/>
          <w:szCs w:val="27"/>
          <w:lang w:eastAsia="ru-RU"/>
        </w:rPr>
        <w:t>Фінансові ресурси</w:t>
      </w:r>
    </w:p>
    <w:p w:rsidR="00051B2D" w:rsidRPr="00407A55" w:rsidP="00051B2D" w14:paraId="2D1AD051" w14:textId="77777777">
      <w:pPr>
        <w:spacing w:after="0" w:line="240" w:lineRule="auto"/>
        <w:ind w:firstLine="567"/>
        <w:contextualSpacing/>
        <w:jc w:val="both"/>
        <w:rPr>
          <w:rFonts w:ascii="Times New Roman" w:eastAsia="Times New Roman" w:hAnsi="Times New Roman" w:cs="Times New Roman"/>
          <w:sz w:val="27"/>
          <w:szCs w:val="27"/>
        </w:rPr>
      </w:pPr>
      <w:r w:rsidRPr="00407A55">
        <w:rPr>
          <w:rFonts w:ascii="Times New Roman" w:eastAsia="Times New Roman" w:hAnsi="Times New Roman" w:cs="Times New Roman"/>
          <w:bCs/>
          <w:sz w:val="27"/>
          <w:szCs w:val="27"/>
        </w:rPr>
        <w:t xml:space="preserve">У І півріччі 2026 року обсяг </w:t>
      </w:r>
      <w:r w:rsidRPr="00407A55">
        <w:rPr>
          <w:rFonts w:ascii="Times New Roman" w:eastAsia="Times New Roman" w:hAnsi="Times New Roman" w:cs="Times New Roman"/>
          <w:iCs/>
          <w:sz w:val="27"/>
          <w:szCs w:val="27"/>
        </w:rPr>
        <w:t>доходної частини</w:t>
      </w:r>
      <w:r w:rsidRPr="00407A55">
        <w:rPr>
          <w:rFonts w:ascii="Times New Roman" w:eastAsia="Times New Roman" w:hAnsi="Times New Roman" w:cs="Times New Roman"/>
          <w:bCs/>
          <w:sz w:val="27"/>
          <w:szCs w:val="27"/>
        </w:rPr>
        <w:t xml:space="preserve"> місцевого</w:t>
      </w:r>
      <w:r w:rsidRPr="00407A55">
        <w:rPr>
          <w:rFonts w:ascii="Times New Roman" w:eastAsia="Times New Roman" w:hAnsi="Times New Roman" w:cs="Times New Roman"/>
          <w:iCs/>
          <w:sz w:val="27"/>
          <w:szCs w:val="27"/>
        </w:rPr>
        <w:t xml:space="preserve"> бюджету</w:t>
      </w:r>
      <w:r w:rsidRPr="00407A55">
        <w:rPr>
          <w:rFonts w:ascii="Times New Roman" w:eastAsia="Times New Roman" w:hAnsi="Times New Roman" w:cs="Times New Roman"/>
          <w:bCs/>
          <w:sz w:val="27"/>
          <w:szCs w:val="27"/>
        </w:rPr>
        <w:t xml:space="preserve"> склав 1 862,605 млн. грн., з них надходження до загального фонду – 1 730,912 млн. грн. (в тому числі трансферти – 438,268 млн. грн.), до спеціального фонду –  131,692 млн. грн. (в тому числі трансферти – 2,084 млн. грн., власні надходження бюджетних установ –</w:t>
      </w:r>
      <w:r w:rsidRPr="00407A55">
        <w:rPr>
          <w:rFonts w:ascii="Times New Roman" w:eastAsia="Times New Roman" w:hAnsi="Times New Roman" w:cs="Times New Roman"/>
          <w:sz w:val="27"/>
          <w:szCs w:val="27"/>
        </w:rPr>
        <w:t xml:space="preserve"> 111,210 млн. грн.).</w:t>
      </w:r>
    </w:p>
    <w:p w:rsidR="00051B2D" w:rsidRPr="00407A55" w:rsidP="00051B2D" w14:paraId="78B6774F" w14:textId="77777777">
      <w:pPr>
        <w:shd w:val="clear" w:color="auto" w:fill="FFFFFF"/>
        <w:tabs>
          <w:tab w:val="left" w:pos="284"/>
        </w:tabs>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Основними  бюджетоутворюючими  джерелами місцевого бюджету: податок на доходи фізичних осіб, податок на майно, єдиний податок, акцизний податок. </w:t>
      </w:r>
    </w:p>
    <w:p w:rsidR="00051B2D" w:rsidP="00051B2D" w14:paraId="0B0C0145" w14:textId="77777777">
      <w:pPr>
        <w:tabs>
          <w:tab w:val="left" w:pos="284"/>
        </w:tabs>
        <w:spacing w:after="0" w:line="240" w:lineRule="auto"/>
        <w:ind w:firstLine="567"/>
        <w:jc w:val="center"/>
        <w:rPr>
          <w:rFonts w:ascii="Times New Roman" w:eastAsia="Times New Roman" w:hAnsi="Times New Roman" w:cs="Times New Roman"/>
          <w:b/>
          <w:bCs/>
          <w:color w:val="000000"/>
          <w:sz w:val="27"/>
          <w:szCs w:val="27"/>
          <w:lang w:eastAsia="ru-RU"/>
        </w:rPr>
      </w:pPr>
    </w:p>
    <w:p w:rsidR="00051B2D" w:rsidP="00051B2D" w14:paraId="66997960" w14:textId="77777777">
      <w:pPr>
        <w:tabs>
          <w:tab w:val="left" w:pos="284"/>
        </w:tabs>
        <w:spacing w:after="0" w:line="240" w:lineRule="auto"/>
        <w:ind w:firstLine="567"/>
        <w:jc w:val="center"/>
        <w:rPr>
          <w:rFonts w:ascii="Times New Roman" w:eastAsia="Times New Roman" w:hAnsi="Times New Roman" w:cs="Times New Roman"/>
          <w:b/>
          <w:bCs/>
          <w:color w:val="000000"/>
          <w:sz w:val="27"/>
          <w:szCs w:val="27"/>
          <w:lang w:eastAsia="ru-RU"/>
        </w:rPr>
      </w:pPr>
    </w:p>
    <w:p w:rsidR="00051B2D" w:rsidRPr="00407A55" w:rsidP="00051B2D" w14:paraId="28D23264" w14:textId="77777777">
      <w:pPr>
        <w:tabs>
          <w:tab w:val="left" w:pos="284"/>
        </w:tabs>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b/>
          <w:bCs/>
          <w:color w:val="000000"/>
          <w:sz w:val="27"/>
          <w:szCs w:val="27"/>
          <w:lang w:eastAsia="ru-RU"/>
        </w:rPr>
        <w:t xml:space="preserve">Структура надходжень до загального фонду бюджету громади </w:t>
      </w:r>
    </w:p>
    <w:p w:rsidR="00051B2D" w:rsidRPr="00407A55" w:rsidP="00051B2D" w14:paraId="22E3E9FE" w14:textId="77777777">
      <w:pPr>
        <w:tabs>
          <w:tab w:val="left" w:pos="284"/>
        </w:tabs>
        <w:spacing w:after="0" w:line="240" w:lineRule="auto"/>
        <w:ind w:firstLine="567"/>
        <w:jc w:val="center"/>
        <w:rPr>
          <w:rFonts w:ascii="Times New Roman" w:eastAsia="Times New Roman" w:hAnsi="Times New Roman" w:cs="Times New Roman"/>
          <w:b/>
          <w:bCs/>
          <w:color w:val="000000"/>
          <w:sz w:val="27"/>
          <w:szCs w:val="27"/>
          <w:lang w:eastAsia="ru-RU"/>
        </w:rPr>
      </w:pPr>
      <w:r w:rsidRPr="00407A55">
        <w:rPr>
          <w:rFonts w:ascii="Times New Roman" w:eastAsia="Times New Roman" w:hAnsi="Times New Roman" w:cs="Times New Roman"/>
          <w:b/>
          <w:bCs/>
          <w:color w:val="000000"/>
          <w:sz w:val="27"/>
          <w:szCs w:val="27"/>
          <w:lang w:eastAsia="ru-RU"/>
        </w:rPr>
        <w:t>за І півріччя 2026 року, (млн. грн.)</w:t>
      </w:r>
    </w:p>
    <w:p w:rsidR="00051B2D" w:rsidRPr="00407A55" w:rsidP="00051B2D" w14:paraId="1C946993" w14:textId="77777777">
      <w:pPr>
        <w:tabs>
          <w:tab w:val="left" w:pos="284"/>
        </w:tabs>
        <w:spacing w:after="0" w:line="240" w:lineRule="auto"/>
        <w:ind w:firstLine="567"/>
        <w:jc w:val="center"/>
        <w:rPr>
          <w:rFonts w:ascii="Times New Roman" w:eastAsia="MS Mincho" w:hAnsi="Times New Roman" w:cs="Times New Roman"/>
          <w:b/>
          <w:bCs/>
          <w:sz w:val="27"/>
          <w:szCs w:val="27"/>
          <w:lang w:val="ru-RU" w:eastAsia="ru-RU"/>
        </w:rPr>
      </w:pPr>
      <w:r w:rsidRPr="00407A55">
        <w:rPr>
          <w:rFonts w:ascii="Times New Roman" w:eastAsia="Times New Roman" w:hAnsi="Times New Roman" w:cs="Times New Roman"/>
          <w:noProof/>
          <w:sz w:val="27"/>
          <w:szCs w:val="27"/>
          <w:lang w:eastAsia="ru-RU"/>
        </w:rPr>
        <w:drawing>
          <wp:inline distT="0" distB="0" distL="0" distR="0">
            <wp:extent cx="5703570" cy="3676015"/>
            <wp:effectExtent l="0" t="0" r="11430" b="63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051B2D" w:rsidRPr="00407A55" w:rsidP="00051B2D" w14:paraId="04A2FE01" w14:textId="77777777">
      <w:pPr>
        <w:tabs>
          <w:tab w:val="left" w:pos="284"/>
        </w:tabs>
        <w:spacing w:after="0" w:line="240" w:lineRule="auto"/>
        <w:ind w:firstLine="567"/>
        <w:jc w:val="center"/>
        <w:rPr>
          <w:rFonts w:ascii="Times New Roman" w:eastAsia="MS Mincho" w:hAnsi="Times New Roman" w:cs="Times New Roman"/>
          <w:b/>
          <w:bCs/>
          <w:sz w:val="27"/>
          <w:szCs w:val="27"/>
          <w:lang w:val="ru-RU" w:eastAsia="ru-RU"/>
        </w:rPr>
      </w:pPr>
    </w:p>
    <w:p w:rsidR="00051B2D" w:rsidRPr="00407A55" w:rsidP="00051B2D" w14:paraId="7BF7186B" w14:textId="77777777">
      <w:pPr>
        <w:tabs>
          <w:tab w:val="left" w:pos="284"/>
        </w:tabs>
        <w:spacing w:after="0" w:line="240" w:lineRule="auto"/>
        <w:ind w:firstLine="567"/>
        <w:jc w:val="center"/>
        <w:rPr>
          <w:rFonts w:ascii="Times New Roman" w:eastAsia="MS Mincho" w:hAnsi="Times New Roman" w:cs="Times New Roman"/>
          <w:b/>
          <w:bCs/>
          <w:sz w:val="27"/>
          <w:szCs w:val="27"/>
          <w:lang w:val="ru-RU" w:eastAsia="ru-RU"/>
        </w:rPr>
      </w:pPr>
      <w:r w:rsidRPr="00407A55">
        <w:rPr>
          <w:rFonts w:ascii="Times New Roman" w:eastAsia="MS Mincho" w:hAnsi="Times New Roman" w:cs="Times New Roman"/>
          <w:b/>
          <w:bCs/>
          <w:sz w:val="27"/>
          <w:szCs w:val="27"/>
          <w:lang w:val="ru-RU" w:eastAsia="ru-RU"/>
        </w:rPr>
        <w:t>Надходження податку на доходи фізичних осіб, (млн. грн.)</w:t>
      </w:r>
    </w:p>
    <w:p w:rsidR="00051B2D" w:rsidRPr="00407A55" w:rsidP="00051B2D" w14:paraId="5170B994" w14:textId="77777777">
      <w:pPr>
        <w:tabs>
          <w:tab w:val="left" w:pos="284"/>
        </w:tabs>
        <w:spacing w:after="0" w:line="240" w:lineRule="auto"/>
        <w:ind w:firstLine="567"/>
        <w:jc w:val="center"/>
        <w:rPr>
          <w:rFonts w:ascii="Times New Roman" w:eastAsia="MS Mincho" w:hAnsi="Times New Roman" w:cs="Times New Roman"/>
          <w:b/>
          <w:bCs/>
          <w:sz w:val="27"/>
          <w:szCs w:val="27"/>
          <w:lang w:val="ru-RU" w:eastAsia="ru-RU"/>
        </w:rPr>
      </w:pPr>
      <w:r w:rsidRPr="00407A55">
        <w:rPr>
          <w:rFonts w:ascii="Times New Roman" w:eastAsia="Times New Roman" w:hAnsi="Times New Roman" w:cs="Times New Roman"/>
          <w:noProof/>
          <w:sz w:val="27"/>
          <w:szCs w:val="27"/>
          <w:lang w:eastAsia="ru-RU"/>
        </w:rPr>
        <mc:AlternateContent>
          <mc:Choice Requires="cx1">
            <w:drawing>
              <wp:inline distT="0" distB="0" distL="0" distR="0">
                <wp:extent cx="5341620" cy="2901950"/>
                <wp:effectExtent l="0" t="0" r="11430" b="12700"/>
                <wp:docPr id="4" name="Диаграмма 4"/>
                <wp:cNvGraphicFramePr>
                  <a:graphicFrameLocks xmlns:a="http://schemas.openxmlformats.org/drawingml/2006/main" noChangeAspect="1" noGrp="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5"/>
                  </a:graphicData>
                </a:graphic>
              </wp:inline>
            </w:drawing>
          </mc:Choice>
          <mc:Fallback>
            <w:drawing>
              <wp:inline distT="0" distB="0" distL="0" distR="0">
                <wp:extent cx="5341620" cy="2901950"/>
                <wp:effectExtent l="0" t="0" r="11430" b="12700"/>
                <wp:docPr id="618027965" name="Диаграмма 4"/>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618027965" name="Диаграмма 4"/>
                        <pic:cNvPicPr>
                          <a:picLocks noGrp="1" noRot="1" noChangeAspect="1" noMove="1" noResize="1" noEditPoints="1" noAdjustHandles="1" noChangeArrowheads="1" noChangeShapeType="1"/>
                        </pic:cNvPicPr>
                      </pic:nvPicPr>
                      <pic:blipFill>
                        <a:blip xmlns:r="http://schemas.openxmlformats.org/officeDocument/2006/relationships" r:embed="rId46"/>
                        <a:stretch>
                          <a:fillRect/>
                        </a:stretch>
                      </pic:blipFill>
                      <pic:spPr>
                        <a:xfrm>
                          <a:off x="0" y="0"/>
                          <a:ext cx="5341620" cy="2901950"/>
                        </a:xfrm>
                        <a:prstGeom prst="rect">
                          <a:avLst/>
                        </a:prstGeom>
                      </pic:spPr>
                    </pic:pic>
                  </a:graphicData>
                </a:graphic>
              </wp:inline>
            </w:drawing>
          </mc:Fallback>
        </mc:AlternateContent>
      </w:r>
    </w:p>
    <w:p w:rsidR="00051B2D" w:rsidRPr="00407A55" w:rsidP="00051B2D" w14:paraId="6C8C5494" w14:textId="77777777">
      <w:pPr>
        <w:tabs>
          <w:tab w:val="left" w:pos="0"/>
        </w:tabs>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До спеціального фонду у звітному періоді (без врахування трансфертів) надійшло – 18,398 млн. грн. при плані 12,120 млн. грн., додаткові надходження – 6,278 тис. грн. </w:t>
      </w:r>
    </w:p>
    <w:p w:rsidR="00051B2D" w:rsidRPr="00407A55" w:rsidP="00051B2D" w14:paraId="5E95AE98" w14:textId="77777777">
      <w:pPr>
        <w:tabs>
          <w:tab w:val="left" w:pos="0"/>
        </w:tabs>
        <w:spacing w:after="0" w:line="240" w:lineRule="auto"/>
        <w:ind w:firstLine="567"/>
        <w:jc w:val="both"/>
        <w:rPr>
          <w:rFonts w:ascii="Times New Roman" w:eastAsia="Times New Roman" w:hAnsi="Times New Roman" w:cs="Times New Roman"/>
          <w:sz w:val="27"/>
          <w:szCs w:val="27"/>
        </w:rPr>
      </w:pPr>
      <w:r w:rsidRPr="00407A55">
        <w:rPr>
          <w:rFonts w:ascii="Times New Roman" w:eastAsia="Times New Roman" w:hAnsi="Times New Roman" w:cs="Times New Roman"/>
          <w:sz w:val="27"/>
          <w:szCs w:val="27"/>
        </w:rPr>
        <w:t xml:space="preserve">Крім того, власні надходження бюджетних установ в звітному періоді склали 111,210 млн. грн.     </w:t>
      </w:r>
    </w:p>
    <w:p w:rsidR="00051B2D" w:rsidRPr="00407A55" w:rsidP="00051B2D" w14:paraId="2F57EEBD" w14:textId="77777777">
      <w:pPr>
        <w:tabs>
          <w:tab w:val="left" w:pos="0"/>
        </w:tabs>
        <w:spacing w:after="0" w:line="240" w:lineRule="auto"/>
        <w:ind w:firstLine="567"/>
        <w:jc w:val="both"/>
        <w:rPr>
          <w:rFonts w:ascii="Times New Roman" w:eastAsia="Times New Roman" w:hAnsi="Times New Roman" w:cs="Times New Roman"/>
          <w:b/>
          <w:bCs/>
          <w:sz w:val="27"/>
          <w:szCs w:val="27"/>
        </w:rPr>
      </w:pPr>
      <w:r w:rsidRPr="00407A55">
        <w:rPr>
          <w:rFonts w:ascii="Times New Roman" w:eastAsia="Times New Roman" w:hAnsi="Times New Roman" w:cs="Times New Roman"/>
          <w:sz w:val="27"/>
          <w:szCs w:val="27"/>
        </w:rPr>
        <w:t xml:space="preserve">Видаткова частина бюджету по загальному фонду  громади у звітному періоді виконана на 96,2 %.  Касові видатки за звітний період склали 1 620,468 млн. грн., що на </w:t>
      </w:r>
      <w:r w:rsidRPr="00407A55">
        <w:rPr>
          <w:rFonts w:ascii="Times New Roman" w:eastAsia="Times New Roman" w:hAnsi="Times New Roman" w:cs="Times New Roman"/>
          <w:sz w:val="27"/>
          <w:szCs w:val="27"/>
          <w:lang w:val="ru-RU"/>
        </w:rPr>
        <w:t xml:space="preserve">486,549 млн. </w:t>
      </w:r>
      <w:r w:rsidRPr="00407A55">
        <w:rPr>
          <w:rFonts w:ascii="Times New Roman" w:eastAsia="Times New Roman" w:hAnsi="Times New Roman" w:cs="Times New Roman"/>
          <w:sz w:val="27"/>
          <w:szCs w:val="27"/>
        </w:rPr>
        <w:t xml:space="preserve"> грн. більше, ніж за аналогічний період минулого року.</w:t>
      </w:r>
    </w:p>
    <w:p w:rsidR="00051B2D" w:rsidRPr="00407A55" w:rsidP="00051B2D" w14:paraId="5B6E8341" w14:textId="77777777">
      <w:pPr>
        <w:tabs>
          <w:tab w:val="left" w:pos="284"/>
        </w:tabs>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Видатки загального фонду</w:t>
      </w:r>
    </w:p>
    <w:p w:rsidR="00051B2D" w:rsidRPr="00407A55" w:rsidP="00051B2D" w14:paraId="39AE301A" w14:textId="77777777">
      <w:pPr>
        <w:tabs>
          <w:tab w:val="left" w:pos="284"/>
        </w:tabs>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за економічною структурою у І півріччі 2026 року, (млн. грн.)</w:t>
      </w:r>
    </w:p>
    <w:p w:rsidR="00051B2D" w:rsidRPr="00407A55" w:rsidP="00051B2D" w14:paraId="6A7826F7" w14:textId="77777777">
      <w:pPr>
        <w:tabs>
          <w:tab w:val="left" w:pos="284"/>
        </w:tabs>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noProof/>
          <w:sz w:val="27"/>
          <w:szCs w:val="27"/>
          <w:lang w:eastAsia="ru-RU"/>
        </w:rPr>
        <w:drawing>
          <wp:inline distT="0" distB="0" distL="0" distR="0">
            <wp:extent cx="5676900" cy="2659380"/>
            <wp:effectExtent l="0" t="0" r="0" b="762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51B2D" w:rsidRPr="00407A55" w:rsidP="00051B2D" w14:paraId="1E7BC38D" w14:textId="77777777">
      <w:pPr>
        <w:tabs>
          <w:tab w:val="left" w:pos="284"/>
        </w:tabs>
        <w:spacing w:after="0" w:line="240" w:lineRule="auto"/>
        <w:ind w:firstLine="567"/>
        <w:jc w:val="both"/>
        <w:rPr>
          <w:rFonts w:ascii="Times New Roman" w:eastAsia="Times New Roman" w:hAnsi="Times New Roman" w:cs="Times New Roman"/>
          <w:sz w:val="27"/>
          <w:szCs w:val="27"/>
          <w:lang w:val="ru-RU" w:eastAsia="ru-RU"/>
        </w:rPr>
      </w:pPr>
      <w:r w:rsidRPr="00407A55">
        <w:rPr>
          <w:rFonts w:ascii="Times New Roman" w:eastAsia="Times New Roman" w:hAnsi="Times New Roman" w:cs="Times New Roman"/>
          <w:sz w:val="27"/>
          <w:szCs w:val="27"/>
          <w:lang w:val="ru-RU" w:eastAsia="ru-RU"/>
        </w:rPr>
        <w:t>Видаткова частина бюджету по спеціальному фонду бюджету громади у звітному періоді склала</w:t>
      </w:r>
      <w:r w:rsidRPr="00407A55">
        <w:rPr>
          <w:rFonts w:ascii="Times New Roman" w:eastAsia="Times New Roman" w:hAnsi="Times New Roman" w:cs="Times New Roman"/>
          <w:color w:val="FF0000"/>
          <w:sz w:val="27"/>
          <w:szCs w:val="27"/>
          <w:lang w:val="ru-RU" w:eastAsia="ru-RU"/>
        </w:rPr>
        <w:t xml:space="preserve"> </w:t>
      </w:r>
      <w:r w:rsidRPr="00407A55">
        <w:rPr>
          <w:rFonts w:ascii="Times New Roman" w:eastAsia="Times New Roman" w:hAnsi="Times New Roman" w:cs="Times New Roman"/>
          <w:color w:val="000000"/>
          <w:sz w:val="27"/>
          <w:szCs w:val="27"/>
          <w:lang w:val="ru-RU" w:eastAsia="ru-RU"/>
        </w:rPr>
        <w:t>180,321 млн. грн</w:t>
      </w:r>
      <w:r w:rsidRPr="00407A55">
        <w:rPr>
          <w:rFonts w:ascii="Times New Roman" w:eastAsia="Times New Roman" w:hAnsi="Times New Roman" w:cs="Times New Roman"/>
          <w:sz w:val="27"/>
          <w:szCs w:val="27"/>
          <w:lang w:val="ru-RU" w:eastAsia="ru-RU"/>
        </w:rPr>
        <w:t>., що на</w:t>
      </w:r>
      <w:r w:rsidRPr="00407A55">
        <w:rPr>
          <w:rFonts w:ascii="Times New Roman" w:eastAsia="Times New Roman" w:hAnsi="Times New Roman" w:cs="Times New Roman"/>
          <w:color w:val="FF0000"/>
          <w:sz w:val="27"/>
          <w:szCs w:val="27"/>
          <w:lang w:val="ru-RU" w:eastAsia="ru-RU"/>
        </w:rPr>
        <w:t xml:space="preserve"> </w:t>
      </w:r>
      <w:r w:rsidRPr="00407A55">
        <w:rPr>
          <w:rFonts w:ascii="Times New Roman" w:eastAsia="Times New Roman" w:hAnsi="Times New Roman" w:cs="Times New Roman"/>
          <w:color w:val="000000"/>
          <w:sz w:val="27"/>
          <w:szCs w:val="27"/>
          <w:lang w:val="ru-RU" w:eastAsia="ru-RU"/>
        </w:rPr>
        <w:t>87,116 млн.</w:t>
      </w:r>
      <w:r w:rsidRPr="00407A55">
        <w:rPr>
          <w:rFonts w:ascii="Times New Roman" w:eastAsia="Times New Roman" w:hAnsi="Times New Roman" w:cs="Times New Roman"/>
          <w:color w:val="FF0000"/>
          <w:sz w:val="27"/>
          <w:szCs w:val="27"/>
          <w:lang w:val="ru-RU" w:eastAsia="ru-RU"/>
        </w:rPr>
        <w:t xml:space="preserve"> </w:t>
      </w:r>
      <w:r w:rsidRPr="00407A55">
        <w:rPr>
          <w:rFonts w:ascii="Times New Roman" w:eastAsia="Times New Roman" w:hAnsi="Times New Roman" w:cs="Times New Roman"/>
          <w:sz w:val="27"/>
          <w:szCs w:val="27"/>
          <w:lang w:val="ru-RU" w:eastAsia="ru-RU"/>
        </w:rPr>
        <w:t>грн. менше, ніж за аналогічний період минулого року. </w:t>
      </w:r>
    </w:p>
    <w:p w:rsidR="00051B2D" w:rsidRPr="00407A55" w:rsidP="00051B2D" w14:paraId="0D09A854" w14:textId="77777777">
      <w:pPr>
        <w:tabs>
          <w:tab w:val="left" w:pos="0"/>
        </w:tabs>
        <w:spacing w:after="0" w:line="240" w:lineRule="auto"/>
        <w:ind w:firstLine="567"/>
        <w:jc w:val="both"/>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sz w:val="27"/>
          <w:szCs w:val="27"/>
          <w:lang w:eastAsia="ru-RU"/>
        </w:rPr>
        <w:t>Видатки по спеціальному фонду бюджету здійснювались за рахунок: бюджету розвитку, цільового фонду, плати за послуги, що надаються бюджетними установами, інших джерел власних надходжень бюджетних установ, охорони та раціонального використання природних ресурсів.</w:t>
      </w:r>
      <w:r w:rsidRPr="00407A55">
        <w:rPr>
          <w:rFonts w:ascii="Times New Roman" w:eastAsia="Times New Roman" w:hAnsi="Times New Roman" w:cs="Times New Roman"/>
          <w:b/>
          <w:bCs/>
          <w:sz w:val="27"/>
          <w:szCs w:val="27"/>
          <w:lang w:eastAsia="ru-RU"/>
        </w:rPr>
        <w:t xml:space="preserve">                           </w:t>
      </w:r>
    </w:p>
    <w:p w:rsidR="00051B2D" w:rsidP="00051B2D" w14:paraId="468B6985" w14:textId="77777777">
      <w:pPr>
        <w:tabs>
          <w:tab w:val="left" w:pos="284"/>
        </w:tabs>
        <w:spacing w:after="0" w:line="240" w:lineRule="auto"/>
        <w:ind w:firstLine="567"/>
        <w:jc w:val="center"/>
        <w:rPr>
          <w:rFonts w:ascii="Times New Roman" w:eastAsia="Times New Roman" w:hAnsi="Times New Roman" w:cs="Times New Roman"/>
          <w:b/>
          <w:bCs/>
          <w:sz w:val="27"/>
          <w:szCs w:val="27"/>
          <w:lang w:eastAsia="ru-RU"/>
        </w:rPr>
      </w:pPr>
    </w:p>
    <w:p w:rsidR="00051B2D" w:rsidRPr="00407A55" w:rsidP="00051B2D" w14:paraId="6D5BE656" w14:textId="77777777">
      <w:pPr>
        <w:tabs>
          <w:tab w:val="left" w:pos="284"/>
        </w:tabs>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Структура видатків</w:t>
      </w:r>
    </w:p>
    <w:p w:rsidR="00051B2D" w:rsidRPr="00407A55" w:rsidP="00051B2D" w14:paraId="79A054F8" w14:textId="77777777">
      <w:pPr>
        <w:tabs>
          <w:tab w:val="left" w:pos="284"/>
        </w:tabs>
        <w:spacing w:after="0" w:line="240" w:lineRule="auto"/>
        <w:ind w:firstLine="567"/>
        <w:jc w:val="center"/>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b/>
          <w:bCs/>
          <w:sz w:val="27"/>
          <w:szCs w:val="27"/>
          <w:lang w:eastAsia="ru-RU"/>
        </w:rPr>
        <w:t>спеціального фонду бюджету у І півріччі 2026 року, (млн. грн.)</w:t>
      </w:r>
    </w:p>
    <w:p w:rsidR="00051B2D" w:rsidRPr="00407A55" w:rsidP="00051B2D" w14:paraId="16E8A54F" w14:textId="77777777">
      <w:pPr>
        <w:tabs>
          <w:tab w:val="left" w:pos="284"/>
        </w:tabs>
        <w:spacing w:after="0" w:line="240" w:lineRule="auto"/>
        <w:ind w:firstLine="567"/>
        <w:jc w:val="center"/>
        <w:outlineLvl w:val="0"/>
        <w:rPr>
          <w:rFonts w:ascii="Times New Roman" w:eastAsia="Times New Roman" w:hAnsi="Times New Roman" w:cs="Times New Roman"/>
          <w:b/>
          <w:bCs/>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728970" cy="3131185"/>
            <wp:effectExtent l="0" t="0" r="5080" b="1206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51B2D" w:rsidP="00051B2D" w14:paraId="761A7ADF" w14:textId="77777777">
      <w:pPr>
        <w:tabs>
          <w:tab w:val="left" w:pos="284"/>
        </w:tabs>
        <w:spacing w:after="0" w:line="240" w:lineRule="auto"/>
        <w:ind w:firstLine="567"/>
        <w:jc w:val="center"/>
        <w:outlineLvl w:val="0"/>
        <w:rPr>
          <w:rFonts w:ascii="Times New Roman" w:eastAsia="Times New Roman" w:hAnsi="Times New Roman" w:cs="Times New Roman"/>
          <w:b/>
          <w:bCs/>
          <w:i/>
          <w:iCs/>
          <w:sz w:val="27"/>
          <w:szCs w:val="27"/>
          <w:lang w:eastAsia="ru-RU"/>
        </w:rPr>
      </w:pPr>
    </w:p>
    <w:p w:rsidR="00051B2D" w:rsidP="00051B2D" w14:paraId="70E8BF89" w14:textId="77777777">
      <w:pPr>
        <w:tabs>
          <w:tab w:val="left" w:pos="284"/>
        </w:tabs>
        <w:spacing w:after="0" w:line="240" w:lineRule="auto"/>
        <w:ind w:firstLine="567"/>
        <w:jc w:val="center"/>
        <w:outlineLvl w:val="0"/>
        <w:rPr>
          <w:rFonts w:ascii="Times New Roman" w:eastAsia="Times New Roman" w:hAnsi="Times New Roman" w:cs="Times New Roman"/>
          <w:b/>
          <w:bCs/>
          <w:i/>
          <w:iCs/>
          <w:sz w:val="27"/>
          <w:szCs w:val="27"/>
          <w:lang w:eastAsia="ru-RU"/>
        </w:rPr>
      </w:pPr>
    </w:p>
    <w:p w:rsidR="00051B2D" w:rsidP="00051B2D" w14:paraId="2C08D4CB" w14:textId="77777777">
      <w:pPr>
        <w:tabs>
          <w:tab w:val="left" w:pos="284"/>
        </w:tabs>
        <w:spacing w:after="0" w:line="240" w:lineRule="auto"/>
        <w:ind w:firstLine="567"/>
        <w:jc w:val="center"/>
        <w:outlineLvl w:val="0"/>
        <w:rPr>
          <w:rFonts w:ascii="Times New Roman" w:eastAsia="Times New Roman" w:hAnsi="Times New Roman" w:cs="Times New Roman"/>
          <w:b/>
          <w:bCs/>
          <w:i/>
          <w:iCs/>
          <w:sz w:val="27"/>
          <w:szCs w:val="27"/>
          <w:lang w:eastAsia="ru-RU"/>
        </w:rPr>
      </w:pPr>
    </w:p>
    <w:p w:rsidR="00051B2D" w:rsidP="00051B2D" w14:paraId="69D84A7B" w14:textId="77777777">
      <w:pPr>
        <w:tabs>
          <w:tab w:val="left" w:pos="284"/>
        </w:tabs>
        <w:spacing w:after="0" w:line="240" w:lineRule="auto"/>
        <w:ind w:firstLine="567"/>
        <w:jc w:val="center"/>
        <w:outlineLvl w:val="0"/>
        <w:rPr>
          <w:rFonts w:ascii="Times New Roman" w:eastAsia="Times New Roman" w:hAnsi="Times New Roman" w:cs="Times New Roman"/>
          <w:b/>
          <w:bCs/>
          <w:i/>
          <w:iCs/>
          <w:sz w:val="27"/>
          <w:szCs w:val="27"/>
          <w:lang w:eastAsia="ru-RU"/>
        </w:rPr>
      </w:pPr>
    </w:p>
    <w:p w:rsidR="00051B2D" w:rsidRPr="00407A55" w:rsidP="00051B2D" w14:paraId="29AE4F9D" w14:textId="77777777">
      <w:pPr>
        <w:tabs>
          <w:tab w:val="left" w:pos="284"/>
        </w:tabs>
        <w:spacing w:after="0" w:line="240" w:lineRule="auto"/>
        <w:ind w:firstLine="567"/>
        <w:jc w:val="center"/>
        <w:outlineLvl w:val="0"/>
        <w:rPr>
          <w:rFonts w:ascii="Times New Roman" w:eastAsia="Times New Roman" w:hAnsi="Times New Roman" w:cs="Times New Roman"/>
          <w:b/>
          <w:bCs/>
          <w:i/>
          <w:iCs/>
          <w:sz w:val="27"/>
          <w:szCs w:val="27"/>
          <w:lang w:eastAsia="ru-RU"/>
        </w:rPr>
      </w:pPr>
      <w:r w:rsidRPr="00407A55">
        <w:rPr>
          <w:rFonts w:ascii="Times New Roman" w:eastAsia="Times New Roman" w:hAnsi="Times New Roman" w:cs="Times New Roman"/>
          <w:b/>
          <w:bCs/>
          <w:i/>
          <w:iCs/>
          <w:sz w:val="27"/>
          <w:szCs w:val="27"/>
          <w:lang w:eastAsia="ru-RU"/>
        </w:rPr>
        <w:t>Виконання місцевих програм</w:t>
      </w:r>
    </w:p>
    <w:p w:rsidR="00051B2D" w:rsidRPr="00407A55" w:rsidP="00051B2D" w14:paraId="1F310856" w14:textId="77777777">
      <w:pPr>
        <w:keepNext/>
        <w:tabs>
          <w:tab w:val="left" w:pos="0"/>
        </w:tabs>
        <w:spacing w:after="0" w:line="240" w:lineRule="auto"/>
        <w:ind w:firstLine="567"/>
        <w:jc w:val="both"/>
        <w:outlineLvl w:val="1"/>
        <w:rPr>
          <w:rFonts w:ascii="Times New Roman" w:eastAsia="Times New Roman" w:hAnsi="Times New Roman" w:cs="Times New Roman"/>
          <w:bCs/>
          <w:iCs/>
          <w:sz w:val="27"/>
          <w:szCs w:val="27"/>
          <w:lang w:eastAsia="ru-RU"/>
        </w:rPr>
      </w:pPr>
      <w:r w:rsidRPr="00407A55">
        <w:rPr>
          <w:rFonts w:ascii="Times New Roman" w:eastAsia="Times New Roman" w:hAnsi="Times New Roman" w:cs="Times New Roman"/>
          <w:bCs/>
          <w:iCs/>
          <w:sz w:val="27"/>
          <w:szCs w:val="27"/>
          <w:lang w:eastAsia="ru-RU"/>
        </w:rPr>
        <w:t xml:space="preserve">Протягом І півріччя 2026 року фінансувались 44 програми, які виконували                                    12  розпорядників коштів. </w:t>
      </w:r>
    </w:p>
    <w:p w:rsidR="00051B2D" w:rsidRPr="00407A55" w:rsidP="00051B2D" w14:paraId="37199DF7" w14:textId="77777777">
      <w:pPr>
        <w:tabs>
          <w:tab w:val="left" w:pos="0"/>
        </w:tabs>
        <w:spacing w:after="0" w:line="240" w:lineRule="auto"/>
        <w:ind w:firstLine="567"/>
        <w:jc w:val="both"/>
        <w:rPr>
          <w:rFonts w:ascii="Times New Roman" w:eastAsia="Times New Roman" w:hAnsi="Times New Roman" w:cs="Times New Roman"/>
          <w:sz w:val="27"/>
          <w:szCs w:val="27"/>
          <w:lang w:eastAsia="ru-RU"/>
        </w:rPr>
      </w:pPr>
      <w:r w:rsidRPr="00407A55">
        <w:rPr>
          <w:rFonts w:ascii="Times New Roman" w:eastAsia="Times New Roman" w:hAnsi="Times New Roman" w:cs="Times New Roman"/>
          <w:sz w:val="27"/>
          <w:szCs w:val="27"/>
          <w:lang w:eastAsia="ru-RU"/>
        </w:rPr>
        <w:t xml:space="preserve">Сума річних обсягів пропозицій до фінансування склала 795508,3 тис. грн., виконано на суму 446280,6 тис. грн., або  56,1 % від суми пропозиції на рік. </w:t>
      </w:r>
    </w:p>
    <w:p w:rsidR="00051B2D" w:rsidRPr="00407A55" w:rsidP="00051B2D" w14:paraId="6CCDD496" w14:textId="77777777">
      <w:pPr>
        <w:tabs>
          <w:tab w:val="left" w:pos="0"/>
        </w:tabs>
        <w:spacing w:after="0" w:line="240" w:lineRule="auto"/>
        <w:ind w:firstLine="567"/>
        <w:jc w:val="center"/>
        <w:rPr>
          <w:rFonts w:ascii="Times New Roman" w:eastAsia="Times New Roman" w:hAnsi="Times New Roman" w:cs="Times New Roman"/>
          <w:b/>
          <w:bCs/>
          <w:iCs/>
          <w:sz w:val="27"/>
          <w:szCs w:val="27"/>
          <w:lang w:eastAsia="ru-RU"/>
        </w:rPr>
      </w:pPr>
      <w:r w:rsidRPr="00407A55">
        <w:rPr>
          <w:rFonts w:ascii="Times New Roman" w:eastAsia="Times New Roman" w:hAnsi="Times New Roman" w:cs="Times New Roman"/>
          <w:b/>
          <w:bCs/>
          <w:iCs/>
          <w:sz w:val="27"/>
          <w:szCs w:val="27"/>
          <w:lang w:eastAsia="ru-RU"/>
        </w:rPr>
        <w:t>Структура використання коштів</w:t>
      </w:r>
    </w:p>
    <w:p w:rsidR="00051B2D" w:rsidRPr="00407A55" w:rsidP="00051B2D" w14:paraId="2F615FC0" w14:textId="77777777">
      <w:pPr>
        <w:tabs>
          <w:tab w:val="left" w:pos="0"/>
        </w:tabs>
        <w:spacing w:after="0" w:line="240" w:lineRule="auto"/>
        <w:ind w:firstLine="567"/>
        <w:jc w:val="center"/>
        <w:rPr>
          <w:rFonts w:ascii="Times New Roman" w:eastAsia="Times New Roman" w:hAnsi="Times New Roman" w:cs="Times New Roman"/>
          <w:b/>
          <w:bCs/>
          <w:iCs/>
          <w:sz w:val="27"/>
          <w:szCs w:val="27"/>
          <w:lang w:eastAsia="ru-RU"/>
        </w:rPr>
      </w:pPr>
      <w:r w:rsidRPr="00407A55">
        <w:rPr>
          <w:rFonts w:ascii="Times New Roman" w:eastAsia="Times New Roman" w:hAnsi="Times New Roman" w:cs="Times New Roman"/>
          <w:b/>
          <w:bCs/>
          <w:iCs/>
          <w:sz w:val="27"/>
          <w:szCs w:val="27"/>
          <w:lang w:eastAsia="ru-RU"/>
        </w:rPr>
        <w:t>по виконанню місцевих програм у І півріччі 2026 року, (тис. грн.)</w:t>
      </w:r>
    </w:p>
    <w:p w:rsidR="00051B2D" w:rsidRPr="00407A55" w:rsidP="00051B2D" w14:paraId="45A319E6" w14:textId="77777777">
      <w:pPr>
        <w:tabs>
          <w:tab w:val="left" w:pos="0"/>
        </w:tabs>
        <w:spacing w:after="0" w:line="240" w:lineRule="auto"/>
        <w:ind w:firstLine="567"/>
        <w:rPr>
          <w:rFonts w:ascii="Times New Roman" w:eastAsia="Times New Roman" w:hAnsi="Times New Roman" w:cs="Times New Roman"/>
          <w:sz w:val="27"/>
          <w:szCs w:val="27"/>
          <w:lang w:eastAsia="ru-RU"/>
        </w:rPr>
      </w:pPr>
      <w:r w:rsidRPr="00407A55">
        <w:rPr>
          <w:rFonts w:ascii="Times New Roman" w:eastAsia="Times New Roman" w:hAnsi="Times New Roman" w:cs="Times New Roman"/>
          <w:noProof/>
          <w:sz w:val="27"/>
          <w:szCs w:val="27"/>
          <w:lang w:val="ru-RU" w:eastAsia="ru-RU"/>
        </w:rPr>
        <w:drawing>
          <wp:inline distT="0" distB="0" distL="0" distR="0">
            <wp:extent cx="5749925" cy="3188970"/>
            <wp:effectExtent l="0" t="0" r="3175" b="1143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51B2D" w:rsidRPr="00407A55" w:rsidP="00051B2D" w14:paraId="1D255B88" w14:textId="77777777">
      <w:pPr>
        <w:tabs>
          <w:tab w:val="left" w:pos="0"/>
        </w:tabs>
        <w:spacing w:after="0" w:line="240" w:lineRule="auto"/>
        <w:ind w:firstLine="567"/>
        <w:rPr>
          <w:rFonts w:ascii="Times New Roman" w:eastAsia="Times New Roman" w:hAnsi="Times New Roman" w:cs="Times New Roman"/>
          <w:sz w:val="27"/>
          <w:szCs w:val="27"/>
          <w:lang w:eastAsia="ru-RU"/>
        </w:rPr>
      </w:pPr>
    </w:p>
    <w:p w:rsidR="004208DA" w:rsidRPr="00EE06C3" w:rsidP="00051B2D" w14:paraId="0F00ED70" w14:textId="72A21B0A">
      <w:pPr>
        <w:tabs>
          <w:tab w:val="left" w:pos="0"/>
        </w:tabs>
        <w:spacing w:after="0" w:line="240" w:lineRule="auto"/>
        <w:ind w:firstLine="567"/>
        <w:rPr>
          <w:rFonts w:ascii="Times New Roman" w:hAnsi="Times New Roman" w:cs="Times New Roman"/>
          <w:b/>
          <w:sz w:val="28"/>
          <w:szCs w:val="28"/>
        </w:rPr>
      </w:pPr>
      <w:r w:rsidRPr="00407A55">
        <w:rPr>
          <w:rFonts w:ascii="Times New Roman" w:eastAsia="Times New Roman" w:hAnsi="Times New Roman" w:cs="Times New Roman"/>
          <w:sz w:val="27"/>
          <w:szCs w:val="27"/>
          <w:lang w:eastAsia="ru-RU"/>
        </w:rPr>
        <w:t>Міський голова</w:t>
      </w:r>
      <w:r w:rsidRPr="00407A55">
        <w:rPr>
          <w:rFonts w:ascii="Times New Roman" w:eastAsia="Times New Roman" w:hAnsi="Times New Roman" w:cs="Times New Roman"/>
          <w:sz w:val="28"/>
          <w:szCs w:val="28"/>
          <w:lang w:eastAsia="ru-RU"/>
        </w:rPr>
        <w:t xml:space="preserve">                                                                   Ігор САПОЖКО</w:t>
      </w:r>
      <w:permEnd w:id="1"/>
    </w:p>
    <w:sectPr w:rsidSect="004F7CAD">
      <w:headerReference w:type="default" r:id="rId50"/>
      <w:footerReference w:type="default" r:id="rId51"/>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C0F10EB"/>
    <w:multiLevelType w:val="hybridMultilevel"/>
    <w:tmpl w:val="822090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1CAD4796"/>
    <w:multiLevelType w:val="hybridMultilevel"/>
    <w:tmpl w:val="27A2C3F8"/>
    <w:lvl w:ilvl="0">
      <w:start w:val="0"/>
      <w:numFmt w:val="bullet"/>
      <w:lvlText w:val="-"/>
      <w:lvlJc w:val="left"/>
      <w:pPr>
        <w:ind w:left="644"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26676D05"/>
    <w:multiLevelType w:val="multilevel"/>
    <w:tmpl w:val="4E56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B2425"/>
    <w:multiLevelType w:val="hybridMultilevel"/>
    <w:tmpl w:val="93BC4250"/>
    <w:lvl w:ilvl="0">
      <w:start w:val="0"/>
      <w:numFmt w:val="bullet"/>
      <w:lvlText w:val="-"/>
      <w:lvlJc w:val="left"/>
      <w:pPr>
        <w:ind w:left="1080" w:hanging="360"/>
      </w:pPr>
      <w:rPr>
        <w:rFonts w:ascii="Times New Roman" w:eastAsia="Calibri"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15:restartNumberingAfterBreak="0">
    <w:nsid w:val="6E7B39B4"/>
    <w:multiLevelType w:val="hybridMultilevel"/>
    <w:tmpl w:val="D4EE4CA6"/>
    <w:lvl w:ilvl="0">
      <w:start w:val="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77747D39"/>
    <w:multiLevelType w:val="hybridMultilevel"/>
    <w:tmpl w:val="6A060610"/>
    <w:lvl w:ilvl="0">
      <w:start w:val="0"/>
      <w:numFmt w:val="bullet"/>
      <w:lvlText w:val="-"/>
      <w:lvlJc w:val="left"/>
      <w:pPr>
        <w:ind w:left="786"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AwTajyKu4Zvmdo07MjD7BeSsJoIR9B/j4vxb6neCaQ7ITMAELT/WiDF8e/+rfS6DtBJDQq/12jUl&#10;MfW3wNsYrQ==&#10;" w:salt="rsfmQHnSKmzie5FZtF3EG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4464E"/>
    <w:rsid w:val="00051B2D"/>
    <w:rsid w:val="000E0637"/>
    <w:rsid w:val="000E7ADA"/>
    <w:rsid w:val="000F3141"/>
    <w:rsid w:val="00131AEA"/>
    <w:rsid w:val="0019083E"/>
    <w:rsid w:val="001D73DB"/>
    <w:rsid w:val="002D71B2"/>
    <w:rsid w:val="003044F0"/>
    <w:rsid w:val="003530E1"/>
    <w:rsid w:val="003735BC"/>
    <w:rsid w:val="003A4315"/>
    <w:rsid w:val="003B2A39"/>
    <w:rsid w:val="00407A55"/>
    <w:rsid w:val="004208DA"/>
    <w:rsid w:val="00424AD7"/>
    <w:rsid w:val="00424B54"/>
    <w:rsid w:val="00456BA9"/>
    <w:rsid w:val="004851E3"/>
    <w:rsid w:val="004A29C7"/>
    <w:rsid w:val="004C6C25"/>
    <w:rsid w:val="004F7CAD"/>
    <w:rsid w:val="00520285"/>
    <w:rsid w:val="00524AF7"/>
    <w:rsid w:val="00545B76"/>
    <w:rsid w:val="0066012A"/>
    <w:rsid w:val="00660131"/>
    <w:rsid w:val="00784598"/>
    <w:rsid w:val="007C16E3"/>
    <w:rsid w:val="007C499E"/>
    <w:rsid w:val="007C582E"/>
    <w:rsid w:val="0081066D"/>
    <w:rsid w:val="00853C00"/>
    <w:rsid w:val="00893E2E"/>
    <w:rsid w:val="008B6EF2"/>
    <w:rsid w:val="009378D7"/>
    <w:rsid w:val="009E1F3A"/>
    <w:rsid w:val="00A67CE5"/>
    <w:rsid w:val="00A84A56"/>
    <w:rsid w:val="00B20C04"/>
    <w:rsid w:val="00B3670E"/>
    <w:rsid w:val="00BE6BBD"/>
    <w:rsid w:val="00BF532A"/>
    <w:rsid w:val="00C35ADE"/>
    <w:rsid w:val="00C72BF6"/>
    <w:rsid w:val="00CB633A"/>
    <w:rsid w:val="00CB7665"/>
    <w:rsid w:val="00E75D37"/>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hart" Target="charts/chart4.xml" /><Relationship Id="rId11" Type="http://schemas.openxmlformats.org/officeDocument/2006/relationships/chart" Target="charts/chart5.xml" /><Relationship Id="rId12" Type="http://schemas.openxmlformats.org/officeDocument/2006/relationships/chart" Target="charts/chart6.xml" /><Relationship Id="rId13" Type="http://schemas.microsoft.com/office/2007/relationships/diagramDrawing" Target="diagrams/drawing1.xml" /><Relationship Id="rId14" Type="http://schemas.openxmlformats.org/officeDocument/2006/relationships/diagramData" Target="diagrams/data1.xml" /><Relationship Id="rId15" Type="http://schemas.openxmlformats.org/officeDocument/2006/relationships/diagramLayout" Target="diagrams/layout1.xml" /><Relationship Id="rId16" Type="http://schemas.openxmlformats.org/officeDocument/2006/relationships/diagramQuickStyle" Target="diagrams/quickStyle1.xml" /><Relationship Id="rId17" Type="http://schemas.openxmlformats.org/officeDocument/2006/relationships/diagramColors" Target="diagrams/colors1.xml" /><Relationship Id="rId18" Type="http://schemas.openxmlformats.org/officeDocument/2006/relationships/chart" Target="charts/chart7.xml" /><Relationship Id="rId19" Type="http://schemas.microsoft.com/office/2007/relationships/diagramDrawing" Target="diagrams/drawing2.xml" /><Relationship Id="rId2" Type="http://schemas.openxmlformats.org/officeDocument/2006/relationships/webSettings" Target="webSettings.xml" /><Relationship Id="rId20" Type="http://schemas.openxmlformats.org/officeDocument/2006/relationships/diagramData" Target="diagrams/data2.xml" /><Relationship Id="rId21" Type="http://schemas.openxmlformats.org/officeDocument/2006/relationships/diagramLayout" Target="diagrams/layout2.xml" /><Relationship Id="rId22" Type="http://schemas.openxmlformats.org/officeDocument/2006/relationships/diagramQuickStyle" Target="diagrams/quickStyle2.xml" /><Relationship Id="rId23" Type="http://schemas.openxmlformats.org/officeDocument/2006/relationships/diagramColors" Target="diagrams/colors2.xml" /><Relationship Id="rId24" Type="http://schemas.openxmlformats.org/officeDocument/2006/relationships/chart" Target="charts/chart8.xml" /><Relationship Id="rId25" Type="http://schemas.openxmlformats.org/officeDocument/2006/relationships/chart" Target="charts/chart9.xml" /><Relationship Id="rId26" Type="http://schemas.openxmlformats.org/officeDocument/2006/relationships/chart" Target="charts/chart10.xml" /><Relationship Id="rId27" Type="http://schemas.openxmlformats.org/officeDocument/2006/relationships/chart" Target="charts/chart11.xml" /><Relationship Id="rId28" Type="http://schemas.microsoft.com/office/2007/relationships/diagramDrawing" Target="diagrams/drawing3.xml" /><Relationship Id="rId29" Type="http://schemas.openxmlformats.org/officeDocument/2006/relationships/diagramData" Target="diagrams/data3.xml" /><Relationship Id="rId3" Type="http://schemas.openxmlformats.org/officeDocument/2006/relationships/fontTable" Target="fontTable.xml" /><Relationship Id="rId30" Type="http://schemas.openxmlformats.org/officeDocument/2006/relationships/diagramLayout" Target="diagrams/layout3.xml" /><Relationship Id="rId31" Type="http://schemas.openxmlformats.org/officeDocument/2006/relationships/diagramQuickStyle" Target="diagrams/quickStyle3.xml" /><Relationship Id="rId32" Type="http://schemas.openxmlformats.org/officeDocument/2006/relationships/diagramColors" Target="diagrams/colors3.xml" /><Relationship Id="rId33" Type="http://schemas.openxmlformats.org/officeDocument/2006/relationships/chart" Target="charts/chart12.xml" /><Relationship Id="rId34" Type="http://schemas.openxmlformats.org/officeDocument/2006/relationships/chart" Target="charts/chart13.xml" /><Relationship Id="rId35" Type="http://schemas.openxmlformats.org/officeDocument/2006/relationships/chart" Target="charts/chart14.xml" /><Relationship Id="rId36" Type="http://schemas.openxmlformats.org/officeDocument/2006/relationships/chart" Target="charts/chart15.xml" /><Relationship Id="rId37" Type="http://schemas.openxmlformats.org/officeDocument/2006/relationships/chart" Target="charts/chart16.xml" /><Relationship Id="rId38" Type="http://schemas.openxmlformats.org/officeDocument/2006/relationships/image" Target="media/image5.png" /><Relationship Id="rId39" Type="http://schemas.openxmlformats.org/officeDocument/2006/relationships/image" Target="media/image6.png" /><Relationship Id="rId4" Type="http://schemas.openxmlformats.org/officeDocument/2006/relationships/hyperlink" Target="https://zakon.rada.gov.ua/laws/show/722/2019" TargetMode="External" /><Relationship Id="rId40" Type="http://schemas.openxmlformats.org/officeDocument/2006/relationships/chart" Target="charts/chart17.xml" /><Relationship Id="rId41" Type="http://schemas.openxmlformats.org/officeDocument/2006/relationships/chart" Target="charts/chart18.xml" /><Relationship Id="rId42" Type="http://schemas.openxmlformats.org/officeDocument/2006/relationships/chart" Target="charts/chart19.xml" /><Relationship Id="rId43" Type="http://schemas.openxmlformats.org/officeDocument/2006/relationships/chart" Target="charts/chart20.xml" /><Relationship Id="rId44" Type="http://schemas.openxmlformats.org/officeDocument/2006/relationships/chart" Target="charts/chart21.xml" /><Relationship Id="rId45" Type="http://schemas.microsoft.com/office/2014/relationships/chartEx" Target="charts/chartEx1.xml" /><Relationship Id="rId46" Type="http://schemas.openxmlformats.org/officeDocument/2006/relationships/image" Target="media/image7.png" /><Relationship Id="rId47" Type="http://schemas.openxmlformats.org/officeDocument/2006/relationships/chart" Target="charts/chart22.xml" /><Relationship Id="rId48" Type="http://schemas.openxmlformats.org/officeDocument/2006/relationships/chart" Target="charts/chart23.xml" /><Relationship Id="rId49" Type="http://schemas.openxmlformats.org/officeDocument/2006/relationships/chart" Target="charts/chart24.xml" /><Relationship Id="rId5" Type="http://schemas.openxmlformats.org/officeDocument/2006/relationships/hyperlink" Target="https://brovary-rada.gov.ua/meshkantsiu/bezpeka" TargetMode="External" /><Relationship Id="rId50" Type="http://schemas.openxmlformats.org/officeDocument/2006/relationships/header" Target="header1.xml" /><Relationship Id="rId51" Type="http://schemas.openxmlformats.org/officeDocument/2006/relationships/footer" Target="footer1.xml" /><Relationship Id="rId52" Type="http://schemas.openxmlformats.org/officeDocument/2006/relationships/glossaryDocument" Target="glossary/document.xml" /><Relationship Id="rId53" Type="http://schemas.openxmlformats.org/officeDocument/2006/relationships/theme" Target="theme/theme1.xml" /><Relationship Id="rId54" Type="http://schemas.openxmlformats.org/officeDocument/2006/relationships/numbering" Target="numbering.xml" /><Relationship Id="rId55" Type="http://schemas.openxmlformats.org/officeDocument/2006/relationships/styles" Target="styles.xml" /><Relationship Id="rId6" Type="http://schemas.openxmlformats.org/officeDocument/2006/relationships/hyperlink" Target="https://koda.gov.ua/gromadskosti/vidkryti-dani/ukryttya/" TargetMode="External" /><Relationship Id="rId7" Type="http://schemas.openxmlformats.org/officeDocument/2006/relationships/chart" Target="charts/chart1.xml" /><Relationship Id="rId8" Type="http://schemas.openxmlformats.org/officeDocument/2006/relationships/chart" Target="charts/chart2.xml" /><Relationship Id="rId9" Type="http://schemas.openxmlformats.org/officeDocument/2006/relationships/chart" Target="charts/chart3.xml" /></Relationships>
</file>

<file path=word/charts/_rels/chart1.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85;&#1072;&#1089;&#1077;&#1083;&#1077;&#1085;&#1085;&#1103;(&#1040;&#1074;&#1090;&#1086;&#1084;&#1072;&#1090;&#1080;&#1095;&#1077;&#1089;&#1082;&#1080;&#1042;&#1086;&#1089;&#1089;&#1090;&#1072;&#1085;&#1086;&#1074;&#1083;&#1077;&#1085;&#1086;).xlsx" TargetMode="External"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85;&#1072;&#1089;&#1077;&#1083;&#1077;&#1085;&#1085;&#1103;(&#1040;&#1074;&#1090;&#1086;&#1084;&#1072;&#1090;&#1080;&#1095;&#1077;&#1089;&#1082;&#1080;&#1042;&#1086;&#1089;&#1089;&#1090;&#1072;&#1085;&#1086;&#1074;&#1083;&#1077;&#1085;&#1086;).xlsx" TargetMode="External" /><Relationship Id="rId2" Type="http://schemas.openxmlformats.org/officeDocument/2006/relationships/themeOverride" Target="../theme/themeOverride2.xml" /><Relationship Id="rId3" Type="http://schemas.microsoft.com/office/2011/relationships/chartColorStyle" Target="chart/colors2.xml" /><Relationship Id="rId4" Type="http://schemas.microsoft.com/office/2011/relationships/chartStyle" Target="chart/style2.xml" /></Relationships>
</file>

<file path=word/charts/_rels/chart3.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74;&#1087;&#1086;.xlsx" TargetMode="External" /><Relationship Id="rId2" Type="http://schemas.openxmlformats.org/officeDocument/2006/relationships/themeOverride" Target="../theme/themeOverride3.xml" /><Relationship Id="rId3" Type="http://schemas.microsoft.com/office/2011/relationships/chartColorStyle" Target="chart/colors3.xml" /><Relationship Id="rId4" Type="http://schemas.microsoft.com/office/2011/relationships/chartStyle" Target="chart/style3.xml" /></Relationships>
</file>

<file path=word/charts/_rels/chart4.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79;%20&#1090;&#1091;&#1088;&#1073;&#1086;&#1090;&#1086;&#1102;.xlsx" TargetMode="External" /><Relationship Id="rId2" Type="http://schemas.openxmlformats.org/officeDocument/2006/relationships/themeOverride" Target="../theme/themeOverride4.xml" /><Relationship Id="rId3" Type="http://schemas.microsoft.com/office/2011/relationships/chartColorStyle" Target="chart/colors4.xml" /><Relationship Id="rId4" Type="http://schemas.microsoft.com/office/2011/relationships/chartStyle" Target="chart/style4.xml" /></Relationships>
</file>

<file path=word/charts/_rels/chart5.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87;&#1077;&#1085;&#1089;%20&#1092;&#1086;&#1085;&#1076;.xlsx" TargetMode="External" /><Relationship Id="rId2" Type="http://schemas.openxmlformats.org/officeDocument/2006/relationships/themeOverride" Target="../theme/themeOverride5.xml" /><Relationship Id="rId3" Type="http://schemas.microsoft.com/office/2011/relationships/chartColorStyle" Target="chart/colors5.xml" /><Relationship Id="rId4" Type="http://schemas.microsoft.com/office/2011/relationships/chartStyle" Target="chart/style5.xml" /></Relationships>
</file>

<file path=word/charts/_rels/chart6.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74;&#1077;&#1090;%20&#1087;&#1086;&#1083;&#1110;&#1090;&#1080;&#1082;&#1072;.xlsx" TargetMode="External" /><Relationship Id="rId2" Type="http://schemas.openxmlformats.org/officeDocument/2006/relationships/themeOverride" Target="../theme/themeOverride6.xml" /><Relationship Id="rId3" Type="http://schemas.microsoft.com/office/2011/relationships/chartColorStyle" Target="chart/colors6.xml" /><Relationship Id="rId4" Type="http://schemas.microsoft.com/office/2011/relationships/chartStyle" Target="chart/style6.xml" /></Relationships>
</file>

<file path=word/charts/_rels/chart7.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84;&#1077;&#1076;&#1080;&#1094;&#1080;&#1085;&#1072;.xlsx" TargetMode="External" /><Relationship Id="rId2" Type="http://schemas.openxmlformats.org/officeDocument/2006/relationships/themeOverride" Target="../theme/themeOverride7.xml" /><Relationship Id="rId3" Type="http://schemas.microsoft.com/office/2011/relationships/chartColorStyle" Target="chart/colors7.xml" /><Relationship Id="rId4" Type="http://schemas.microsoft.com/office/2011/relationships/chartStyle" Target="chart/style7.xml" /></Relationships>
</file>

<file path=word/charts/_rels/chart8.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44;&#1110;&#1072;&#1075;&#1088;&#1072;&#1084;&#1080;%20&#1055;&#1040;&#1042;&#1051;&#1054;&#1042;.xlsx" TargetMode="External" /><Relationship Id="rId2" Type="http://schemas.openxmlformats.org/officeDocument/2006/relationships/themeOverride" Target="../theme/themeOverride8.xml" /><Relationship Id="rId3" Type="http://schemas.microsoft.com/office/2011/relationships/chartColorStyle" Target="chart/colors8.xml" /><Relationship Id="rId4" Type="http://schemas.microsoft.com/office/2011/relationships/chartStyle" Target="chart/style8.xml" /></Relationships>
</file>

<file path=word/charts/_rels/chart9.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44;&#1110;&#1072;&#1075;&#1088;&#1072;&#1084;&#1080;%20&#1055;&#1040;&#1042;&#1051;&#1054;&#1042;.xlsx" TargetMode="External" /><Relationship Id="rId2" Type="http://schemas.openxmlformats.org/officeDocument/2006/relationships/themeOverride" Target="../theme/themeOverride9.xml" /><Relationship Id="rId3" Type="http://schemas.microsoft.com/office/2011/relationships/chartColorStyle" Target="chart/colors9.xml" /><Relationship Id="rId4" Type="http://schemas.microsoft.com/office/2011/relationships/chartStyle" Target="chart/style9.xml" /></Relationships>
</file>

<file path=word/charts/_rels/chart10.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44;&#1110;&#1072;&#1075;&#1088;&#1072;&#1084;&#1080;%20&#1055;&#1040;&#1042;&#1051;&#1054;&#1042;.xlsx" TargetMode="External" /><Relationship Id="rId2" Type="http://schemas.openxmlformats.org/officeDocument/2006/relationships/themeOverride" Target="../theme/themeOverride10.xml" /><Relationship Id="rId3" Type="http://schemas.microsoft.com/office/2011/relationships/chartColorStyle" Target="chart/colors10.xml" /><Relationship Id="rId4" Type="http://schemas.microsoft.com/office/2011/relationships/chartStyle" Target="chart/style10.xml" /></Relationships>
</file>

<file path=word/charts/_rels/chart11.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94;&#1077;&#1085;&#1090;&#1088;%20&#1079;&#1072;&#1081;&#1085;&#1103;&#1090;&#1086;&#1089;&#1090;&#1110;.xlsx" TargetMode="External" /><Relationship Id="rId2" Type="http://schemas.openxmlformats.org/officeDocument/2006/relationships/themeOverride" Target="../theme/themeOverride11.xml" /><Relationship Id="rId3" Type="http://schemas.microsoft.com/office/2011/relationships/chartColorStyle" Target="chart/colors11.xml" /><Relationship Id="rId4" Type="http://schemas.microsoft.com/office/2011/relationships/chartStyle" Target="chart/style11.xml" /></Relationships>
</file>

<file path=word/charts/_rels/chart12.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94;&#1085;&#1072;&#1087;.xlsx" TargetMode="External" /><Relationship Id="rId2" Type="http://schemas.openxmlformats.org/officeDocument/2006/relationships/themeOverride" Target="../theme/themeOverride12.xml" /><Relationship Id="rId3" Type="http://schemas.microsoft.com/office/2011/relationships/chartColorStyle" Target="chart/colors12.xml" /><Relationship Id="rId4" Type="http://schemas.microsoft.com/office/2011/relationships/chartStyle" Target="chart/style12.xml" /></Relationships>
</file>

<file path=word/charts/_rels/chart13.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6\&#1055;&#1110;&#1076;&#1089;&#1091;&#1084;&#1082;&#1080;%20&#1030;%20&#1087;&#1110;&#1074;&#1088;&#1110;&#1095;&#1095;&#1103;%202026\&#1044;&#1110;&#1072;&#1075;&#1088;&#1072;&#1084;&#1080;\&#1094;&#1085;&#1072;&#1087;.xlsx" TargetMode="External" /><Relationship Id="rId2" Type="http://schemas.openxmlformats.org/officeDocument/2006/relationships/themeOverride" Target="../theme/themeOverride13.xml" /><Relationship Id="rId3" Type="http://schemas.microsoft.com/office/2011/relationships/chartColorStyle" Target="chart/colors13.xml" /><Relationship Id="rId4" Type="http://schemas.microsoft.com/office/2011/relationships/chartStyle" Target="chart/style13.xml" /></Relationships>
</file>

<file path=word/charts/_rels/chart14.xml.rels><?xml version="1.0" encoding="utf-8" standalone="yes"?><Relationships xmlns="http://schemas.openxmlformats.org/package/2006/relationships"><Relationship Id="rId1" Type="http://schemas.openxmlformats.org/officeDocument/2006/relationships/oleObject" Target="file:///C:\Users\User\Desktop\&#1053;&#1086;&#1074;&#1080;&#1081;%20&#1040;&#1088;&#1082;&#1091;&#1096;%20Microsoft%20Excel%20(3).xlsx" TargetMode="External" /><Relationship Id="rId2" Type="http://schemas.openxmlformats.org/officeDocument/2006/relationships/themeOverride" Target="../theme/themeOverride14.xml" /><Relationship Id="rId3" Type="http://schemas.microsoft.com/office/2011/relationships/chartColorStyle" Target="chart/colors14.xml" /><Relationship Id="rId4" Type="http://schemas.microsoft.com/office/2011/relationships/chartStyle" Target="chart/style14.xml" /></Relationships>
</file>

<file path=word/charts/_rels/chart15.xml.rels><?xml version="1.0" encoding="utf-8" standalone="yes"?><Relationships xmlns="http://schemas.openxmlformats.org/package/2006/relationships"><Relationship Id="rId1" Type="http://schemas.openxmlformats.org/officeDocument/2006/relationships/oleObject" Target="file:///C:\Users\User-5556\Documents\&#1044;&#1086;&#1082;&#1091;&#1084;&#1077;&#1085;&#1090;&#1080;%20&#1054;&#1076;&#1072;&#1085;&#1077;&#1094;&#1100;\&#1047;&#1042;&#1030;&#1058;&#1048;%20&#1047;&#1040;%20&#1055;&#1030;&#1042;&#1056;&#1030;&#1063;&#1063;&#1071;\&#1057;&#1058;&#1056;&#1059;&#1050;&#1058;&#1059;&#1056;&#1040;%20&#1055;&#1056;&#1054;&#1052;&#1048;&#1057;&#1051;&#1054;&#1042;&#1054;&#1057;&#1058;&#1048;%2006%202025.xlsx" TargetMode="External" /><Relationship Id="rId2" Type="http://schemas.openxmlformats.org/officeDocument/2006/relationships/themeOverride" Target="../theme/themeOverride15.xml" /><Relationship Id="rId3" Type="http://schemas.microsoft.com/office/2011/relationships/chartColorStyle" Target="chart/colors15.xml" /><Relationship Id="rId4" Type="http://schemas.microsoft.com/office/2011/relationships/chartStyle" Target="chart/style15.xml" /></Relationships>
</file>

<file path=word/charts/_rels/chart16.xml.rels><?xml version="1.0" encoding="utf-8" standalone="yes"?><Relationships xmlns="http://schemas.openxmlformats.org/package/2006/relationships"><Relationship Id="rId1" Type="http://schemas.openxmlformats.org/officeDocument/2006/relationships/oleObject" Target="file:///C:\Users\User\Downloads\02%2026%20&#1057;&#1058;&#1056;&#1059;&#1050;&#1058;&#1059;&#1056;&#1040;%20&#1087;&#1086;&#1076;&#1072;&#1090;&#1082;&#1080;%20&#1090;&#1072;%20&#1055;&#1056;&#1054;&#1052;&#1048;&#1057;&#1051;&#1054;&#1042;&#1030;%20(1).xlsx" TargetMode="External" /><Relationship Id="rId2" Type="http://schemas.openxmlformats.org/officeDocument/2006/relationships/themeOverride" Target="../theme/themeOverride16.xml" /><Relationship Id="rId3" Type="http://schemas.microsoft.com/office/2011/relationships/chartColorStyle" Target="chart/colors16.xml" /><Relationship Id="rId4" Type="http://schemas.microsoft.com/office/2011/relationships/chartStyle" Target="chart/style16.xml" /></Relationships>
</file>

<file path=word/charts/_rels/chart17.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17.xml" /></Relationships>
</file>

<file path=word/charts/_rels/chart18.xml.rels><?xml version="1.0" encoding="utf-8" standalone="yes"?><Relationships xmlns="http://schemas.openxmlformats.org/package/2006/relationships"><Relationship Id="rId1" Type="http://schemas.openxmlformats.org/officeDocument/2006/relationships/package" Target="../embeddings/Microsoft_Excel_Worksheet2.xlsx" /><Relationship Id="rId2" Type="http://schemas.openxmlformats.org/officeDocument/2006/relationships/themeOverride" Target="../theme/themeOverride18.xml" /></Relationships>
</file>

<file path=word/charts/_rels/chart19.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30;&#1044;&#1057;&#1059;&#1052;&#1050;&#1048;\&#1055;&#1110;&#1076;&#1089;&#1091;&#1084;&#1082;&#1080;%202025\&#1055;&#1110;&#1076;&#1089;&#1091;&#1084;&#1082;&#1080;%202025\&#1044;&#1110;&#1072;&#1075;&#1088;&#1072;&#1084;&#1080;\&#1044;&#1110;&#1072;&#1075;&#1088;&#1072;&#1084;&#1072;%20&#1087;&#1086;%20&#1075;&#1088;&#1072;&#1085;&#1080;&#1095;&#1085;&#1086;&#1084;&#1091;%20&#1086;&#1073;&#1089;&#1103;&#1075;&#1091;%20(&#1110;&#1085;&#1074;&#1077;&#1089;&#1090;&#1080;&#1094;&#1110;&#1111;).xlsx" TargetMode="External" /><Relationship Id="rId2" Type="http://schemas.openxmlformats.org/officeDocument/2006/relationships/themeOverride" Target="../theme/themeOverride19.xml" /><Relationship Id="rId3" Type="http://schemas.microsoft.com/office/2011/relationships/chartColorStyle" Target="chart/colors17.xml" /><Relationship Id="rId4" Type="http://schemas.microsoft.com/office/2011/relationships/chartStyle" Target="chart/style17.xml" /></Relationships>
</file>

<file path=word/charts/_rels/chart20.xml.rels><?xml version="1.0" encoding="utf-8" standalone="yes"?><Relationships xmlns="http://schemas.openxmlformats.org/package/2006/relationships"><Relationship Id="rId1" Type="http://schemas.openxmlformats.org/officeDocument/2006/relationships/package" Target="../embeddings/Microsoft_Excel_Worksheet3.xlsx" /><Relationship Id="rId2" Type="http://schemas.openxmlformats.org/officeDocument/2006/relationships/themeOverride" Target="../theme/themeOverride20.xml" /></Relationships>
</file>

<file path=word/charts/_rels/chart21.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5\&#1055;&#1110;&#1076;&#1089;&#1091;&#1084;&#1082;&#1080;%202025\&#1044;&#1110;&#1072;&#1075;&#1088;&#1072;&#1084;&#1080;\&#1092;&#1110;&#1085;.xlsx" TargetMode="External" /><Relationship Id="rId2" Type="http://schemas.openxmlformats.org/officeDocument/2006/relationships/themeOverride" Target="../theme/themeOverride21.xml" /><Relationship Id="rId3" Type="http://schemas.microsoft.com/office/2011/relationships/chartColorStyle" Target="chart/colors18.xml" /><Relationship Id="rId4" Type="http://schemas.microsoft.com/office/2011/relationships/chartStyle" Target="chart/style18.xml" /></Relationships>
</file>

<file path=word/charts/_rels/chart22.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5\&#1055;&#1110;&#1076;&#1089;&#1091;&#1084;&#1082;&#1080;%202025\&#1044;&#1110;&#1072;&#1075;&#1088;&#1072;&#1084;&#1080;\&#1092;&#1110;&#1085;.xlsx" TargetMode="External" /><Relationship Id="rId2" Type="http://schemas.openxmlformats.org/officeDocument/2006/relationships/themeOverride" Target="../theme/themeOverride23.xml" /><Relationship Id="rId3" Type="http://schemas.microsoft.com/office/2011/relationships/chartColorStyle" Target="chart/colors20.xml" /><Relationship Id="rId4" Type="http://schemas.microsoft.com/office/2011/relationships/chartStyle" Target="chart/style20.xml" /></Relationships>
</file>

<file path=word/charts/_rels/chart23.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5\&#1055;&#1110;&#1076;&#1089;&#1091;&#1084;&#1082;&#1080;%202025\&#1044;&#1110;&#1072;&#1075;&#1088;&#1072;&#1084;&#1080;\&#1092;&#1110;&#1085;.xlsx" TargetMode="External" /><Relationship Id="rId2" Type="http://schemas.openxmlformats.org/officeDocument/2006/relationships/themeOverride" Target="../theme/themeOverride24.xml" /><Relationship Id="rId3" Type="http://schemas.microsoft.com/office/2011/relationships/chartColorStyle" Target="chart/colors21.xml" /><Relationship Id="rId4" Type="http://schemas.microsoft.com/office/2011/relationships/chartStyle" Target="chart/style21.xml" /></Relationships>
</file>

<file path=word/charts/_rels/chart24.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2;&#1110;&#1089;&#1094;&#1077;&#1074;&#1110;%20&#1087;&#1088;&#1086;&#1075;&#1088;&#1072;&#1084;&#1080;\&#1042;&#1048;&#1050;&#1054;&#1053;&#1040;&#1053;&#1053;&#1071;%20&#1087;&#1088;&#1086;&#1075;&#1088;&#1072;&#1084;\&#1084;&#1110;&#1089;&#1094;&#1077;&#1074;&#1110;%20&#1087;&#1088;&#1086;&#1075;&#1088;&#1072;&#1084;&#1080;%202026\&#1084;&#1110;&#1089;&#1094;&#1077;&#1074;&#1110;%20&#1087;&#1088;&#1086;&#1075;&#1088;&#1072;&#1084;&#1080;%20&#1095;&#1077;&#1088;&#1074;&#1077;&#1085;&#1100;.xls" TargetMode="External" /><Relationship Id="rId2" Type="http://schemas.openxmlformats.org/officeDocument/2006/relationships/themeOverride" Target="../theme/themeOverride25.xml" /></Relationships>
</file>

<file path=word/charts/_rels/chartEx1.xml.rels><?xml version="1.0" encoding="utf-8" standalone="yes"?><Relationships xmlns="http://schemas.openxmlformats.org/package/2006/relationships"><Relationship Id="rId1" Type="http://schemas.openxmlformats.org/officeDocument/2006/relationships/oleObject" Target="file:///C:\&#1050;&#1086;&#1074;&#1072;&#1083;&#1077;&#1085;&#1082;&#1086;%20&#1054;&#1083;&#1077;&#1085;&#1072;\&#1051;&#1050;\&#1055;&#1056;&#1054;&#1043;&#1056;&#1040;&#1052;&#1048;%20&#1057;&#1054;&#1062;-&#1045;&#1050;%20&#1056;&#1054;&#1047;&#1042;&#1048;&#1058;&#1050;&#1059;\&#1055;&#1110;&#1076;&#1089;&#1091;&#1084;&#1082;&#1080;%202025\&#1055;&#1110;&#1076;&#1089;&#1091;&#1084;&#1082;&#1080;%202025\&#1044;&#1110;&#1072;&#1075;&#1088;&#1072;&#1084;&#1080;\&#1073;&#1102;&#1076;&#1078;&#1077;&#1090;.xlsx" TargetMode="External" /><Relationship Id="rId2" Type="http://schemas.openxmlformats.org/officeDocument/2006/relationships/themeOverride" Target="../theme/themeOverride22.xml" /><Relationship Id="rId3" Type="http://schemas.microsoft.com/office/2011/relationships/chartColorStyle" Target="chart/colors19.xml" /><Relationship Id="rId4" Type="http://schemas.microsoft.com/office/2011/relationships/chartStyle" Target="chart/style19.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chart/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3.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a:solidFill>
          <a:schemeClr val="phClr">
            <a:shade val="95000"/>
          </a:schemeClr>
        </a:solidFill>
        <a:round/>
      </a:ln>
    </cs:spPr>
  </cs:dataPoint>
  <cs:dataPoint3D>
    <cs:lnRef idx="0">
      <cs:styleClr val="auto"/>
    </cs:lnRef>
    <cs:fillRef idx="2">
      <cs:styleClr val="auto"/>
    </cs:fillRef>
    <cs:effectRef idx="1"/>
    <cs:fontRef idx="minor">
      <a:schemeClr val="dk1"/>
    </cs:fontRef>
    <cs:spPr>
      <a:ln w="9525">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chart/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5.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dist="0" dir="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dist="0" dir="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chart/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8.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dist="0" dir="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chart/style9.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a:solidFill>
          <a:schemeClr val="tx1">
            <a:lumMod val="15000"/>
            <a:lumOff val="85000"/>
          </a:schemeClr>
        </a:solidFill>
        <a:round/>
        <a:headEnd w="sm" len="sm"/>
        <a:tailEnd w="sm" len="sm"/>
      </a:ln>
    </cs:spPr>
    <cs:defRPr sz="900" kern="1200"/>
  </cs:categoryAxis>
  <cs:chartArea mods="allowNoFillOverride allowNoLineOverride">
    <cs:lnRef idx="0"/>
    <cs:fillRef idx="0"/>
    <cs:effectRef idx="0"/>
    <cs:fontRef idx="minor">
      <a:schemeClr val="dk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gradFill>
    </cs:spPr>
  </cs:dataPoint>
  <cs:dataPoint3D>
    <cs:lnRef idx="0"/>
    <cs:fillRef idx="0">
      <cs:styleClr val="auto"/>
    </cs:fillRef>
    <cs:effectRef idx="0"/>
    <cs:fontRef idx="minor">
      <a:schemeClr val="dk1"/>
    </cs:fontRef>
    <cs:spPr>
      <a:gradFill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rotWithShape="1">
        <a:gsLst>
          <a:gs pos="0">
            <a:schemeClr val="phClr"/>
          </a:gs>
          <a:gs pos="46000">
            <a:schemeClr val="phClr"/>
          </a:gs>
          <a:gs pos="100000">
            <a:schemeClr val="phClr">
              <a:lumMod val="20000"/>
              <a:lumOff val="80000"/>
              <a:alpha val="0"/>
            </a:schemeClr>
          </a:gs>
        </a:gsLst>
        <a:path path="circle">
          <a:fillToRect l="50000" t="-80000" r="50000" b="180000"/>
        </a:path>
      </a:gradFill>
      <a:ln w="9525">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a:gradFill rotWithShape="1">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headEnd w="sm" len="sm"/>
        <a:tailEnd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chart/style10.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chart/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1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chart/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1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18.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a:solidFill>
          <a:schemeClr val="phClr"/>
        </a:solidFill>
        <a:round/>
      </a:ln>
      <a:effectLst>
        <a:outerShdw blurRad="50800" dist="38100" dir="2700000" sx="100000" sy="100000" kx="0" ky="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a:solidFill>
          <a:schemeClr val="phClr"/>
        </a:solidFill>
        <a:round/>
      </a:ln>
      <a:effectLst>
        <a:outerShdw blurRad="50800" dist="38100" dir="2700000" sx="100000" sy="100000" kx="0" ky="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dist="0" dir="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chart/style19.xml><?xml version="1.0" encoding="utf-8"?>
<cs:chartStyle xmlns:cs="http://schemas.microsoft.com/office/drawing/2012/chartStyle" xmlns:a="http://schemas.openxmlformats.org/drawingml/2006/main" id="3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style20.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chart/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78031496062992"/>
          <c:y val="0.027777777777777776"/>
          <c:w val="0.85219685039370074"/>
          <c:h val="0.73577136191309422"/>
        </c:manualLayout>
      </c:layout>
      <c:barChart>
        <c:barDir val="col"/>
        <c:grouping val="clustered"/>
        <c:varyColors val="0"/>
        <c:ser>
          <c:idx val="0"/>
          <c:order val="0"/>
          <c:tx>
            <c:strRef>
              <c:f>Лист1!$F$11</c:f>
              <c:strCache>
                <c:ptCount val="1"/>
                <c:pt idx="0">
                  <c:v>м. Бровари</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sx="100000" sy="100000" kx="0" ky="0" algn="b"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Лист1!$E$12:$E$13</c:f>
              <c:numCache>
                <c:formatCode>m/d/yyyy</c:formatCode>
                <c:ptCount val="2"/>
                <c:pt idx="0">
                  <c:v>45839</c:v>
                </c:pt>
                <c:pt idx="1">
                  <c:v>46204</c:v>
                </c:pt>
              </c:numCache>
            </c:numRef>
          </c:cat>
          <c:val>
            <c:numRef>
              <c:f>Лист1!$F$12:$F$13</c:f>
              <c:numCache>
                <c:formatCode>General</c:formatCode>
                <c:ptCount val="2"/>
                <c:pt idx="0">
                  <c:v>104087</c:v>
                </c:pt>
                <c:pt idx="1">
                  <c:v>104222</c:v>
                </c:pt>
              </c:numCache>
            </c:numRef>
          </c:val>
          <c:extLst>
            <c:ext xmlns:c16="http://schemas.microsoft.com/office/drawing/2014/chart" uri="{C3380CC4-5D6E-409C-BE32-E72D297353CC}">
              <c16:uniqueId val="{00000000-EF7C-4123-B29C-D15D4E4A6097}"/>
            </c:ext>
          </c:extLst>
        </c:ser>
        <c:ser>
          <c:idx val="1"/>
          <c:order val="1"/>
          <c:tx>
            <c:strRef>
              <c:f>Лист1!$G$11</c:f>
              <c:strCache>
                <c:ptCount val="1"/>
                <c:pt idx="0">
                  <c:v>с. Княжичі</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sx="100000" sy="100000" kx="0" ky="0" algn="b"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Лист1!$E$12:$E$13</c:f>
              <c:numCache>
                <c:formatCode>m/d/yyyy</c:formatCode>
                <c:ptCount val="2"/>
                <c:pt idx="0">
                  <c:v>45839</c:v>
                </c:pt>
                <c:pt idx="1">
                  <c:v>46204</c:v>
                </c:pt>
              </c:numCache>
            </c:numRef>
          </c:cat>
          <c:val>
            <c:numRef>
              <c:f>Лист1!$G$12:$G$13</c:f>
              <c:numCache>
                <c:formatCode>General</c:formatCode>
                <c:ptCount val="2"/>
                <c:pt idx="0">
                  <c:v>5905</c:v>
                </c:pt>
                <c:pt idx="1">
                  <c:v>5854</c:v>
                </c:pt>
              </c:numCache>
            </c:numRef>
          </c:val>
          <c:extLst>
            <c:ext xmlns:c16="http://schemas.microsoft.com/office/drawing/2014/chart" uri="{C3380CC4-5D6E-409C-BE32-E72D297353CC}">
              <c16:uniqueId val="{00000001-EF7C-4123-B29C-D15D4E4A6097}"/>
            </c:ext>
          </c:extLst>
        </c:ser>
        <c:ser>
          <c:idx val="2"/>
          <c:order val="2"/>
          <c:tx>
            <c:strRef>
              <c:f>Лист1!$H$11</c:f>
              <c:strCache>
                <c:ptCount val="1"/>
                <c:pt idx="0">
                  <c:v>с. Требухів</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sx="100000" sy="100000" kx="0" ky="0" algn="b"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Лист1!$E$12:$E$13</c:f>
              <c:numCache>
                <c:formatCode>m/d/yyyy</c:formatCode>
                <c:ptCount val="2"/>
                <c:pt idx="0">
                  <c:v>45839</c:v>
                </c:pt>
                <c:pt idx="1">
                  <c:v>46204</c:v>
                </c:pt>
              </c:numCache>
            </c:numRef>
          </c:cat>
          <c:val>
            <c:numRef>
              <c:f>Лист1!$H$12:$H$13</c:f>
              <c:numCache>
                <c:formatCode>General</c:formatCode>
                <c:ptCount val="2"/>
                <c:pt idx="0">
                  <c:v>6576</c:v>
                </c:pt>
                <c:pt idx="1">
                  <c:v>6571</c:v>
                </c:pt>
              </c:numCache>
            </c:numRef>
          </c:val>
          <c:extLst>
            <c:ext xmlns:c16="http://schemas.microsoft.com/office/drawing/2014/chart" uri="{C3380CC4-5D6E-409C-BE32-E72D297353CC}">
              <c16:uniqueId val="{00000002-EF7C-4123-B29C-D15D4E4A6097}"/>
            </c:ext>
          </c:extLst>
        </c:ser>
        <c:ser>
          <c:idx val="3"/>
          <c:order val="3"/>
          <c:tx>
            <c:strRef>
              <c:f>Лист1!$I$11</c:f>
              <c:strCache>
                <c:ptCount val="1"/>
                <c:pt idx="0">
                  <c:v>с. Сотницьке</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sx="100000" sy="100000" kx="0" ky="0" algn="b"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Лист1!$E$12:$E$13</c:f>
              <c:numCache>
                <c:formatCode>m/d/yyyy</c:formatCode>
                <c:ptCount val="2"/>
                <c:pt idx="0">
                  <c:v>45839</c:v>
                </c:pt>
                <c:pt idx="1">
                  <c:v>46204</c:v>
                </c:pt>
              </c:numCache>
            </c:numRef>
          </c:cat>
          <c:val>
            <c:numRef>
              <c:f>Лист1!$I$12:$I$13</c:f>
              <c:numCache>
                <c:formatCode>General</c:formatCode>
                <c:ptCount val="2"/>
                <c:pt idx="0">
                  <c:v>36</c:v>
                </c:pt>
                <c:pt idx="1">
                  <c:v>39</c:v>
                </c:pt>
              </c:numCache>
            </c:numRef>
          </c:val>
          <c:extLst>
            <c:ext xmlns:c16="http://schemas.microsoft.com/office/drawing/2014/chart" uri="{C3380CC4-5D6E-409C-BE32-E72D297353CC}">
              <c16:uniqueId val="{00000003-EF7C-4123-B29C-D15D4E4A6097}"/>
            </c:ext>
          </c:extLst>
        </c:ser>
        <c:dLbls>
          <c:dLblPos val="outEnd"/>
          <c:showLegendKey val="0"/>
          <c:showVal val="1"/>
          <c:showCatName val="0"/>
          <c:showSerName val="0"/>
          <c:showPercent val="0"/>
          <c:showBubbleSize val="0"/>
        </c:dLbls>
        <c:gapWidth val="100"/>
        <c:overlap val="-24"/>
        <c:axId val="126440800"/>
        <c:axId val="126442048"/>
      </c:barChart>
      <c:catAx>
        <c:axId val="126440800"/>
        <c:scaling>
          <c:orientation val="minMax"/>
          <c:max val="2"/>
          <c:min val="1"/>
        </c:scaling>
        <c:delete val="0"/>
        <c:axPos val="b"/>
        <c:numFmt formatCode="m/d/yyyy" sourceLinked="1"/>
        <c:majorTickMark val="out"/>
        <c:minorTickMark val="none"/>
        <c:tickLblPos val="nextTo"/>
        <c:spPr>
          <a:noFill/>
          <a:ln w="9525">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uk-UA"/>
          </a:p>
        </c:txPr>
        <c:crossAx val="126442048"/>
        <c:crosses val="autoZero"/>
        <c:auto val="0"/>
        <c:lblAlgn val="ctr"/>
        <c:lblOffset val="100"/>
        <c:noMultiLvlLbl val="0"/>
      </c:catAx>
      <c:valAx>
        <c:axId val="126442048"/>
        <c:scaling>
          <c:orientation val="minMax"/>
        </c:scaling>
        <c:delete val="0"/>
        <c:axPos val="l"/>
        <c:majorGridlines>
          <c:spPr>
            <a:ln w="9525">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uk-UA"/>
          </a:p>
        </c:txPr>
        <c:crossAx val="1264408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uk-UA"/>
        </a:p>
      </c:txPr>
    </c:legend>
    <c:plotVisOnly val="1"/>
    <c:dispBlanksAs val="gap"/>
    <c:showDLblsOverMax val="0"/>
  </c:chart>
  <c:spPr>
    <a:solidFill>
      <a:schemeClr val="bg1"/>
    </a:solidFill>
    <a:ln w="9525">
      <a:solidFill>
        <a:schemeClr val="tx2">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Лист1!$B$35</c:f>
              <c:strCache>
                <c:ptCount val="1"/>
                <c:pt idx="0">
                  <c:v>кількість народжених</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Лист1!$C$34:$D$34</c:f>
              <c:strCache>
                <c:ptCount val="2"/>
                <c:pt idx="0">
                  <c:v>І півр. 2025 рік</c:v>
                </c:pt>
                <c:pt idx="1">
                  <c:v>І півр. 2026 рік</c:v>
                </c:pt>
              </c:strCache>
            </c:strRef>
          </c:cat>
          <c:val>
            <c:numRef>
              <c:f>Лист1!$C$35:$D$35</c:f>
              <c:numCache>
                <c:formatCode>General</c:formatCode>
                <c:ptCount val="2"/>
                <c:pt idx="0">
                  <c:v>504</c:v>
                </c:pt>
                <c:pt idx="1">
                  <c:v>466</c:v>
                </c:pt>
              </c:numCache>
            </c:numRef>
          </c:val>
          <c:extLst>
            <c:ext xmlns:c16="http://schemas.microsoft.com/office/drawing/2014/chart" uri="{C3380CC4-5D6E-409C-BE32-E72D297353CC}">
              <c16:uniqueId val="{00000000-DACD-4451-83F6-CC78565760C5}"/>
            </c:ext>
          </c:extLst>
        </c:ser>
        <c:ser>
          <c:idx val="1"/>
          <c:order val="1"/>
          <c:tx>
            <c:strRef>
              <c:f>Лист1!$B$36</c:f>
              <c:strCache>
                <c:ptCount val="1"/>
                <c:pt idx="0">
                  <c:v>кількість померлих</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Лист1!$C$34:$D$34</c:f>
              <c:strCache>
                <c:ptCount val="2"/>
                <c:pt idx="0">
                  <c:v>І півр. 2025 рік</c:v>
                </c:pt>
                <c:pt idx="1">
                  <c:v>І півр. 2026 рік</c:v>
                </c:pt>
              </c:strCache>
            </c:strRef>
          </c:cat>
          <c:val>
            <c:numRef>
              <c:f>Лист1!$C$36:$D$36</c:f>
              <c:numCache>
                <c:formatCode>General</c:formatCode>
                <c:ptCount val="2"/>
                <c:pt idx="0">
                  <c:v>888</c:v>
                </c:pt>
                <c:pt idx="1">
                  <c:v>905</c:v>
                </c:pt>
              </c:numCache>
            </c:numRef>
          </c:val>
          <c:extLst>
            <c:ext xmlns:c16="http://schemas.microsoft.com/office/drawing/2014/chart" uri="{C3380CC4-5D6E-409C-BE32-E72D297353CC}">
              <c16:uniqueId val="{00000001-DACD-4451-83F6-CC78565760C5}"/>
            </c:ext>
          </c:extLst>
        </c:ser>
        <c:dLbls>
          <c:showLegendKey val="0"/>
          <c:showVal val="0"/>
          <c:showCatName val="0"/>
          <c:showSerName val="0"/>
          <c:showPercent val="0"/>
          <c:showBubbleSize val="0"/>
        </c:dLbls>
        <c:gapWidth val="219"/>
        <c:overlap val="-27"/>
        <c:axId val="458417600"/>
        <c:axId val="458412192"/>
      </c:barChart>
      <c:catAx>
        <c:axId val="45841760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58412192"/>
        <c:crosses val="autoZero"/>
        <c:auto val="1"/>
        <c:lblAlgn val="ctr"/>
        <c:lblOffset val="100"/>
        <c:noMultiLvlLbl val="0"/>
      </c:catAx>
      <c:valAx>
        <c:axId val="45841219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58417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Лист1!$C$12</c:f>
              <c:strCache>
                <c:ptCount val="1"/>
                <c:pt idx="0">
                  <c:v>Зареєстровано ВПО</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a:solidFill>
                <a:schemeClr val="accent1">
                  <a:shade val="95000"/>
                </a:schemeClr>
              </a:solidFill>
              <a:round/>
            </a:ln>
            <a:effectLst/>
            <a:sp3d contourW="9525">
              <a:contourClr>
                <a:schemeClr val="accent1">
                  <a:shade val="9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50000"/>
                        <a:lumOff val="50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Лист1!$B$13:$B$15</c:f>
              <c:strCache>
                <c:ptCount val="3"/>
                <c:pt idx="0">
                  <c:v>І півр. 2024 року</c:v>
                </c:pt>
                <c:pt idx="1">
                  <c:v>І півр. 2025 року</c:v>
                </c:pt>
                <c:pt idx="2">
                  <c:v>І півр. 2026 року</c:v>
                </c:pt>
              </c:strCache>
            </c:strRef>
          </c:cat>
          <c:val>
            <c:numRef>
              <c:f>Лист1!$C$13:$C$15</c:f>
              <c:numCache>
                <c:formatCode>General</c:formatCode>
                <c:ptCount val="3"/>
                <c:pt idx="0">
                  <c:v>21606</c:v>
                </c:pt>
                <c:pt idx="1">
                  <c:v>22142</c:v>
                </c:pt>
                <c:pt idx="2">
                  <c:v>23267</c:v>
                </c:pt>
              </c:numCache>
            </c:numRef>
          </c:val>
          <c:extLst>
            <c:ext xmlns:c16="http://schemas.microsoft.com/office/drawing/2014/chart" uri="{C3380CC4-5D6E-409C-BE32-E72D297353CC}">
              <c16:uniqueId val="{00000000-F069-49F7-A88E-1D6B3FF31421}"/>
            </c:ext>
          </c:extLst>
        </c:ser>
        <c:ser>
          <c:idx val="1"/>
          <c:order val="1"/>
          <c:tx>
            <c:strRef>
              <c:f>Лист1!$D$12</c:f>
              <c:strCache>
                <c:ptCount val="1"/>
                <c:pt idx="0">
                  <c:v>в т. ч. дітей</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a:solidFill>
                <a:schemeClr val="accent2">
                  <a:shade val="95000"/>
                </a:schemeClr>
              </a:solidFill>
              <a:round/>
            </a:ln>
            <a:effectLst/>
            <a:sp3d contourW="9525">
              <a:contourClr>
                <a:schemeClr val="accent2">
                  <a:shade val="9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50000"/>
                        <a:lumOff val="50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Лист1!$B$13:$B$15</c:f>
              <c:strCache>
                <c:ptCount val="3"/>
                <c:pt idx="0">
                  <c:v>І півр. 2024 року</c:v>
                </c:pt>
                <c:pt idx="1">
                  <c:v>І півр. 2025 року</c:v>
                </c:pt>
                <c:pt idx="2">
                  <c:v>І півр. 2026 року</c:v>
                </c:pt>
              </c:strCache>
            </c:strRef>
          </c:cat>
          <c:val>
            <c:numRef>
              <c:f>Лист1!$D$13:$D$15</c:f>
              <c:numCache>
                <c:formatCode>General</c:formatCode>
                <c:ptCount val="3"/>
                <c:pt idx="0">
                  <c:v>4434</c:v>
                </c:pt>
                <c:pt idx="1">
                  <c:v>4369</c:v>
                </c:pt>
                <c:pt idx="2">
                  <c:v>4370</c:v>
                </c:pt>
              </c:numCache>
            </c:numRef>
          </c:val>
          <c:extLst>
            <c:ext xmlns:c16="http://schemas.microsoft.com/office/drawing/2014/chart" uri="{C3380CC4-5D6E-409C-BE32-E72D297353CC}">
              <c16:uniqueId val="{00000001-F069-49F7-A88E-1D6B3FF31421}"/>
            </c:ext>
          </c:extLst>
        </c:ser>
        <c:dLbls>
          <c:showLegendKey val="0"/>
          <c:showVal val="1"/>
          <c:showCatName val="0"/>
          <c:showSerName val="0"/>
          <c:showPercent val="0"/>
          <c:showBubbleSize val="0"/>
        </c:dLbls>
        <c:gapWidth val="150"/>
        <c:shape val="box"/>
        <c:axId val="1675130464"/>
        <c:axId val="1675126304"/>
        <c:axId val="0"/>
      </c:bar3DChart>
      <c:catAx>
        <c:axId val="1675130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50" b="1" i="0" u="none" strike="noStrike" kern="1200" baseline="0">
                <a:solidFill>
                  <a:schemeClr val="tx1">
                    <a:lumMod val="50000"/>
                    <a:lumOff val="50000"/>
                  </a:schemeClr>
                </a:solidFill>
                <a:latin typeface="+mn-lt"/>
                <a:ea typeface="+mn-ea"/>
                <a:cs typeface="+mn-cs"/>
              </a:defRPr>
            </a:pPr>
            <a:endParaRPr lang="uk-UA"/>
          </a:p>
        </c:txPr>
        <c:crossAx val="1675126304"/>
        <c:crosses val="autoZero"/>
        <c:auto val="1"/>
        <c:lblAlgn val="ctr"/>
        <c:lblOffset val="100"/>
        <c:noMultiLvlLbl val="0"/>
      </c:catAx>
      <c:valAx>
        <c:axId val="167512630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uk-UA"/>
          </a:p>
        </c:txPr>
        <c:crossAx val="16751304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50" b="1" i="0" u="none" strike="noStrike" kern="1200" baseline="0">
              <a:solidFill>
                <a:schemeClr val="tx1">
                  <a:lumMod val="50000"/>
                  <a:lumOff val="50000"/>
                </a:schemeClr>
              </a:solidFill>
              <a:latin typeface="+mn-lt"/>
              <a:ea typeface="+mn-ea"/>
              <a:cs typeface="+mn-cs"/>
            </a:defRPr>
          </a:pPr>
          <a:endParaRPr lang="uk-U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Лист1!$A$13</c:f>
              <c:strCache>
                <c:ptCount val="1"/>
                <c:pt idx="0">
                  <c:v>І півр. 2025 року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Лист1!$B$12:$E$12</c:f>
              <c:strCache>
                <c:ptCount val="4"/>
                <c:pt idx="0">
                  <c:v>Надання адресної матеріальної допомоги
мешканцям громади</c:v>
                </c:pt>
                <c:pt idx="1">
                  <c:v>Надання пільг на оплату ЖКП у вигляді
щомісячної компенсації</c:v>
                </c:pt>
                <c:pt idx="2">
                  <c:v>Забезпечення відшкодування витрат за
безкоштовне перевезення пільгових категорій
населення пасажирським автомобільним
транспортом</c:v>
                </c:pt>
                <c:pt idx="3">
                  <c:v>Забезпечення відшкодування витрат за
перевезення на пільгових умовах залізничним
транспортом окремих категорій громадян</c:v>
                </c:pt>
              </c:strCache>
            </c:strRef>
          </c:cat>
          <c:val>
            <c:numRef>
              <c:f>Лист1!$B$13:$E$13</c:f>
              <c:numCache>
                <c:formatCode>General</c:formatCode>
                <c:ptCount val="4"/>
                <c:pt idx="0">
                  <c:v>9474.2</c:v>
                </c:pt>
                <c:pt idx="1">
                  <c:v>1084.7</c:v>
                </c:pt>
                <c:pt idx="2">
                  <c:v>2055.6</c:v>
                </c:pt>
                <c:pt idx="3">
                  <c:v>688.9</c:v>
                </c:pt>
              </c:numCache>
            </c:numRef>
          </c:val>
          <c:extLst>
            <c:ext xmlns:c16="http://schemas.microsoft.com/office/drawing/2014/chart" uri="{C3380CC4-5D6E-409C-BE32-E72D297353CC}">
              <c16:uniqueId val="{00000000-D066-4C34-A754-D0C7FE2439FF}"/>
            </c:ext>
          </c:extLst>
        </c:ser>
        <c:ser>
          <c:idx val="1"/>
          <c:order val="1"/>
          <c:tx>
            <c:strRef>
              <c:f>Лист1!$A$14</c:f>
              <c:strCache>
                <c:ptCount val="1"/>
                <c:pt idx="0">
                  <c:v>І півр. 2026 року</c:v>
                </c:pt>
              </c:strCache>
            </c:strRef>
          </c:tx>
          <c:spPr>
            <a:solidFill>
              <a:schemeClr val="accent2"/>
            </a:solidFill>
            <a:ln>
              <a:noFill/>
            </a:ln>
            <a:effectLst/>
          </c:spPr>
          <c:invertIfNegative val="0"/>
          <c:dLbls>
            <c:dLbl>
              <c:idx val="0"/>
              <c:layout>
                <c:manualLayout>
                  <c:x val="-0.0077406846269852348"/>
                  <c:y val="-0.01646090001591004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066-4C34-A754-D0C7FE2439F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Лист1!$B$12:$E$12</c:f>
              <c:strCache>
                <c:ptCount val="4"/>
                <c:pt idx="0">
                  <c:v>Надання адресної матеріальної допомоги
мешканцям громади</c:v>
                </c:pt>
                <c:pt idx="1">
                  <c:v>Надання пільг на оплату ЖКП у вигляді
щомісячної компенсації</c:v>
                </c:pt>
                <c:pt idx="2">
                  <c:v>Забезпечення відшкодування витрат за
безкоштовне перевезення пільгових категорій
населення пасажирським автомобільним
транспортом</c:v>
                </c:pt>
                <c:pt idx="3">
                  <c:v>Забезпечення відшкодування витрат за
перевезення на пільгових умовах залізничним
транспортом окремих категорій громадян</c:v>
                </c:pt>
              </c:strCache>
            </c:strRef>
          </c:cat>
          <c:val>
            <c:numRef>
              <c:f>Лист1!$B$14:$E$14</c:f>
              <c:numCache>
                <c:formatCode>General</c:formatCode>
                <c:ptCount val="4"/>
                <c:pt idx="0">
                  <c:v>9860.3</c:v>
                </c:pt>
                <c:pt idx="1">
                  <c:v>1230.2</c:v>
                </c:pt>
                <c:pt idx="2">
                  <c:v>2060.8</c:v>
                </c:pt>
                <c:pt idx="3">
                  <c:v>688.9</c:v>
                </c:pt>
              </c:numCache>
            </c:numRef>
          </c:val>
          <c:extLst>
            <c:ext xmlns:c16="http://schemas.microsoft.com/office/drawing/2014/chart" uri="{C3380CC4-5D6E-409C-BE32-E72D297353CC}">
              <c16:uniqueId val="{00000002-D066-4C34-A754-D0C7FE2439FF}"/>
            </c:ext>
          </c:extLst>
        </c:ser>
        <c:dLbls>
          <c:showLegendKey val="0"/>
          <c:showVal val="0"/>
          <c:showCatName val="0"/>
          <c:showSerName val="0"/>
          <c:showPercent val="0"/>
          <c:showBubbleSize val="0"/>
        </c:dLbls>
        <c:gapWidth val="182"/>
        <c:axId val="1384795792"/>
        <c:axId val="1384807440"/>
      </c:barChart>
      <c:catAx>
        <c:axId val="1384795792"/>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84807440"/>
        <c:crosses val="autoZero"/>
        <c:auto val="1"/>
        <c:lblAlgn val="ctr"/>
        <c:lblOffset val="100"/>
        <c:noMultiLvlLbl val="0"/>
      </c:catAx>
      <c:valAx>
        <c:axId val="1384807440"/>
        <c:scaling>
          <c:orientation val="minMax"/>
        </c:scaling>
        <c:delete val="1"/>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crossAx val="1384795792"/>
        <c:crosses val="autoZero"/>
        <c:crossBetween val="between"/>
      </c:valAx>
      <c:spPr>
        <a:noFill/>
        <a:ln>
          <a:noFill/>
        </a:ln>
        <a:effectLst/>
      </c:spPr>
    </c:plotArea>
    <c:legend>
      <c:legendPos val="b"/>
      <c:layout>
        <c:manualLayout>
          <c:xMode val="edge"/>
          <c:yMode val="edge"/>
          <c:x val="0.31345826209135319"/>
          <c:y val="0.900893392666021"/>
          <c:w val="0.42920328698725391"/>
          <c:h val="0.07441525731011396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accent1">
        <a:lumMod val="20000"/>
        <a:lumOff val="80000"/>
      </a:schemeClr>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pattFill prst="narVert">
              <a:fgClr>
                <a:schemeClr val="accent1"/>
              </a:fgClr>
              <a:bgClr>
                <a:schemeClr val="accent1">
                  <a:lumMod val="20000"/>
                  <a:lumOff val="80000"/>
                </a:schemeClr>
              </a:bgClr>
            </a:pattFill>
            <a:ln>
              <a:noFill/>
            </a:ln>
            <a:effectLst>
              <a:innerShdw blurRad="114300" dist="0" dir="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Лист1!$B$3:$B$5</c:f>
              <c:strCache>
                <c:ptCount val="3"/>
                <c:pt idx="0">
                  <c:v>І півр. 2024 року</c:v>
                </c:pt>
                <c:pt idx="1">
                  <c:v>І півр. 2025 року</c:v>
                </c:pt>
                <c:pt idx="2">
                  <c:v>І півр. 2026 року</c:v>
                </c:pt>
              </c:strCache>
            </c:strRef>
          </c:cat>
          <c:val>
            <c:numRef>
              <c:f>Лист1!$C$3:$C$5</c:f>
              <c:numCache>
                <c:formatCode>0.0</c:formatCode>
                <c:ptCount val="3"/>
                <c:pt idx="0">
                  <c:v>6166</c:v>
                </c:pt>
                <c:pt idx="1">
                  <c:v>6881</c:v>
                </c:pt>
                <c:pt idx="2">
                  <c:v>7807.02</c:v>
                </c:pt>
              </c:numCache>
            </c:numRef>
          </c:val>
          <c:extLst>
            <c:ext xmlns:c16="http://schemas.microsoft.com/office/drawing/2014/chart" uri="{C3380CC4-5D6E-409C-BE32-E72D297353CC}">
              <c16:uniqueId val="{00000000-9CA1-41ED-AABB-5A196CECB7E0}"/>
            </c:ext>
          </c:extLst>
        </c:ser>
        <c:dLbls>
          <c:showLegendKey val="0"/>
          <c:showVal val="0"/>
          <c:showCatName val="0"/>
          <c:showSerName val="0"/>
          <c:showPercent val="0"/>
          <c:showBubbleSize val="0"/>
        </c:dLbls>
        <c:gapWidth val="227"/>
        <c:overlap val="-48"/>
        <c:axId val="606752576"/>
        <c:axId val="606754656"/>
      </c:barChart>
      <c:catAx>
        <c:axId val="606752576"/>
        <c:scaling>
          <c:orientation val="minMax"/>
        </c:scaling>
        <c:delete val="0"/>
        <c:axPos val="l"/>
        <c:numFmt formatCode="General" sourceLinked="1"/>
        <c:majorTickMark val="none"/>
        <c:minorTickMark val="none"/>
        <c:tickLblPos val="nextTo"/>
        <c:spPr>
          <a:noFill/>
          <a:ln w="19050">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uk-UA"/>
          </a:p>
        </c:txPr>
        <c:crossAx val="606754656"/>
        <c:crosses val="autoZero"/>
        <c:auto val="1"/>
        <c:lblAlgn val="ctr"/>
        <c:lblOffset val="100"/>
        <c:noMultiLvlLbl val="0"/>
      </c:catAx>
      <c:valAx>
        <c:axId val="606754656"/>
        <c:scaling>
          <c:orientation val="minMax"/>
        </c:scaling>
        <c:delete val="1"/>
        <c:axPos val="b"/>
        <c:numFmt formatCode="0.0" sourceLinked="1"/>
        <c:majorTickMark val="none"/>
        <c:minorTickMark val="none"/>
        <c:tickLblPos val="nextTo"/>
        <c:crossAx val="606752576"/>
        <c:crosses val="autoZero"/>
        <c:crossBetween val="between"/>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Лист1!$B$3</c:f>
              <c:strCache>
                <c:ptCount val="1"/>
                <c:pt idx="0">
                  <c:v>Надання пільг з оплати житлово-комунальних послуг у вигляді щомісячної грошової компенсації</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Лист1!$C$2:$D$2</c:f>
              <c:strCache>
                <c:ptCount val="2"/>
                <c:pt idx="0">
                  <c:v>І півр. 2025 року</c:v>
                </c:pt>
                <c:pt idx="1">
                  <c:v>І півр. 2026 року</c:v>
                </c:pt>
              </c:strCache>
            </c:strRef>
          </c:cat>
          <c:val>
            <c:numRef>
              <c:f>Лист1!$C$3:$D$3</c:f>
              <c:numCache>
                <c:formatCode>0.0</c:formatCode>
                <c:ptCount val="2"/>
                <c:pt idx="0">
                  <c:v>700.6</c:v>
                </c:pt>
                <c:pt idx="1">
                  <c:v>1041.7</c:v>
                </c:pt>
              </c:numCache>
            </c:numRef>
          </c:val>
          <c:extLst>
            <c:ext xmlns:c16="http://schemas.microsoft.com/office/drawing/2014/chart" uri="{C3380CC4-5D6E-409C-BE32-E72D297353CC}">
              <c16:uniqueId val="{00000000-15F1-4133-9382-DF62683F5930}"/>
            </c:ext>
          </c:extLst>
        </c:ser>
        <c:ser>
          <c:idx val="1"/>
          <c:order val="1"/>
          <c:tx>
            <c:strRef>
              <c:f>Лист1!$B$4</c:f>
              <c:strCache>
                <c:ptCount val="1"/>
                <c:pt idx="0">
                  <c:v>Надання одноразової грошової допомоги</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Лист1!$C$2:$D$2</c:f>
              <c:strCache>
                <c:ptCount val="2"/>
                <c:pt idx="0">
                  <c:v>І півр. 2025 року</c:v>
                </c:pt>
                <c:pt idx="1">
                  <c:v>І півр. 2026 року</c:v>
                </c:pt>
              </c:strCache>
            </c:strRef>
          </c:cat>
          <c:val>
            <c:numRef>
              <c:f>Лист1!$C$4:$D$4</c:f>
              <c:numCache>
                <c:formatCode>0.0</c:formatCode>
                <c:ptCount val="2"/>
                <c:pt idx="0">
                  <c:v>2100</c:v>
                </c:pt>
                <c:pt idx="1">
                  <c:v>2400</c:v>
                </c:pt>
              </c:numCache>
            </c:numRef>
          </c:val>
          <c:extLst>
            <c:ext xmlns:c16="http://schemas.microsoft.com/office/drawing/2014/chart" uri="{C3380CC4-5D6E-409C-BE32-E72D297353CC}">
              <c16:uniqueId val="{00000001-15F1-4133-9382-DF62683F5930}"/>
            </c:ext>
          </c:extLst>
        </c:ser>
        <c:ser>
          <c:idx val="2"/>
          <c:order val="2"/>
          <c:tx>
            <c:strRef>
              <c:f>Лист1!$B$5</c:f>
              <c:strCache>
                <c:ptCount val="1"/>
                <c:pt idx="0">
                  <c:v>Надання грошової допомоги на лікування та реабілітацію </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Лист1!$C$2:$D$2</c:f>
              <c:strCache>
                <c:ptCount val="2"/>
                <c:pt idx="0">
                  <c:v>І півр. 2025 року</c:v>
                </c:pt>
                <c:pt idx="1">
                  <c:v>І півр. 2026 року</c:v>
                </c:pt>
              </c:strCache>
            </c:strRef>
          </c:cat>
          <c:val>
            <c:numRef>
              <c:f>Лист1!$C$5:$D$5</c:f>
              <c:numCache>
                <c:formatCode>0.0</c:formatCode>
                <c:ptCount val="2"/>
                <c:pt idx="0">
                  <c:v>2320</c:v>
                </c:pt>
                <c:pt idx="1">
                  <c:v>2160</c:v>
                </c:pt>
              </c:numCache>
            </c:numRef>
          </c:val>
          <c:extLst>
            <c:ext xmlns:c16="http://schemas.microsoft.com/office/drawing/2014/chart" uri="{C3380CC4-5D6E-409C-BE32-E72D297353CC}">
              <c16:uniqueId val="{00000002-15F1-4133-9382-DF62683F5930}"/>
            </c:ext>
          </c:extLst>
        </c:ser>
        <c:ser>
          <c:idx val="3"/>
          <c:order val="3"/>
          <c:tx>
            <c:strRef>
              <c:f>Лист1!$B$6</c:f>
              <c:strCache>
                <c:ptCount val="1"/>
                <c:pt idx="0">
                  <c:v>Забезпечення санаторно-курортним лікуванням</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Лист1!$C$2:$D$2</c:f>
              <c:strCache>
                <c:ptCount val="2"/>
                <c:pt idx="0">
                  <c:v>І півр. 2025 року</c:v>
                </c:pt>
                <c:pt idx="1">
                  <c:v>І півр. 2026 року</c:v>
                </c:pt>
              </c:strCache>
            </c:strRef>
          </c:cat>
          <c:val>
            <c:numRef>
              <c:f>Лист1!$C$6:$D$6</c:f>
              <c:numCache>
                <c:formatCode>0.0</c:formatCode>
                <c:ptCount val="2"/>
                <c:pt idx="0">
                  <c:v>428.7</c:v>
                </c:pt>
                <c:pt idx="1">
                  <c:v>605</c:v>
                </c:pt>
              </c:numCache>
            </c:numRef>
          </c:val>
          <c:extLst>
            <c:ext xmlns:c16="http://schemas.microsoft.com/office/drawing/2014/chart" uri="{C3380CC4-5D6E-409C-BE32-E72D297353CC}">
              <c16:uniqueId val="{00000003-15F1-4133-9382-DF62683F5930}"/>
            </c:ext>
          </c:extLst>
        </c:ser>
        <c:dLbls>
          <c:showLegendKey val="0"/>
          <c:showVal val="0"/>
          <c:showCatName val="0"/>
          <c:showSerName val="0"/>
          <c:showPercent val="0"/>
          <c:showBubbleSize val="0"/>
        </c:dLbls>
        <c:gapWidth val="182"/>
        <c:axId val="1220856480"/>
        <c:axId val="1220854400"/>
      </c:barChart>
      <c:catAx>
        <c:axId val="1220856480"/>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20854400"/>
        <c:crosses val="autoZero"/>
        <c:auto val="1"/>
        <c:lblAlgn val="ctr"/>
        <c:lblOffset val="100"/>
        <c:noMultiLvlLbl val="0"/>
      </c:catAx>
      <c:valAx>
        <c:axId val="1220854400"/>
        <c:scaling>
          <c:orientation val="minMax"/>
        </c:scaling>
        <c:delete val="0"/>
        <c:axPos val="b"/>
        <c:majorGridlines>
          <c:spPr>
            <a:ln w="9525">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20856480"/>
        <c:crosses val="autoZero"/>
        <c:crossBetween val="between"/>
      </c:valAx>
      <c:spPr>
        <a:noFill/>
        <a:ln>
          <a:noFill/>
        </a:ln>
        <a:effectLst/>
      </c:spPr>
    </c:plotArea>
    <c:legend>
      <c:legendPos val="r"/>
      <c:layout>
        <c:manualLayout>
          <c:xMode val="edge"/>
          <c:yMode val="edge"/>
          <c:x val="0.64611872146118721"/>
          <c:y val="0.1419661011789661"/>
          <c:w val="0.34018264840182649"/>
          <c:h val="0.8083247833327221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baseline="0"/>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Лист1!$B$3</c:f>
              <c:strCache>
                <c:ptCount val="1"/>
                <c:pt idx="0">
                  <c:v>лікарі</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Лист1!$A$4:$A$6</c:f>
              <c:strCache>
                <c:ptCount val="3"/>
                <c:pt idx="0">
                  <c:v>КНТ БКЛЛ</c:v>
                </c:pt>
                <c:pt idx="1">
                  <c:v>КНТ БМЦЛМСД</c:v>
                </c:pt>
                <c:pt idx="2">
                  <c:v>КНТ БСП</c:v>
                </c:pt>
              </c:strCache>
            </c:strRef>
          </c:cat>
          <c:val>
            <c:numRef>
              <c:f>Лист1!$B$4:$B$6</c:f>
              <c:numCache>
                <c:formatCode>General</c:formatCode>
                <c:ptCount val="3"/>
                <c:pt idx="0">
                  <c:v>264</c:v>
                </c:pt>
                <c:pt idx="1">
                  <c:v>100</c:v>
                </c:pt>
                <c:pt idx="2">
                  <c:v>29</c:v>
                </c:pt>
              </c:numCache>
            </c:numRef>
          </c:val>
          <c:extLst>
            <c:ext xmlns:c16="http://schemas.microsoft.com/office/drawing/2014/chart" uri="{C3380CC4-5D6E-409C-BE32-E72D297353CC}">
              <c16:uniqueId val="{00000000-7ABC-42A8-A18A-0A39CE0F9FFC}"/>
            </c:ext>
          </c:extLst>
        </c:ser>
        <c:ser>
          <c:idx val="1"/>
          <c:order val="1"/>
          <c:tx>
            <c:strRef>
              <c:f>Лист1!$C$3</c:f>
              <c:strCache>
                <c:ptCount val="1"/>
                <c:pt idx="0">
                  <c:v>середній медичний персонал</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Лист1!$A$4:$A$6</c:f>
              <c:strCache>
                <c:ptCount val="3"/>
                <c:pt idx="0">
                  <c:v>КНТ БКЛЛ</c:v>
                </c:pt>
                <c:pt idx="1">
                  <c:v>КНТ БМЦЛМСД</c:v>
                </c:pt>
                <c:pt idx="2">
                  <c:v>КНТ БСП</c:v>
                </c:pt>
              </c:strCache>
            </c:strRef>
          </c:cat>
          <c:val>
            <c:numRef>
              <c:f>Лист1!$C$4:$C$6</c:f>
              <c:numCache>
                <c:formatCode>General</c:formatCode>
                <c:ptCount val="3"/>
                <c:pt idx="0">
                  <c:v>377</c:v>
                </c:pt>
                <c:pt idx="1">
                  <c:v>120</c:v>
                </c:pt>
                <c:pt idx="2">
                  <c:v>28</c:v>
                </c:pt>
              </c:numCache>
            </c:numRef>
          </c:val>
          <c:extLst>
            <c:ext xmlns:c16="http://schemas.microsoft.com/office/drawing/2014/chart" uri="{C3380CC4-5D6E-409C-BE32-E72D297353CC}">
              <c16:uniqueId val="{00000001-7ABC-42A8-A18A-0A39CE0F9FFC}"/>
            </c:ext>
          </c:extLst>
        </c:ser>
        <c:dLbls>
          <c:showLegendKey val="0"/>
          <c:showVal val="0"/>
          <c:showCatName val="0"/>
          <c:showSerName val="0"/>
          <c:showPercent val="0"/>
          <c:showBubbleSize val="0"/>
        </c:dLbls>
        <c:gapWidth val="219"/>
        <c:overlap val="-27"/>
        <c:axId val="1062995008"/>
        <c:axId val="1062990432"/>
      </c:barChart>
      <c:catAx>
        <c:axId val="106299500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062990432"/>
        <c:crosses val="autoZero"/>
        <c:auto val="1"/>
        <c:lblAlgn val="ctr"/>
        <c:lblOffset val="100"/>
        <c:noMultiLvlLbl val="0"/>
      </c:catAx>
      <c:valAx>
        <c:axId val="106299043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0629950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lumMod val="95000"/>
      </a:schemeClr>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0"/>
      <c:rotY val="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084803149606299214"/>
          <c:y val="0.07407407407407407"/>
          <c:w val="0.89019685039370078"/>
          <c:h val="0.8416746864975212"/>
        </c:manualLayout>
      </c:layout>
      <c:bar3DChart>
        <c:barDir val="col"/>
        <c:grouping val="clustered"/>
        <c:varyColors val="0"/>
        <c:ser>
          <c:idx val="0"/>
          <c:order val="0"/>
          <c:spPr>
            <a:solidFill>
              <a:schemeClr val="accent5">
                <a:lumMod val="40000"/>
                <a:lumOff val="60000"/>
              </a:schemeClr>
            </a:solidFill>
            <a:ln>
              <a:solidFill>
                <a:schemeClr val="accent1"/>
              </a:solidFill>
            </a:ln>
            <a:effectLst/>
            <a:sp3d>
              <a:contourClr>
                <a:schemeClr val="accent1"/>
              </a:contourClr>
            </a:sp3d>
          </c:spPr>
          <c:invertIfNegative val="0"/>
          <c:dLbls>
            <c:dLbl>
              <c:idx val="0"/>
              <c:layout>
                <c:manualLayout>
                  <c:x val="0"/>
                  <c:y val="-0.07870370370370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8AB-4AA9-826B-FB762DB5ABA4}"/>
                </c:ext>
              </c:extLst>
            </c:dLbl>
            <c:dLbl>
              <c:idx val="1"/>
              <c:layout>
                <c:manualLayout>
                  <c:x val="0.00833333333333313"/>
                  <c:y val="-0.03703703703703707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AB-4AA9-826B-FB762DB5ABA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Лист1!$F$65:$G$65</c:f>
              <c:strCache>
                <c:ptCount val="2"/>
                <c:pt idx="0">
                  <c:v>І півр. 2025 року</c:v>
                </c:pt>
                <c:pt idx="1">
                  <c:v>І півр. 2026 року</c:v>
                </c:pt>
              </c:strCache>
            </c:strRef>
          </c:cat>
          <c:val>
            <c:numRef>
              <c:f>Лист1!$F$66:$G$66</c:f>
              <c:numCache>
                <c:formatCode>General</c:formatCode>
                <c:ptCount val="2"/>
                <c:pt idx="0">
                  <c:v>425</c:v>
                </c:pt>
                <c:pt idx="1">
                  <c:v>571</c:v>
                </c:pt>
              </c:numCache>
            </c:numRef>
          </c:val>
          <c:extLst>
            <c:ext xmlns:c16="http://schemas.microsoft.com/office/drawing/2014/chart" uri="{C3380CC4-5D6E-409C-BE32-E72D297353CC}">
              <c16:uniqueId val="{00000002-E8AB-4AA9-826B-FB762DB5ABA4}"/>
            </c:ext>
          </c:extLst>
        </c:ser>
        <c:dLbls>
          <c:showLegendKey val="0"/>
          <c:showVal val="1"/>
          <c:showCatName val="0"/>
          <c:showSerName val="0"/>
          <c:showPercent val="0"/>
          <c:showBubbleSize val="0"/>
        </c:dLbls>
        <c:gapWidth val="160"/>
        <c:gapDepth val="0"/>
        <c:shape val="box"/>
        <c:axId val="642081520"/>
        <c:axId val="642079440"/>
        <c:axId val="0"/>
      </c:bar3DChart>
      <c:catAx>
        <c:axId val="642081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42079440"/>
        <c:crosses val="autoZero"/>
        <c:auto val="1"/>
        <c:lblAlgn val="ctr"/>
        <c:lblOffset val="100"/>
        <c:noMultiLvlLbl val="0"/>
      </c:catAx>
      <c:valAx>
        <c:axId val="6420794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42081520"/>
        <c:crosses val="autoZero"/>
        <c:crossBetween val="between"/>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Лист1!$E$37</c:f>
              <c:strCache>
                <c:ptCount val="1"/>
                <c:pt idx="0">
                  <c:v>І півр. 2025 року</c:v>
                </c:pt>
              </c:strCache>
            </c:strRef>
          </c:tx>
          <c:spPr>
            <a:gradFill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Лист1!$F$37</c:f>
              <c:numCache>
                <c:formatCode>General</c:formatCode>
                <c:ptCount val="1"/>
                <c:pt idx="0">
                  <c:v>93</c:v>
                </c:pt>
              </c:numCache>
            </c:numRef>
          </c:val>
          <c:extLst>
            <c:ext xmlns:c16="http://schemas.microsoft.com/office/drawing/2014/chart" uri="{C3380CC4-5D6E-409C-BE32-E72D297353CC}">
              <c16:uniqueId val="{00000000-F25D-43ED-8A0A-0BE573C51B6D}"/>
            </c:ext>
          </c:extLst>
        </c:ser>
        <c:ser>
          <c:idx val="1"/>
          <c:order val="1"/>
          <c:tx>
            <c:strRef>
              <c:f>Лист1!$E$38</c:f>
              <c:strCache>
                <c:ptCount val="1"/>
                <c:pt idx="0">
                  <c:v>І півр. 2026 року</c:v>
                </c:pt>
              </c:strCache>
            </c:strRef>
          </c:tx>
          <c:spPr>
            <a:gradFill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Лист1!$F$38</c:f>
              <c:numCache>
                <c:formatCode>General</c:formatCode>
                <c:ptCount val="1"/>
                <c:pt idx="0">
                  <c:v>123</c:v>
                </c:pt>
              </c:numCache>
            </c:numRef>
          </c:val>
          <c:extLst>
            <c:ext xmlns:c16="http://schemas.microsoft.com/office/drawing/2014/chart" uri="{C3380CC4-5D6E-409C-BE32-E72D297353CC}">
              <c16:uniqueId val="{00000001-F25D-43ED-8A0A-0BE573C51B6D}"/>
            </c:ext>
          </c:extLst>
        </c:ser>
        <c:dLbls>
          <c:showLegendKey val="0"/>
          <c:showVal val="0"/>
          <c:showCatName val="0"/>
          <c:showSerName val="0"/>
          <c:showPercent val="0"/>
          <c:showBubbleSize val="0"/>
        </c:dLbls>
        <c:gapWidth val="326"/>
        <c:overlap val="-58"/>
        <c:axId val="484002543"/>
        <c:axId val="484005039"/>
      </c:barChart>
      <c:catAx>
        <c:axId val="484002543"/>
        <c:scaling>
          <c:orientation val="minMax"/>
        </c:scaling>
        <c:delete val="0"/>
        <c:axPos val="l"/>
        <c:numFmt formatCode="General" sourceLinked="1"/>
        <c:majorTickMark val="none"/>
        <c:minorTickMark val="none"/>
        <c:tickLblPos val="nextTo"/>
        <c:spPr>
          <a:noFill/>
          <a:ln w="19050">
            <a:solidFill>
              <a:schemeClr val="tx1">
                <a:lumMod val="15000"/>
                <a:lumOff val="85000"/>
              </a:schemeClr>
            </a:solidFill>
            <a:round/>
            <a:headEnd w="sm" len="sm"/>
            <a:tailEnd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84005039"/>
        <c:crosses val="autoZero"/>
        <c:auto val="1"/>
        <c:lblAlgn val="ctr"/>
        <c:lblOffset val="100"/>
        <c:noMultiLvlLbl val="0"/>
      </c:catAx>
      <c:valAx>
        <c:axId val="484005039"/>
        <c:scaling>
          <c:orientation val="minMax"/>
        </c:scaling>
        <c:delete val="0"/>
        <c:axPos val="b"/>
        <c:majorGridlines>
          <c:spPr>
            <a:ln w="9525">
              <a:gradFill rotWithShape="1">
                <a:gsLst>
                  <a:gs pos="99000">
                    <a:schemeClr val="tx1">
                      <a:lumMod val="25000"/>
                      <a:lumOff val="75000"/>
                    </a:schemeClr>
                  </a:gs>
                  <a:gs pos="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8400254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Лист1!$E$6</c:f>
              <c:strCache>
                <c:ptCount val="1"/>
                <c:pt idx="0">
                  <c:v>І півр. 2025 року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val>
            <c:numRef>
              <c:f>Лист1!$F$6</c:f>
              <c:numCache>
                <c:formatCode>General</c:formatCode>
                <c:ptCount val="1"/>
                <c:pt idx="0">
                  <c:v>1550.3</c:v>
                </c:pt>
              </c:numCache>
            </c:numRef>
          </c:val>
          <c:extLst>
            <c:ext xmlns:c16="http://schemas.microsoft.com/office/drawing/2014/chart" uri="{C3380CC4-5D6E-409C-BE32-E72D297353CC}">
              <c16:uniqueId val="{00000000-9BA7-427A-B2E0-D34248B1B145}"/>
            </c:ext>
          </c:extLst>
        </c:ser>
        <c:ser>
          <c:idx val="1"/>
          <c:order val="1"/>
          <c:tx>
            <c:strRef>
              <c:f>Лист1!$E$7</c:f>
              <c:strCache>
                <c:ptCount val="1"/>
                <c:pt idx="0">
                  <c:v>І півр. 2026 року</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val>
            <c:numRef>
              <c:f>Лист1!$F$7</c:f>
              <c:numCache>
                <c:formatCode>General</c:formatCode>
                <c:ptCount val="1"/>
                <c:pt idx="0">
                  <c:v>2315.3</c:v>
                </c:pt>
              </c:numCache>
            </c:numRef>
          </c:val>
          <c:extLst>
            <c:ext xmlns:c16="http://schemas.microsoft.com/office/drawing/2014/chart" uri="{C3380CC4-5D6E-409C-BE32-E72D297353CC}">
              <c16:uniqueId val="{00000001-9BA7-427A-B2E0-D34248B1B145}"/>
            </c:ext>
          </c:extLst>
        </c:ser>
        <c:dLbls>
          <c:dLblPos val="outEnd"/>
          <c:showLegendKey val="0"/>
          <c:showVal val="1"/>
          <c:showCatName val="0"/>
          <c:showSerName val="0"/>
          <c:showPercent val="0"/>
          <c:showBubbleSize val="0"/>
        </c:dLbls>
        <c:gapWidth val="267"/>
        <c:overlap val="-43"/>
        <c:axId val="1377078000"/>
        <c:axId val="1377075504"/>
      </c:barChart>
      <c:catAx>
        <c:axId val="1377078000"/>
        <c:scaling>
          <c:orientation val="minMax"/>
        </c:scaling>
        <c:delete val="0"/>
        <c:axPos val="b"/>
        <c:majorGridlines>
          <c:spPr>
            <a:ln w="9525">
              <a:solidFill>
                <a:schemeClr val="dk1">
                  <a:lumMod val="15000"/>
                  <a:lumOff val="85000"/>
                </a:schemeClr>
              </a:solidFill>
              <a:round/>
            </a:ln>
            <a:effectLst/>
          </c:spPr>
        </c:majorGridlines>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uk-UA"/>
          </a:p>
        </c:txPr>
        <c:crossAx val="1377075504"/>
        <c:crosses val="autoZero"/>
        <c:auto val="1"/>
        <c:lblAlgn val="ctr"/>
        <c:lblOffset val="100"/>
        <c:noMultiLvlLbl val="0"/>
      </c:catAx>
      <c:valAx>
        <c:axId val="1377075504"/>
        <c:scaling>
          <c:orientation val="minMax"/>
        </c:scaling>
        <c:delete val="0"/>
        <c:axPos val="l"/>
        <c:majorGridlines>
          <c:spPr>
            <a:ln w="9525">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uk-UA"/>
          </a:p>
        </c:txPr>
        <c:crossAx val="1377078000"/>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uk-UA"/>
        </a:p>
      </c:txPr>
    </c:legend>
    <c:plotVisOnly val="1"/>
    <c:dispBlanksAs val="gap"/>
    <c:showDLblsOverMax val="0"/>
  </c:chart>
  <c:spPr>
    <a:solidFill>
      <a:schemeClr val="lt1"/>
    </a:solidFill>
    <a:ln w="9525">
      <a:solidFill>
        <a:schemeClr val="dk1">
          <a:lumMod val="15000"/>
          <a:lumOff val="85000"/>
        </a:schemeClr>
      </a:solidFill>
      <a:round/>
    </a:ln>
    <a:effectLst/>
  </c:spPr>
  <c:txPr>
    <a:bodyPr/>
    <a:lstStyle/>
    <a:p>
      <a:pPr>
        <a:defRPr/>
      </a:pPr>
      <a:endParaRPr lang="uk-UA"/>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Лист1!$B$21</c:f>
              <c:strCache>
                <c:ptCount val="1"/>
                <c:pt idx="0">
                  <c:v>кількість безробітних, осіб</c:v>
                </c:pt>
              </c:strCache>
            </c:strRef>
          </c:tx>
          <c:spPr>
            <a:solidFill>
              <a:schemeClr val="accent5">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Лист1!$C$20:$D$20</c:f>
              <c:strCache>
                <c:ptCount val="2"/>
                <c:pt idx="0">
                  <c:v>І півр. 2025 року</c:v>
                </c:pt>
                <c:pt idx="1">
                  <c:v>І півр. 2026 року</c:v>
                </c:pt>
              </c:strCache>
            </c:strRef>
          </c:cat>
          <c:val>
            <c:numRef>
              <c:f>Лист1!$C$21:$D$21</c:f>
              <c:numCache>
                <c:formatCode>General</c:formatCode>
                <c:ptCount val="2"/>
                <c:pt idx="0">
                  <c:v>261</c:v>
                </c:pt>
                <c:pt idx="1">
                  <c:v>230</c:v>
                </c:pt>
              </c:numCache>
            </c:numRef>
          </c:val>
          <c:extLst>
            <c:ext xmlns:c16="http://schemas.microsoft.com/office/drawing/2014/chart" uri="{C3380CC4-5D6E-409C-BE32-E72D297353CC}">
              <c16:uniqueId val="{00000000-6CCE-4DFE-A909-AAC9FF509CB9}"/>
            </c:ext>
          </c:extLst>
        </c:ser>
        <c:ser>
          <c:idx val="1"/>
          <c:order val="1"/>
          <c:tx>
            <c:strRef>
              <c:f>Лист1!$B$22</c:f>
              <c:strCache>
                <c:ptCount val="1"/>
                <c:pt idx="0">
                  <c:v>кількість працевлаштованих, осіб</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Лист1!$C$20:$D$20</c:f>
              <c:strCache>
                <c:ptCount val="2"/>
                <c:pt idx="0">
                  <c:v>І півр. 2025 року</c:v>
                </c:pt>
                <c:pt idx="1">
                  <c:v>І півр. 2026 року</c:v>
                </c:pt>
              </c:strCache>
            </c:strRef>
          </c:cat>
          <c:val>
            <c:numRef>
              <c:f>Лист1!$C$22:$D$22</c:f>
              <c:numCache>
                <c:formatCode>General</c:formatCode>
                <c:ptCount val="2"/>
                <c:pt idx="0">
                  <c:v>161</c:v>
                </c:pt>
                <c:pt idx="1">
                  <c:v>196</c:v>
                </c:pt>
              </c:numCache>
            </c:numRef>
          </c:val>
          <c:extLst>
            <c:ext xmlns:c16="http://schemas.microsoft.com/office/drawing/2014/chart" uri="{C3380CC4-5D6E-409C-BE32-E72D297353CC}">
              <c16:uniqueId val="{00000001-6CCE-4DFE-A909-AAC9FF509CB9}"/>
            </c:ext>
          </c:extLst>
        </c:ser>
        <c:ser>
          <c:idx val="2"/>
          <c:order val="2"/>
          <c:tx>
            <c:strRef>
              <c:f>Лист1!$B$23</c:f>
              <c:strCache>
                <c:ptCount val="1"/>
                <c:pt idx="0">
                  <c:v>загальна кількість вакансій</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Лист1!$C$20:$D$20</c:f>
              <c:strCache>
                <c:ptCount val="2"/>
                <c:pt idx="0">
                  <c:v>І півр. 2025 року</c:v>
                </c:pt>
                <c:pt idx="1">
                  <c:v>І півр. 2026 року</c:v>
                </c:pt>
              </c:strCache>
            </c:strRef>
          </c:cat>
          <c:val>
            <c:numRef>
              <c:f>Лист1!$C$23:$D$23</c:f>
              <c:numCache>
                <c:formatCode>General</c:formatCode>
                <c:ptCount val="2"/>
                <c:pt idx="0">
                  <c:v>957</c:v>
                </c:pt>
                <c:pt idx="1">
                  <c:v>1890</c:v>
                </c:pt>
              </c:numCache>
            </c:numRef>
          </c:val>
          <c:extLst>
            <c:ext xmlns:c16="http://schemas.microsoft.com/office/drawing/2014/chart" uri="{C3380CC4-5D6E-409C-BE32-E72D297353CC}">
              <c16:uniqueId val="{00000002-6CCE-4DFE-A909-AAC9FF509CB9}"/>
            </c:ext>
          </c:extLst>
        </c:ser>
        <c:dLbls>
          <c:showLegendKey val="0"/>
          <c:showVal val="0"/>
          <c:showCatName val="0"/>
          <c:showSerName val="0"/>
          <c:showPercent val="0"/>
          <c:showBubbleSize val="0"/>
        </c:dLbls>
        <c:gapWidth val="219"/>
        <c:overlap val="-27"/>
        <c:axId val="733447263"/>
        <c:axId val="733447679"/>
      </c:barChart>
      <c:catAx>
        <c:axId val="733447263"/>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uk-UA"/>
          </a:p>
        </c:txPr>
        <c:crossAx val="733447679"/>
        <c:crosses val="autoZero"/>
        <c:auto val="1"/>
        <c:lblAlgn val="ctr"/>
        <c:lblOffset val="100"/>
        <c:noMultiLvlLbl val="0"/>
      </c:catAx>
      <c:valAx>
        <c:axId val="733447679"/>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3344726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Лист1!$A$3</c:f>
              <c:strCache>
                <c:ptCount val="1"/>
                <c:pt idx="0">
                  <c:v>адміністративні послуги</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Лист1!$B$2:$D$2</c:f>
              <c:strCache>
                <c:ptCount val="3"/>
                <c:pt idx="0">
                  <c:v>І півр. 2024</c:v>
                </c:pt>
                <c:pt idx="1">
                  <c:v>І півр. 2025</c:v>
                </c:pt>
                <c:pt idx="2">
                  <c:v>І півр. 2026</c:v>
                </c:pt>
              </c:strCache>
            </c:strRef>
          </c:cat>
          <c:val>
            <c:numRef>
              <c:f>Лист1!$B$3:$D$3</c:f>
              <c:numCache>
                <c:formatCode>General</c:formatCode>
                <c:ptCount val="3"/>
                <c:pt idx="0">
                  <c:v>279</c:v>
                </c:pt>
                <c:pt idx="1">
                  <c:v>337</c:v>
                </c:pt>
                <c:pt idx="2">
                  <c:v>371</c:v>
                </c:pt>
              </c:numCache>
            </c:numRef>
          </c:val>
          <c:extLst>
            <c:ext xmlns:c16="http://schemas.microsoft.com/office/drawing/2014/chart" uri="{C3380CC4-5D6E-409C-BE32-E72D297353CC}">
              <c16:uniqueId val="{00000000-A637-4E6B-AAC5-CC9D31FA6A25}"/>
            </c:ext>
          </c:extLst>
        </c:ser>
        <c:ser>
          <c:idx val="1"/>
          <c:order val="1"/>
          <c:tx>
            <c:strRef>
              <c:f>Лист1!$A$4</c:f>
              <c:strCache>
                <c:ptCount val="1"/>
                <c:pt idx="0">
                  <c:v>в т.ч. електронні послуги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Лист1!$B$2:$D$2</c:f>
              <c:strCache>
                <c:ptCount val="3"/>
                <c:pt idx="0">
                  <c:v>І півр. 2024</c:v>
                </c:pt>
                <c:pt idx="1">
                  <c:v>І півр. 2025</c:v>
                </c:pt>
                <c:pt idx="2">
                  <c:v>І півр. 2026</c:v>
                </c:pt>
              </c:strCache>
            </c:strRef>
          </c:cat>
          <c:val>
            <c:numRef>
              <c:f>Лист1!$B$4:$D$4</c:f>
              <c:numCache>
                <c:formatCode>General</c:formatCode>
                <c:ptCount val="3"/>
                <c:pt idx="0">
                  <c:v>43</c:v>
                </c:pt>
                <c:pt idx="1">
                  <c:v>42</c:v>
                </c:pt>
                <c:pt idx="2">
                  <c:v>45</c:v>
                </c:pt>
              </c:numCache>
            </c:numRef>
          </c:val>
          <c:extLst>
            <c:ext xmlns:c16="http://schemas.microsoft.com/office/drawing/2014/chart" uri="{C3380CC4-5D6E-409C-BE32-E72D297353CC}">
              <c16:uniqueId val="{00000001-A637-4E6B-AAC5-CC9D31FA6A25}"/>
            </c:ext>
          </c:extLst>
        </c:ser>
        <c:dLbls>
          <c:showLegendKey val="0"/>
          <c:showVal val="0"/>
          <c:showCatName val="0"/>
          <c:showSerName val="0"/>
          <c:showPercent val="0"/>
          <c:showBubbleSize val="0"/>
        </c:dLbls>
        <c:gapWidth val="150"/>
        <c:overlap val="100"/>
        <c:axId val="1573307279"/>
        <c:axId val="1573300623"/>
      </c:barChart>
      <c:catAx>
        <c:axId val="1573307279"/>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uk-UA"/>
          </a:p>
        </c:txPr>
        <c:crossAx val="1573300623"/>
        <c:crosses val="autoZero"/>
        <c:auto val="1"/>
        <c:lblAlgn val="ctr"/>
        <c:lblOffset val="100"/>
        <c:noMultiLvlLbl val="0"/>
      </c:catAx>
      <c:valAx>
        <c:axId val="1573300623"/>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7330727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Лист1!$B$12:$B$25</c:f>
              <c:strCache>
                <c:ptCount val="14"/>
                <c:pt idx="0">
                  <c:v>Транспорт та водійські посвідчення </c:v>
                </c:pt>
                <c:pt idx="1">
                  <c:v>Будівництво</c:v>
                </c:pt>
                <c:pt idx="2">
                  <c:v>Соціальний захист сімей з дітьми </c:v>
                </c:pt>
                <c:pt idx="3">
                  <c:v>Акти цивільного стану </c:v>
                </c:pt>
                <c:pt idx="4">
                  <c:v>  Благоустрій</c:v>
                </c:pt>
                <c:pt idx="5">
                  <c:v> Реєстрація ВПО</c:v>
                </c:pt>
                <c:pt idx="6">
                  <c:v>Містобудування та архітектура </c:v>
                </c:pt>
                <c:pt idx="7">
                  <c:v>Землекористування</c:v>
                </c:pt>
                <c:pt idx="8">
                  <c:v>Реєстрація бізнесу</c:v>
                </c:pt>
                <c:pt idx="9">
                  <c:v>Виплати та субсидії (ПФУ)</c:v>
                </c:pt>
                <c:pt idx="10">
                  <c:v> Відстрочка </c:v>
                </c:pt>
                <c:pt idx="11">
                  <c:v>Оформлення паспортів</c:v>
                </c:pt>
                <c:pt idx="12">
                  <c:v> Реєстрація прав на нерухомість</c:v>
                </c:pt>
                <c:pt idx="13">
                  <c:v>Реєстрація місця проживання </c:v>
                </c:pt>
              </c:strCache>
            </c:strRef>
          </c:cat>
          <c:val>
            <c:numRef>
              <c:f>Лист1!$C$12:$C$25</c:f>
              <c:numCache>
                <c:formatCode>General</c:formatCode>
                <c:ptCount val="14"/>
                <c:pt idx="0">
                  <c:v>132</c:v>
                </c:pt>
                <c:pt idx="1">
                  <c:v>179</c:v>
                </c:pt>
                <c:pt idx="2">
                  <c:v>210</c:v>
                </c:pt>
                <c:pt idx="3">
                  <c:v>303</c:v>
                </c:pt>
                <c:pt idx="4">
                  <c:v>448</c:v>
                </c:pt>
                <c:pt idx="5">
                  <c:v>565</c:v>
                </c:pt>
                <c:pt idx="6">
                  <c:v>567</c:v>
                </c:pt>
                <c:pt idx="7">
                  <c:v>691</c:v>
                </c:pt>
                <c:pt idx="8" formatCode="#,##0">
                  <c:v>1144</c:v>
                </c:pt>
                <c:pt idx="9" formatCode="#,##0">
                  <c:v>1805</c:v>
                </c:pt>
                <c:pt idx="10" formatCode="#,##0">
                  <c:v>2157</c:v>
                </c:pt>
                <c:pt idx="11" formatCode="#,##0">
                  <c:v>2962</c:v>
                </c:pt>
                <c:pt idx="12" formatCode="#,##0">
                  <c:v>4523</c:v>
                </c:pt>
                <c:pt idx="13" formatCode="#,##0">
                  <c:v>12333</c:v>
                </c:pt>
              </c:numCache>
            </c:numRef>
          </c:val>
          <c:extLst>
            <c:ext xmlns:c16="http://schemas.microsoft.com/office/drawing/2014/chart" uri="{C3380CC4-5D6E-409C-BE32-E72D297353CC}">
              <c16:uniqueId val="{00000000-308B-42E6-8D27-C96B60CFCEAF}"/>
            </c:ext>
          </c:extLst>
        </c:ser>
        <c:dLbls>
          <c:showLegendKey val="0"/>
          <c:showVal val="0"/>
          <c:showCatName val="0"/>
          <c:showSerName val="0"/>
          <c:showPercent val="0"/>
          <c:showBubbleSize val="0"/>
        </c:dLbls>
        <c:gapWidth val="182"/>
        <c:axId val="1363930175"/>
        <c:axId val="1363932671"/>
      </c:barChart>
      <c:catAx>
        <c:axId val="1363930175"/>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uk-UA"/>
          </a:p>
        </c:txPr>
        <c:crossAx val="1363932671"/>
        <c:crosses val="autoZero"/>
        <c:auto val="1"/>
        <c:lblAlgn val="ctr"/>
        <c:lblOffset val="100"/>
        <c:noMultiLvlLbl val="0"/>
      </c:catAx>
      <c:valAx>
        <c:axId val="1363932671"/>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63930175"/>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Лист1!$C$33</c:f>
              <c:strCache>
                <c:ptCount val="1"/>
                <c:pt idx="0">
                  <c:v>2025 рік</c:v>
                </c:pt>
              </c:strCache>
            </c:strRef>
          </c:tx>
          <c:spPr>
            <a:solidFill>
              <a:schemeClr val="accent1"/>
            </a:solidFill>
            <a:ln>
              <a:noFill/>
            </a:ln>
            <a:effectLst/>
          </c:spPr>
          <c:invertIfNegative val="0"/>
          <c:dLbls>
            <c:dLbl>
              <c:idx val="0"/>
              <c:layout>
                <c:manualLayout>
                  <c:x val="0"/>
                  <c:y val="0.01438642371869581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C8-43C6-8709-CC32526DFA60}"/>
                </c:ext>
              </c:extLst>
            </c:dLbl>
            <c:dLbl>
              <c:idx val="1"/>
              <c:layout>
                <c:manualLayout>
                  <c:x val="0.0021937040693209681"/>
                  <c:y val="0.007166207112197617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C8-43C6-8709-CC32526DFA60}"/>
                </c:ext>
              </c:extLst>
            </c:dLbl>
            <c:dLbl>
              <c:idx val="2"/>
              <c:layout>
                <c:manualLayout>
                  <c:x val="-0.0043874081386420976"/>
                  <c:y val="-0.00727422610079883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C8-43C6-8709-CC32526DFA6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cat>
            <c:strRef>
              <c:f>Лист1!$B$34:$B$36</c:f>
              <c:strCache>
                <c:ptCount val="3"/>
                <c:pt idx="0">
                  <c:v>Кукурудза</c:v>
                </c:pt>
                <c:pt idx="1">
                  <c:v>Соняшник</c:v>
                </c:pt>
                <c:pt idx="2">
                  <c:v>Ріпак</c:v>
                </c:pt>
              </c:strCache>
            </c:strRef>
          </c:cat>
          <c:val>
            <c:numRef>
              <c:f>Лист1!$C$34:$C$36</c:f>
              <c:numCache>
                <c:formatCode>General</c:formatCode>
                <c:ptCount val="3"/>
                <c:pt idx="0">
                  <c:v>543</c:v>
                </c:pt>
                <c:pt idx="1">
                  <c:v>650</c:v>
                </c:pt>
                <c:pt idx="2">
                  <c:v>300</c:v>
                </c:pt>
              </c:numCache>
            </c:numRef>
          </c:val>
          <c:extLst>
            <c:ext xmlns:c16="http://schemas.microsoft.com/office/drawing/2014/chart" uri="{C3380CC4-5D6E-409C-BE32-E72D297353CC}">
              <c16:uniqueId val="{00000003-CDC8-43C6-8709-CC32526DFA60}"/>
            </c:ext>
          </c:extLst>
        </c:ser>
        <c:ser>
          <c:idx val="1"/>
          <c:order val="1"/>
          <c:tx>
            <c:strRef>
              <c:f>Лист1!$D$33</c:f>
              <c:strCache>
                <c:ptCount val="1"/>
                <c:pt idx="0">
                  <c:v>2026 рік</c:v>
                </c:pt>
              </c:strCache>
            </c:strRef>
          </c:tx>
          <c:spPr>
            <a:solidFill>
              <a:schemeClr val="accent2"/>
            </a:solidFill>
            <a:ln>
              <a:noFill/>
            </a:ln>
            <a:effectLst/>
          </c:spPr>
          <c:invertIfNegative val="0"/>
          <c:dLbls>
            <c:dLbl>
              <c:idx val="0"/>
              <c:layout>
                <c:manualLayout>
                  <c:x val="-0.0065811122079631459"/>
                  <c:y val="-0.003664117797549682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C8-43C6-8709-CC32526DFA60}"/>
                </c:ext>
              </c:extLst>
            </c:dLbl>
            <c:dLbl>
              <c:idx val="1"/>
              <c:layout>
                <c:manualLayout>
                  <c:x val="0"/>
                  <c:y val="0.007166207112197617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C8-43C6-8709-CC32526DFA60}"/>
                </c:ext>
              </c:extLst>
            </c:dLbl>
            <c:dLbl>
              <c:idx val="2"/>
              <c:layout>
                <c:manualLayout>
                  <c:x val="0"/>
                  <c:y val="0.00716620711219755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C8-43C6-8709-CC32526DFA6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cat>
            <c:strRef>
              <c:f>Лист1!$B$34:$B$36</c:f>
              <c:strCache>
                <c:ptCount val="3"/>
                <c:pt idx="0">
                  <c:v>Кукурудза</c:v>
                </c:pt>
                <c:pt idx="1">
                  <c:v>Соняшник</c:v>
                </c:pt>
                <c:pt idx="2">
                  <c:v>Ріпак</c:v>
                </c:pt>
              </c:strCache>
            </c:strRef>
          </c:cat>
          <c:val>
            <c:numRef>
              <c:f>Лист1!$D$34:$D$36</c:f>
              <c:numCache>
                <c:formatCode>General</c:formatCode>
                <c:ptCount val="3"/>
                <c:pt idx="0">
                  <c:v>710</c:v>
                </c:pt>
                <c:pt idx="1">
                  <c:v>522</c:v>
                </c:pt>
                <c:pt idx="2">
                  <c:v>338</c:v>
                </c:pt>
              </c:numCache>
            </c:numRef>
          </c:val>
          <c:extLst>
            <c:ext xmlns:c16="http://schemas.microsoft.com/office/drawing/2014/chart" uri="{C3380CC4-5D6E-409C-BE32-E72D297353CC}">
              <c16:uniqueId val="{00000007-CDC8-43C6-8709-CC32526DFA60}"/>
            </c:ext>
          </c:extLst>
        </c:ser>
        <c:dLbls>
          <c:dLblPos val="inEnd"/>
          <c:showLegendKey val="0"/>
          <c:showVal val="1"/>
          <c:showCatName val="0"/>
          <c:showSerName val="0"/>
          <c:showPercent val="0"/>
          <c:showBubbleSize val="0"/>
        </c:dLbls>
        <c:gapWidth val="267"/>
        <c:overlap val="-43"/>
        <c:axId val="1343195183"/>
        <c:axId val="1343254415"/>
      </c:barChart>
      <c:catAx>
        <c:axId val="1343195183"/>
        <c:scaling>
          <c:orientation val="minMax"/>
        </c:scaling>
        <c:delete val="0"/>
        <c:axPos val="b"/>
        <c:majorGridlines>
          <c:spPr>
            <a:ln w="9525">
              <a:solidFill>
                <a:schemeClr val="dk1">
                  <a:lumMod val="15000"/>
                  <a:lumOff val="85000"/>
                </a:schemeClr>
              </a:solidFill>
              <a:round/>
            </a:ln>
            <a:effectLst/>
          </c:spPr>
        </c:majorGridlines>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uk-UA"/>
          </a:p>
        </c:txPr>
        <c:crossAx val="1343254415"/>
        <c:crosses val="autoZero"/>
        <c:auto val="1"/>
        <c:lblAlgn val="ctr"/>
        <c:lblOffset val="100"/>
        <c:noMultiLvlLbl val="0"/>
      </c:catAx>
      <c:valAx>
        <c:axId val="1343254415"/>
        <c:scaling>
          <c:orientation val="minMax"/>
        </c:scaling>
        <c:delete val="0"/>
        <c:axPos val="l"/>
        <c:majorGridlines>
          <c:spPr>
            <a:ln w="9525">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uk-UA"/>
          </a:p>
        </c:txPr>
        <c:crossAx val="1343195183"/>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uk-UA"/>
        </a:p>
      </c:txPr>
    </c:legend>
    <c:plotVisOnly val="1"/>
    <c:dispBlanksAs val="gap"/>
    <c:showDLblsOverMax val="0"/>
  </c:chart>
  <c:spPr>
    <a:solidFill>
      <a:schemeClr val="lt1"/>
    </a:solidFill>
    <a:ln w="9525">
      <a:solidFill>
        <a:schemeClr val="dk1">
          <a:lumMod val="15000"/>
          <a:lumOff val="85000"/>
        </a:schemeClr>
      </a:solidFill>
      <a:round/>
    </a:ln>
    <a:effectLst/>
  </c:spPr>
  <c:txPr>
    <a:bodyPr/>
    <a:lstStyle/>
    <a:p>
      <a:pPr>
        <a:defRPr/>
      </a:pPr>
      <a:endParaRPr lang="uk-UA"/>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050" b="1">
                <a:solidFill>
                  <a:sysClr val="windowText" lastClr="000000"/>
                </a:solidFill>
                <a:latin typeface="Times New Roman" panose="02020603050405020304" pitchFamily="18" charset="0"/>
                <a:cs typeface="Times New Roman" panose="02020603050405020304" pitchFamily="18" charset="0"/>
              </a:rPr>
              <a:t>Галузева структура промисловості громади</a:t>
            </a:r>
          </a:p>
        </c:rich>
      </c:tx>
      <c:layout>
        <c:manualLayout>
          <c:xMode val="edge"/>
          <c:yMode val="edge"/>
          <c:x val="0.26200940568703424"/>
          <c:y val="0.017945715969177323"/>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0.076731762696329628"/>
          <c:y val="0.17977900556888754"/>
          <c:w val="0.40429656086803589"/>
          <c:h val="0.74415131341198659"/>
        </c:manualLayout>
      </c:layout>
      <c:doughnut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4E1-49CB-9182-0A2CA68E79D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4E1-49CB-9182-0A2CA68E79D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4E1-49CB-9182-0A2CA68E79D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4E1-49CB-9182-0A2CA68E79DF}"/>
              </c:ext>
            </c:extLst>
          </c:dPt>
          <c:dPt>
            <c:idx val="4"/>
            <c:bubble3D val="0"/>
            <c:spPr>
              <a:gradFill rotWithShape="1">
                <a:gsLst>
                  <a:gs pos="0">
                    <a:srgbClr val="7030A0">
                      <a:tint val="66000"/>
                      <a:satMod val="160000"/>
                    </a:srgbClr>
                  </a:gs>
                  <a:gs pos="50000">
                    <a:srgbClr val="7030A0">
                      <a:tint val="44500"/>
                      <a:satMod val="160000"/>
                    </a:srgbClr>
                  </a:gs>
                  <a:gs pos="100000">
                    <a:srgbClr val="7030A0">
                      <a:tint val="23500"/>
                      <a:satMod val="160000"/>
                    </a:srgbClr>
                  </a:gs>
                </a:gsLst>
                <a:lin ang="13500000" scaled="1"/>
              </a:gradFill>
              <a:ln w="19050">
                <a:solidFill>
                  <a:schemeClr val="lt1"/>
                </a:solidFill>
              </a:ln>
              <a:effectLst/>
            </c:spPr>
            <c:extLst>
              <c:ext xmlns:c16="http://schemas.microsoft.com/office/drawing/2014/chart" uri="{C3380CC4-5D6E-409C-BE32-E72D297353CC}">
                <c16:uniqueId val="{00000009-F4E1-49CB-9182-0A2CA68E79DF}"/>
              </c:ext>
            </c:extLst>
          </c:dPt>
          <c:dPt>
            <c:idx val="5"/>
            <c:bubble3D val="0"/>
            <c:spPr>
              <a:solidFill>
                <a:schemeClr val="bg2"/>
              </a:solidFill>
              <a:ln w="19050">
                <a:solidFill>
                  <a:schemeClr val="lt1"/>
                </a:solidFill>
              </a:ln>
              <a:effectLst/>
            </c:spPr>
            <c:extLst>
              <c:ext xmlns:c16="http://schemas.microsoft.com/office/drawing/2014/chart" uri="{C3380CC4-5D6E-409C-BE32-E72D297353CC}">
                <c16:uniqueId val="{0000000B-F4E1-49CB-9182-0A2CA68E79DF}"/>
              </c:ext>
            </c:extLst>
          </c:dPt>
          <c:dPt>
            <c:idx val="6"/>
            <c:bubble3D val="0"/>
            <c:spPr>
              <a:solidFill>
                <a:schemeClr val="accent5">
                  <a:lumMod val="40000"/>
                  <a:lumOff val="60000"/>
                </a:schemeClr>
              </a:solidFill>
              <a:ln w="19050">
                <a:solidFill>
                  <a:schemeClr val="lt1"/>
                </a:solidFill>
              </a:ln>
              <a:effectLst/>
            </c:spPr>
            <c:extLst>
              <c:ext xmlns:c16="http://schemas.microsoft.com/office/drawing/2014/chart" uri="{C3380CC4-5D6E-409C-BE32-E72D297353CC}">
                <c16:uniqueId val="{0000000D-F4E1-49CB-9182-0A2CA68E79DF}"/>
              </c:ext>
            </c:extLst>
          </c:dPt>
          <c:dPt>
            <c:idx val="7"/>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F-F4E1-49CB-9182-0A2CA68E79DF}"/>
              </c:ext>
            </c:extLst>
          </c:dPt>
          <c:dPt>
            <c:idx val="8"/>
            <c:bubble3D val="0"/>
            <c:spPr>
              <a:solidFill>
                <a:srgbClr val="92D050"/>
              </a:solidFill>
              <a:ln w="19050">
                <a:solidFill>
                  <a:schemeClr val="lt1"/>
                </a:solidFill>
              </a:ln>
              <a:effectLst/>
            </c:spPr>
            <c:extLst>
              <c:ext xmlns:c16="http://schemas.microsoft.com/office/drawing/2014/chart" uri="{C3380CC4-5D6E-409C-BE32-E72D297353CC}">
                <c16:uniqueId val="{00000011-F4E1-49CB-9182-0A2CA68E79DF}"/>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4E1-49CB-9182-0A2CA68E79DF}"/>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uk-UA"/>
              </a:p>
            </c:txPr>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'Для піврічного звіту '!$A$1:$A$10</c:f>
              <c:strCache>
                <c:ptCount val="10"/>
                <c:pt idx="0">
                  <c:v>Металургійне виробництво, виробництво готових металевих виробів, крім машин і устатковання  (29%)</c:v>
                </c:pt>
                <c:pt idx="1">
                  <c:v>Виробництво гумових і пластмасових виробів (12,8%)</c:v>
                </c:pt>
                <c:pt idx="2">
                  <c:v>Виробництво харчових продуктів, напоїв та тютюнових виробів (11,8%)</c:v>
                </c:pt>
                <c:pt idx="3">
                  <c:v>Машинобудування, ремонт машин та устаткування (11,8%)</c:v>
                </c:pt>
                <c:pt idx="4">
                  <c:v>Виготовлення виробів з деревини, паперу та поліграфічна діяльність, виробництво меблів (11,1%)</c:v>
                </c:pt>
                <c:pt idx="5">
                  <c:v>Текстильне виробництво, виробництво одягу, шкіри, виробів зі шкіри та інших матеріалів (7,1%)</c:v>
                </c:pt>
                <c:pt idx="6">
                  <c:v>Виробництво  іншої неметалевої мінеральної продукції (6,7%)</c:v>
                </c:pt>
                <c:pt idx="7">
                  <c:v>Виробництво основних фармацевтичних продуктів і фармацевтичних препаратів (3,7%)</c:v>
                </c:pt>
                <c:pt idx="8">
                  <c:v>Виробництво хімічних речовин і хімічної продукції (3,4%)</c:v>
                </c:pt>
                <c:pt idx="9">
                  <c:v>Виробництво іншої продукції (2,7%)</c:v>
                </c:pt>
              </c:strCache>
            </c:strRef>
          </c:cat>
          <c:val>
            <c:numRef>
              <c:f>'Для піврічного звіту '!$B$1:$B$10</c:f>
              <c:numCache>
                <c:formatCode>General</c:formatCode>
                <c:ptCount val="10"/>
                <c:pt idx="0">
                  <c:v>86</c:v>
                </c:pt>
                <c:pt idx="1">
                  <c:v>38</c:v>
                </c:pt>
                <c:pt idx="2">
                  <c:v>35</c:v>
                </c:pt>
                <c:pt idx="3">
                  <c:v>35</c:v>
                </c:pt>
                <c:pt idx="4">
                  <c:v>33</c:v>
                </c:pt>
                <c:pt idx="5">
                  <c:v>21</c:v>
                </c:pt>
                <c:pt idx="6">
                  <c:v>20</c:v>
                </c:pt>
                <c:pt idx="7">
                  <c:v>11</c:v>
                </c:pt>
                <c:pt idx="8">
                  <c:v>10</c:v>
                </c:pt>
                <c:pt idx="9">
                  <c:v>8</c:v>
                </c:pt>
              </c:numCache>
            </c:numRef>
          </c:val>
          <c:extLst>
            <c:ext xmlns:c16="http://schemas.microsoft.com/office/drawing/2014/chart" uri="{C3380CC4-5D6E-409C-BE32-E72D297353CC}">
              <c16:uniqueId val="{00000014-F4E1-49CB-9182-0A2CA68E79DF}"/>
            </c:ext>
          </c:extLst>
        </c:ser>
        <c:dLbls>
          <c:showLegendKey val="0"/>
          <c:showVal val="0"/>
          <c:showCatName val="0"/>
          <c:showSerName val="0"/>
          <c:showPercent val="0"/>
          <c:showBubbleSize val="0"/>
          <c:showLeaderLines val="1"/>
        </c:dLbls>
        <c:firstSliceAng val="0"/>
        <c:holeSize val="50"/>
      </c:doughnutChart>
      <c:spPr>
        <a:noFill/>
        <a:ln>
          <a:noFill/>
        </a:ln>
        <a:effectLst/>
      </c:spPr>
    </c:plotArea>
    <c:legend>
      <c:legendPos val="r"/>
      <c:layout>
        <c:manualLayout>
          <c:xMode val="edge"/>
          <c:yMode val="edge"/>
          <c:x val="0.52599552506917024"/>
          <c:y val="0.11050780966863455"/>
          <c:w val="0.44454720937660569"/>
          <c:h val="0.88949219033136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006013038384662898"/>
          <c:y val="0.19167926483636333"/>
          <c:w val="0.50659087054562"/>
          <c:h val="0.59057009082721379"/>
        </c:manualLayout>
      </c:layout>
      <c:pie3DChart>
        <c:varyColors val="1"/>
        <c:ser>
          <c:idx val="0"/>
          <c:order val="0"/>
          <c:explosion val="9"/>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DB2-499E-BB33-E2673F4EAFF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DB2-499E-BB33-E2673F4EAFF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DB2-499E-BB33-E2673F4EAFF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DB2-499E-BB33-E2673F4EAFF4}"/>
              </c:ext>
            </c:extLst>
          </c:dPt>
          <c:dPt>
            <c:idx val="4"/>
            <c:bubble3D val="0"/>
            <c:spPr>
              <a:solidFill>
                <a:srgbClr val="7030A0"/>
              </a:solidFill>
              <a:ln w="25400">
                <a:solidFill>
                  <a:schemeClr val="lt1"/>
                </a:solidFill>
              </a:ln>
              <a:effectLst/>
              <a:sp3d contourW="25400">
                <a:contourClr>
                  <a:schemeClr val="lt1"/>
                </a:contourClr>
              </a:sp3d>
            </c:spPr>
            <c:extLst>
              <c:ext xmlns:c16="http://schemas.microsoft.com/office/drawing/2014/chart" uri="{C3380CC4-5D6E-409C-BE32-E72D297353CC}">
                <c16:uniqueId val="{00000009-4DB2-499E-BB33-E2673F4EAFF4}"/>
              </c:ext>
            </c:extLst>
          </c:dPt>
          <c:dPt>
            <c:idx val="5"/>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B-4DB2-499E-BB33-E2673F4EAF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0"/>
            <c:showCatName val="0"/>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промисловість!$A$1:$A$6</c:f>
              <c:strCache>
                <c:ptCount val="6"/>
                <c:pt idx="0">
                  <c:v>Металургійне виробництво, виробництво готових металевих виробів, крім машин і устаткування (17%)</c:v>
                </c:pt>
                <c:pt idx="1">
                  <c:v>Виробництво  іншої неметалевої мінеральної продукції (30%)</c:v>
                </c:pt>
                <c:pt idx="2">
                  <c:v>Виробництво харчових продуктів, напоїв та тютюнових виробів (10%)</c:v>
                </c:pt>
                <c:pt idx="3">
                  <c:v>Машинобудування, ремонт і монтаж машин і устатковання (27%)</c:v>
                </c:pt>
                <c:pt idx="4">
                  <c:v>Виробництво гумових і пластмасових виробів (15%)</c:v>
                </c:pt>
                <c:pt idx="5">
                  <c:v>Текстильне виробництво, виробництво одягу, шкіри, виробів зі шкіри та інших матеріалів (1%)</c:v>
                </c:pt>
              </c:strCache>
            </c:strRef>
          </c:cat>
          <c:val>
            <c:numRef>
              <c:f>промисловість!$B$1:$B$6</c:f>
              <c:numCache>
                <c:formatCode>General</c:formatCode>
                <c:ptCount val="6"/>
                <c:pt idx="0">
                  <c:v>510.1</c:v>
                </c:pt>
                <c:pt idx="1">
                  <c:v>890</c:v>
                </c:pt>
                <c:pt idx="2">
                  <c:v>303</c:v>
                </c:pt>
                <c:pt idx="3">
                  <c:v>821</c:v>
                </c:pt>
                <c:pt idx="4">
                  <c:v>450</c:v>
                </c:pt>
                <c:pt idx="5">
                  <c:v>30</c:v>
                </c:pt>
              </c:numCache>
            </c:numRef>
          </c:val>
          <c:extLst>
            <c:ext xmlns:c16="http://schemas.microsoft.com/office/drawing/2014/chart" uri="{C3380CC4-5D6E-409C-BE32-E72D297353CC}">
              <c16:uniqueId val="{0000000C-4DB2-499E-BB33-E2673F4EAFF4}"/>
            </c:ext>
          </c:extLst>
        </c:ser>
        <c:dLbls>
          <c:showLegendKey val="0"/>
          <c:showVal val="0"/>
          <c:showCatName val="0"/>
          <c:showSerName val="0"/>
          <c:showPercent val="0"/>
          <c:showBubbleSize val="0"/>
          <c:showLeaderLines val="1"/>
        </c:dLbls>
      </c:pie3DChart>
      <c:spPr>
        <a:noFill/>
        <a:ln>
          <a:noFill/>
        </a:ln>
        <a:effectLst/>
      </c:spPr>
    </c:plotArea>
    <c:legend>
      <c:legendPos val="r"/>
      <c:layout>
        <c:manualLayout>
          <c:xMode val="edge"/>
          <c:yMode val="edge"/>
          <c:x val="0.53672304047233987"/>
          <c:y val="0.046575868117563042"/>
          <c:w val="0.46327695952766013"/>
          <c:h val="0.95342413188243691"/>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uk-UA"/>
        </a:p>
      </c:txPr>
    </c:legend>
    <c:plotVisOnly val="1"/>
    <c:dispBlanksAs val="zero"/>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pie3DChart>
        <c:varyColors val="1"/>
        <c:ser>
          <c:idx val="0"/>
          <c:order val="0"/>
          <c:tx>
            <c:strRef>
              <c:f>Аркуш1!$B$1</c:f>
              <c:strCache>
                <c:ptCount val="1"/>
                <c:pt idx="0">
                  <c:v>Продаж</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E177-48AE-9589-9838A133B51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E177-48AE-9589-9838A133B51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E177-48AE-9589-9838A133B51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E177-48AE-9589-9838A133B51A}"/>
              </c:ext>
            </c:extLst>
          </c:dPt>
          <c:dLbls>
            <c:dLbl>
              <c:idx val="0"/>
              <c:layout>
                <c:manualLayout>
                  <c:x val="0.04095113758448575"/>
                  <c:y val="-0.16036562453821959"/>
                </c:manualLayout>
              </c:layout>
              <c:tx>
                <c:rich>
                  <a:bodyPr rot="0" spcFirstLastPara="1" vertOverflow="ellipsis" vert="horz" wrap="square" lIns="38100" tIns="19050" rIns="38100" bIns="19050" anchor="ctr" anchorCtr="1">
                    <a:spAutoFit/>
                  </a:bodyPr>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6</a:t>
                    </a:r>
                  </a:p>
                </c:rich>
              </c:tx>
              <c:spPr>
                <a:noFill/>
                <a:ln w="25401">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177-48AE-9589-9838A133B51A}"/>
                </c:ext>
              </c:extLst>
            </c:dLbl>
            <c:dLbl>
              <c:idx val="1"/>
              <c:layout>
                <c:manualLayout>
                  <c:x val="-0.037617396271062004"/>
                  <c:y val="0.044013425935699055"/>
                </c:manualLayout>
              </c:layout>
              <c:tx>
                <c:rich>
                  <a:bodyPr rot="0" spcFirstLastPara="1" vertOverflow="ellipsis" vert="horz" wrap="square" lIns="38100" tIns="19050" rIns="38100" bIns="19050" anchor="ctr" anchorCtr="1">
                    <a:spAutoFit/>
                  </a:bodyPr>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600" b="1" baseline="0">
                        <a:solidFill>
                          <a:schemeClr val="tx1"/>
                        </a:solidFill>
                        <a:latin typeface="Times New Roman" panose="02020603050405020304" pitchFamily="18" charset="0"/>
                        <a:cs typeface="Times New Roman" panose="02020603050405020304" pitchFamily="18" charset="0"/>
                      </a:rPr>
                      <a:t>
3</a:t>
                    </a:r>
                    <a:endParaRPr lang="en-US" sz="1600" b="1">
                      <a:solidFill>
                        <a:schemeClr val="tx1"/>
                      </a:solidFill>
                      <a:latin typeface="Times New Roman" panose="02020603050405020304" pitchFamily="18" charset="0"/>
                      <a:cs typeface="Times New Roman" panose="02020603050405020304" pitchFamily="18" charset="0"/>
                    </a:endParaRPr>
                  </a:p>
                </c:rich>
              </c:tx>
              <c:spPr>
                <a:noFill/>
                <a:ln w="25401">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177-48AE-9589-9838A133B51A}"/>
                </c:ext>
              </c:extLst>
            </c:dLbl>
            <c:dLbl>
              <c:idx val="2"/>
              <c:layout>
                <c:manualLayout>
                  <c:x val="-0.13231800688126422"/>
                  <c:y val="0.010394122986637389"/>
                </c:manualLayout>
              </c:layout>
              <c:tx>
                <c:rich>
                  <a:bodyPr rot="0" spcFirstLastPara="1" vertOverflow="ellipsis" vert="horz" wrap="square" lIns="38100" tIns="19050" rIns="38100" bIns="19050" anchor="ctr" anchorCtr="1">
                    <a:spAutoFit/>
                  </a:bodyPr>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600" b="1" i="0">
                        <a:solidFill>
                          <a:schemeClr val="tx1"/>
                        </a:solidFill>
                        <a:latin typeface="Times New Roman" panose="02020603050405020304" pitchFamily="18" charset="0"/>
                        <a:cs typeface="Times New Roman" panose="02020603050405020304" pitchFamily="18" charset="0"/>
                      </a:rPr>
                      <a:t>1</a:t>
                    </a:r>
                  </a:p>
                </c:rich>
              </c:tx>
              <c:spPr>
                <a:noFill/>
                <a:ln w="25401">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177-48AE-9589-9838A133B51A}"/>
                </c:ext>
              </c:extLst>
            </c:dLbl>
            <c:spPr>
              <a:noFill/>
              <a:ln w="25401">
                <a:noFill/>
              </a:ln>
            </c:spPr>
            <c:txPr>
              <a:bodyPr rot="0" spcFirstLastPara="1" vertOverflow="ellipsis" vert="horz" wrap="square" lIns="38100" tIns="19050" rIns="38100" bIns="19050" anchor="ctr" anchorCtr="1">
                <a:spAutoFit/>
              </a:bodyPr>
              <a:lstStyle/>
              <a:p>
                <a:pPr>
                  <a:defRPr sz="16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0"/>
            <c:showCatName val="1"/>
            <c:showSerName val="0"/>
            <c:showPercent val="1"/>
            <c:showBubbleSize val="0"/>
            <c:showLeaderLines val="1"/>
            <c:leaderLines>
              <c:spPr>
                <a:ln w="9526">
                  <a:solidFill>
                    <a:schemeClr val="tx2">
                      <a:lumMod val="35000"/>
                      <a:lumOff val="65000"/>
                    </a:schemeClr>
                  </a:solidFill>
                </a:ln>
                <a:effectLst/>
              </c:spPr>
            </c:leaderLines>
            <c:extLst>
              <c:ext xmlns:c15="http://schemas.microsoft.com/office/drawing/2012/chart" uri="{CE6537A1-D6FC-4f65-9D91-7224C49458BB}"/>
            </c:extLst>
          </c:dLbls>
          <c:cat>
            <c:strRef>
              <c:f>Аркуш1!$A$2:$A$5</c:f>
              <c:strCache>
                <c:ptCount val="3"/>
                <c:pt idx="0">
                  <c:v>У сфері торгівлі, послуг та адімінстративних/офісних приміщень - 6</c:v>
                </c:pt>
                <c:pt idx="1">
                  <c:v>У сфері логістики - 3</c:v>
                </c:pt>
                <c:pt idx="2">
                  <c:v>У сфері промисловості - 1</c:v>
                </c:pt>
              </c:strCache>
            </c:strRef>
          </c:cat>
          <c:val>
            <c:numRef>
              <c:f>Аркуш1!$B$2:$B$5</c:f>
              <c:numCache>
                <c:formatCode>\О\с\н\о\в\н\о\й</c:formatCode>
                <c:ptCount val="4"/>
                <c:pt idx="0">
                  <c:v>6</c:v>
                </c:pt>
                <c:pt idx="1">
                  <c:v>3</c:v>
                </c:pt>
                <c:pt idx="2">
                  <c:v>1</c:v>
                </c:pt>
              </c:numCache>
            </c:numRef>
          </c:val>
          <c:extLst>
            <c:ext xmlns:c16="http://schemas.microsoft.com/office/drawing/2014/chart" uri="{C3380CC4-5D6E-409C-BE32-E72D297353CC}">
              <c16:uniqueId val="{00000008-E177-48AE-9589-9838A133B51A}"/>
            </c:ext>
          </c:extLst>
        </c:ser>
        <c:dLbls>
          <c:showLegendKey val="0"/>
          <c:showVal val="0"/>
          <c:showCatName val="0"/>
          <c:showSerName val="0"/>
          <c:showPercent val="0"/>
          <c:showBubbleSize val="0"/>
          <c:showLeaderLines val="1"/>
        </c:dLbls>
      </c:pie3DChart>
      <c:spPr>
        <a:noFill/>
        <a:ln w="25401">
          <a:noFill/>
        </a:ln>
      </c:spPr>
    </c:plotArea>
    <c:legend>
      <c:legendPos val="b"/>
      <c:legendEntry>
        <c:idx val="3"/>
        <c:delete val="1"/>
      </c:legendEntry>
      <c:layout/>
      <c:overlay val="0"/>
      <c:spPr>
        <a:noFill/>
        <a:ln w="25401">
          <a:noFill/>
        </a:ln>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6">
      <a:solidFill>
        <a:schemeClr val="tx2">
          <a:lumMod val="15000"/>
          <a:lumOff val="85000"/>
        </a:schemeClr>
      </a:solidFill>
      <a:round/>
    </a:ln>
    <a:effectLst/>
  </c:spPr>
  <c:txPr>
    <a:bodyPr/>
    <a:lstStyle/>
    <a:p>
      <a:pPr>
        <a:defRPr/>
      </a:pPr>
      <a:endParaRPr lang="uk-UA"/>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Аркуш1!$B$1</c:f>
              <c:strCache>
                <c:ptCount val="1"/>
                <c:pt idx="0">
                  <c:v>Стовпець1</c:v>
                </c:pt>
              </c:strCache>
            </c:strRef>
          </c:tx>
          <c:explosion val="4"/>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68F2-4890-ACCF-C1B0CF9F3AA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68F2-4890-ACCF-C1B0CF9F3AA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68F2-4890-ACCF-C1B0CF9F3AA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68F2-4890-ACCF-C1B0CF9F3AA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68F2-4890-ACCF-C1B0CF9F3AA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B-68F2-4890-ACCF-C1B0CF9F3AA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D-68F2-4890-ACCF-C1B0CF9F3AAE}"/>
              </c:ext>
            </c:extLst>
          </c:dPt>
          <c:dLbls>
            <c:dLbl>
              <c:idx val="0"/>
              <c:layout>
                <c:manualLayout>
                  <c:x val="0.026975301648444978"/>
                  <c:y val="-0.15068210771899126"/>
                </c:manualLayout>
              </c:layout>
              <c:tx>
                <c:rich>
                  <a:bodyPr rot="0" spcFirstLastPara="1" vertOverflow="ellipsis" vert="horz" wrap="square" lIns="38100" tIns="19050" rIns="38100" bIns="19050" anchor="ctr" anchorCtr="1"/>
                  <a:lstStyle/>
                  <a:p>
                    <a:pPr>
                      <a:defRPr sz="11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sz="1100" b="1">
                        <a:latin typeface="Times New Roman" panose="02020603050405020304" pitchFamily="18" charset="0"/>
                        <a:cs typeface="Times New Roman" panose="02020603050405020304" pitchFamily="18" charset="0"/>
                      </a:rPr>
                      <a:t>3</a:t>
                    </a:r>
                  </a:p>
                </c:rich>
              </c:tx>
              <c:spPr>
                <a:noFill/>
                <a:ln w="25400">
                  <a:noFill/>
                </a:ln>
              </c:spPr>
              <c:showLegendKey val="0"/>
              <c:showVal val="0"/>
              <c:showCatName val="0"/>
              <c:showSerName val="0"/>
              <c:showPercent val="0"/>
              <c:showBubbleSize val="0"/>
              <c:extLst>
                <c:ext xmlns:c15="http://schemas.microsoft.com/office/drawing/2012/chart" uri="{CE6537A1-D6FC-4f65-9D91-7224C49458BB}">
                  <c15:spPr>
                    <a:prstGeom prst="rect">
                      <a:avLst/>
                    </a:prstGeom>
                  </c15:spPr>
                  <c15:showDataLabelsRange val="0"/>
                </c:ext>
                <c:ext xmlns:c16="http://schemas.microsoft.com/office/drawing/2014/chart" uri="{C3380CC4-5D6E-409C-BE32-E72D297353CC}">
                  <c16:uniqueId val="{00000001-68F2-4890-ACCF-C1B0CF9F3AAE}"/>
                </c:ext>
              </c:extLst>
            </c:dLbl>
            <c:dLbl>
              <c:idx val="1"/>
              <c:layout>
                <c:manualLayout>
                  <c:x val="0.034812968522819454"/>
                  <c:y val="-0.18965081119246058"/>
                </c:manualLayout>
              </c:layout>
              <c:tx>
                <c:rich>
                  <a:bodyPr/>
                  <a:lstStyle/>
                  <a:p>
                    <a:r>
                      <a:rPr lang="en-US"/>
                      <a:t>3</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8F2-4890-ACCF-C1B0CF9F3AAE}"/>
                </c:ext>
              </c:extLst>
            </c:dLbl>
            <c:dLbl>
              <c:idx val="2"/>
              <c:layout>
                <c:manualLayout>
                  <c:x val="0.1022628372497825"/>
                  <c:y val="-0.063636363636363658"/>
                </c:manualLayout>
              </c:layout>
              <c:tx>
                <c:rich>
                  <a:bodyPr/>
                  <a:lstStyle/>
                  <a:p>
                    <a:r>
                      <a:rPr lang="en-US"/>
                      <a:t>2</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68F2-4890-ACCF-C1B0CF9F3AAE}"/>
                </c:ext>
              </c:extLst>
            </c:dLbl>
            <c:dLbl>
              <c:idx val="3"/>
              <c:layout>
                <c:manualLayout>
                  <c:x val="0.12157593610151241"/>
                  <c:y val="-0.016002210250034607"/>
                </c:manualLayout>
              </c:layout>
              <c:tx>
                <c:rich>
                  <a:bodyPr/>
                  <a:lstStyle/>
                  <a:p>
                    <a:r>
                      <a:rPr lang="en-US"/>
                      <a:t>11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68F2-4890-ACCF-C1B0CF9F3AAE}"/>
                </c:ext>
              </c:extLst>
            </c:dLbl>
            <c:dLbl>
              <c:idx val="4"/>
              <c:layout>
                <c:manualLayout>
                  <c:x val="-0.17239652289039092"/>
                  <c:y val="-0.0515152442679359"/>
                </c:manualLayout>
              </c:layout>
              <c:tx>
                <c:rich>
                  <a:bodyPr/>
                  <a:lstStyle/>
                  <a:p>
                    <a:r>
                      <a:rPr lang="en-US"/>
                      <a:t>25</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68F2-4890-ACCF-C1B0CF9F3AAE}"/>
                </c:ext>
              </c:extLst>
            </c:dLbl>
            <c:dLbl>
              <c:idx val="5"/>
              <c:layout>
                <c:manualLayout>
                  <c:x val="-0.0698950131233596"/>
                  <c:y val="-0.099149360715875448"/>
                </c:manualLayout>
              </c:layout>
              <c:tx>
                <c:rich>
                  <a:bodyPr/>
                  <a:lstStyle/>
                  <a:p>
                    <a:r>
                      <a:rPr lang="en-US"/>
                      <a:t>7</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68F2-4890-ACCF-C1B0CF9F3AAE}"/>
                </c:ext>
              </c:extLst>
            </c:dLbl>
            <c:dLbl>
              <c:idx val="6"/>
              <c:layout>
                <c:manualLayout>
                  <c:x val="0.013054815989727903"/>
                  <c:y val="-0.13941152092830503"/>
                </c:manualLayout>
              </c:layout>
              <c:tx>
                <c:rich>
                  <a:bodyPr/>
                  <a:lstStyle/>
                  <a:p>
                    <a:r>
                      <a:rPr lang="en-US"/>
                      <a:t>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68F2-4890-ACCF-C1B0CF9F3AAE}"/>
                </c:ext>
              </c:extLst>
            </c:dLbl>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1"/>
            <c:showSerName val="0"/>
            <c:showPercent val="0"/>
            <c:showBubbleSize val="0"/>
            <c:showLeaderLines val="0"/>
            <c:extLst>
              <c:ext xmlns:c15="http://schemas.microsoft.com/office/drawing/2012/chart" uri="{CE6537A1-D6FC-4f65-9D91-7224C49458BB}"/>
            </c:extLst>
          </c:dLbls>
          <c:cat>
            <c:strRef>
              <c:f>Аркуш1!$A$2:$A$8</c:f>
              <c:strCache>
                <c:ptCount val="7"/>
                <c:pt idx="0">
                  <c:v>Соціальна сфера - 3</c:v>
                </c:pt>
                <c:pt idx="1">
                  <c:v>Медицина - 3</c:v>
                </c:pt>
                <c:pt idx="2">
                  <c:v>Промисловість - 2</c:v>
                </c:pt>
                <c:pt idx="3">
                  <c:v>Логістика/обслуговування автомобілів - 11</c:v>
                </c:pt>
                <c:pt idx="4">
                  <c:v>Торгівля. Послуги та адімінстративні/офісні приміщення - 25</c:v>
                </c:pt>
                <c:pt idx="5">
                  <c:v>Розвиток інфсраструктури та енергетики - 7</c:v>
                </c:pt>
                <c:pt idx="6">
                  <c:v>Житлове будівництво - 1</c:v>
                </c:pt>
              </c:strCache>
            </c:strRef>
          </c:cat>
          <c:val>
            <c:numRef>
              <c:f>Аркуш1!$B$2:$B$8</c:f>
              <c:numCache>
                <c:formatCode>\О\с\н\о\в\н\о\й</c:formatCode>
                <c:ptCount val="7"/>
                <c:pt idx="0">
                  <c:v>3</c:v>
                </c:pt>
                <c:pt idx="1">
                  <c:v>3</c:v>
                </c:pt>
                <c:pt idx="2">
                  <c:v>2</c:v>
                </c:pt>
                <c:pt idx="3">
                  <c:v>11</c:v>
                </c:pt>
                <c:pt idx="4">
                  <c:v>25</c:v>
                </c:pt>
                <c:pt idx="5">
                  <c:v>7</c:v>
                </c:pt>
                <c:pt idx="6">
                  <c:v>1</c:v>
                </c:pt>
              </c:numCache>
            </c:numRef>
          </c:val>
          <c:extLst>
            <c:ext xmlns:c16="http://schemas.microsoft.com/office/drawing/2014/chart" uri="{C3380CC4-5D6E-409C-BE32-E72D297353CC}">
              <c16:uniqueId val="{0000000E-68F2-4890-ACCF-C1B0CF9F3AAE}"/>
            </c:ext>
          </c:extLst>
        </c:ser>
        <c:dLbls>
          <c:showLegendKey val="0"/>
          <c:showVal val="0"/>
          <c:showCatName val="0"/>
          <c:showSerName val="0"/>
          <c:showPercent val="0"/>
          <c:showBubbleSize val="0"/>
          <c:showLeaderLines val="0"/>
        </c:dLbls>
        <c:firstSliceAng val="6"/>
        <c:holeSize val="41"/>
      </c:doughnutChart>
      <c:spPr>
        <a:noFill/>
        <a:ln w="25400">
          <a:noFill/>
        </a:ln>
      </c:spPr>
    </c:plotArea>
    <c:legend>
      <c:legendPos val="r"/>
      <c:layout>
        <c:manualLayout>
          <c:xMode val="edge"/>
          <c:yMode val="edge"/>
          <c:x val="0.64982355853205187"/>
          <c:y val="0.052745202966134087"/>
          <c:w val="0.3333897497688233"/>
          <c:h val="0.92569885075045233"/>
        </c:manualLayout>
      </c:layout>
      <c:overlay val="0"/>
      <c:spPr>
        <a:noFill/>
        <a:ln w="25400">
          <a:noFill/>
        </a:ln>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a:solidFill>
        <a:schemeClr val="tx2">
          <a:lumMod val="15000"/>
          <a:lumOff val="85000"/>
        </a:schemeClr>
      </a:solidFill>
      <a:round/>
    </a:ln>
    <a:effectLst/>
  </c:spPr>
  <c:txPr>
    <a:bodyPr/>
    <a:lstStyle/>
    <a:p>
      <a:pPr>
        <a:defRPr/>
      </a:pPr>
      <a:endParaRPr lang="uk-UA"/>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066545190337162372"/>
          <c:y val="0.052683824912313423"/>
          <c:w val="0.56529424512756976"/>
          <c:h val="0.884816400519601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E35-4A52-BE38-5105B344AEB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E35-4A52-BE38-5105B344AEB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E35-4A52-BE38-5105B344AEB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E35-4A52-BE38-5105B344AEB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E35-4A52-BE38-5105B344AEB9}"/>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7E35-4A52-BE38-5105B344AEB9}"/>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7E35-4A52-BE38-5105B344AEB9}"/>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7E35-4A52-BE38-5105B344AEB9}"/>
              </c:ext>
            </c:extLst>
          </c:dPt>
          <c:dLbls>
            <c:dLbl>
              <c:idx val="0"/>
              <c:layout>
                <c:manualLayout>
                  <c:x val="-0.024282591304390175"/>
                  <c:y val="-0.0293100134537766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35-4A52-BE38-5105B344AEB9}"/>
                </c:ext>
              </c:extLst>
            </c:dLbl>
            <c:dLbl>
              <c:idx val="1"/>
              <c:layout>
                <c:manualLayout>
                  <c:x val="-0.052722138068312829"/>
                  <c:y val="-0.056069168179422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E35-4A52-BE38-5105B344AEB9}"/>
                </c:ext>
              </c:extLst>
            </c:dLbl>
            <c:dLbl>
              <c:idx val="2"/>
              <c:layout>
                <c:manualLayout>
                  <c:x val="-0.0606835328708167"/>
                  <c:y val="0.06832879979018086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E35-4A52-BE38-5105B344AEB9}"/>
                </c:ext>
              </c:extLst>
            </c:dLbl>
            <c:dLbl>
              <c:idx val="3"/>
              <c:layout>
                <c:manualLayout>
                  <c:x val="0.022392016039080698"/>
                  <c:y val="0.05110713655681597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E35-4A52-BE38-5105B344AEB9}"/>
                </c:ext>
              </c:extLst>
            </c:dLbl>
            <c:dLbl>
              <c:idx val="4"/>
              <c:layout>
                <c:manualLayout>
                  <c:x val="-0.020808652728241644"/>
                  <c:y val="0.00268256395872546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E35-4A52-BE38-5105B344AEB9}"/>
                </c:ext>
              </c:extLst>
            </c:dLbl>
            <c:dLbl>
              <c:idx val="5"/>
              <c:layout>
                <c:manualLayout>
                  <c:x val="-0.019944552765788961"/>
                  <c:y val="-0.02754792838933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E35-4A52-BE38-5105B344AEB9}"/>
                </c:ext>
              </c:extLst>
            </c:dLbl>
            <c:dLbl>
              <c:idx val="7"/>
              <c:layout>
                <c:manualLayout>
                  <c:x val="0.031480513369857396"/>
                  <c:y val="-0.0267310723499898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E35-4A52-BE38-5105B344AEB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Лист1!$B$43:$B$50</c:f>
              <c:strCache>
                <c:ptCount val="8"/>
                <c:pt idx="0">
                  <c:v>Муніципальна інфраструктура та послуги (129 150,81 тис. грн.)</c:v>
                </c:pt>
                <c:pt idx="1">
                  <c:v>Житло (6 177,73 тис. грн.)</c:v>
                </c:pt>
                <c:pt idx="2">
                  <c:v>Транспорт (140 681,50 тис. грн.)</c:v>
                </c:pt>
                <c:pt idx="3">
                  <c:v>Освіт і наука (236 058,00 тис. грн.)</c:v>
                </c:pt>
                <c:pt idx="4">
                  <c:v>Охорона здоров`я (42 991,96 тис. грн.)</c:v>
                </c:pt>
                <c:pt idx="5">
                  <c:v>Культура (23 800,00 тис. грн.)</c:v>
                </c:pt>
                <c:pt idx="6">
                  <c:v>Спорт та фізичне виховання (140,00 тис. грн.)</c:v>
                </c:pt>
                <c:pt idx="7">
                  <c:v>Соціальна сфера (21 000,00 тис. грн.)</c:v>
                </c:pt>
              </c:strCache>
            </c:strRef>
          </c:cat>
          <c:val>
            <c:numRef>
              <c:f>Лист1!$C$43:$C$50</c:f>
              <c:numCache>
                <c:formatCode>0.00%</c:formatCode>
                <c:ptCount val="8"/>
                <c:pt idx="0">
                  <c:v>0.215</c:v>
                </c:pt>
                <c:pt idx="1">
                  <c:v>0.0103</c:v>
                </c:pt>
                <c:pt idx="2">
                  <c:v>0.2345</c:v>
                </c:pt>
                <c:pt idx="3">
                  <c:v>0.3934</c:v>
                </c:pt>
                <c:pt idx="4">
                  <c:v>0.0717</c:v>
                </c:pt>
                <c:pt idx="5">
                  <c:v>0.0397</c:v>
                </c:pt>
                <c:pt idx="6">
                  <c:v>0.0002</c:v>
                </c:pt>
                <c:pt idx="7">
                  <c:v>0.035</c:v>
                </c:pt>
              </c:numCache>
            </c:numRef>
          </c:val>
          <c:extLst>
            <c:ext xmlns:c16="http://schemas.microsoft.com/office/drawing/2014/chart" uri="{C3380CC4-5D6E-409C-BE32-E72D297353CC}">
              <c16:uniqueId val="{00000010-7E35-4A52-BE38-5105B344AEB9}"/>
            </c:ext>
          </c:extLst>
        </c:ser>
        <c:dLbls>
          <c:showLegendKey val="0"/>
          <c:showVal val="0"/>
          <c:showCatName val="0"/>
          <c:showSerName val="0"/>
          <c:showPercent val="0"/>
          <c:showBubbleSize val="0"/>
          <c:showLeaderLines val="1"/>
        </c:dLbls>
      </c:pie3DChart>
      <c:spPr>
        <a:noFill/>
        <a:ln>
          <a:noFill/>
        </a:ln>
        <a:effectLst/>
      </c:spPr>
    </c:plotArea>
    <c:legend>
      <c:legendPos val="r"/>
      <c:layout>
        <c:manualLayout>
          <c:xMode val="edge"/>
          <c:yMode val="edge"/>
          <c:x val="0.64648172390062919"/>
          <c:y val="0.069354973755892627"/>
          <c:w val="0.33947086997503362"/>
          <c:h val="0.8579771626837303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599" b="1" i="0" u="none" strike="noStrike" kern="1200" baseline="0">
                <a:solidFill>
                  <a:schemeClr val="tx1">
                    <a:lumMod val="65000"/>
                    <a:lumOff val="35000"/>
                  </a:schemeClr>
                </a:solidFill>
                <a:latin typeface="+mn-lt"/>
                <a:ea typeface="+mn-ea"/>
                <a:cs typeface="+mn-cs"/>
              </a:defRPr>
            </a:pPr>
            <a:endParaRPr lang="uk-UA"/>
          </a:p>
        </c:rich>
      </c:tx>
      <c:layout>
        <c:manualLayout>
          <c:xMode val="edge"/>
          <c:yMode val="edge"/>
          <c:x val="0.79725093769219446"/>
          <c:y val="0.90214983713355046"/>
        </c:manualLayout>
      </c:layout>
      <c:overlay val="0"/>
      <c:spPr>
        <a:noFill/>
        <a:ln>
          <a:noFill/>
        </a:ln>
        <a:effectLst/>
      </c:spPr>
    </c:title>
    <c:autoTitleDeleted val="0"/>
    <c:plotArea>
      <c:layout/>
      <c:pieChart>
        <c:varyColors val="1"/>
        <c:ser>
          <c:idx val="0"/>
          <c:order val="0"/>
          <c:tx>
            <c:strRef>
              <c:f>Аркуш1!$B$1</c:f>
              <c:strCache>
                <c:ptCount val="1"/>
                <c:pt idx="0">
                  <c:v>Стовпець1</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sx="100000" sy="100000" kx="0" ky="0" algn="ctr" rotWithShape="0">
                  <a:srgbClr val="000000">
                    <a:alpha val="63000"/>
                  </a:srgbClr>
                </a:outerShdw>
              </a:effectLst>
            </c:spPr>
            <c:extLst>
              <c:ext xmlns:c16="http://schemas.microsoft.com/office/drawing/2014/chart" uri="{C3380CC4-5D6E-409C-BE32-E72D297353CC}">
                <c16:uniqueId val="{00000001-6CF6-43B0-8234-E66345CFAF4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sx="100000" sy="100000" kx="0" ky="0" algn="ctr" rotWithShape="0">
                  <a:srgbClr val="000000">
                    <a:alpha val="63000"/>
                  </a:srgbClr>
                </a:outerShdw>
              </a:effectLst>
            </c:spPr>
            <c:extLst>
              <c:ext xmlns:c16="http://schemas.microsoft.com/office/drawing/2014/chart" uri="{C3380CC4-5D6E-409C-BE32-E72D297353CC}">
                <c16:uniqueId val="{00000003-6CF6-43B0-8234-E66345CFAF4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sx="100000" sy="100000" kx="0" ky="0" algn="ctr" rotWithShape="0">
                  <a:srgbClr val="000000">
                    <a:alpha val="63000"/>
                  </a:srgbClr>
                </a:outerShdw>
              </a:effectLst>
            </c:spPr>
            <c:extLst>
              <c:ext xmlns:c16="http://schemas.microsoft.com/office/drawing/2014/chart" uri="{C3380CC4-5D6E-409C-BE32-E72D297353CC}">
                <c16:uniqueId val="{00000005-6CF6-43B0-8234-E66345CFAF4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sx="100000" sy="100000" kx="0" ky="0" algn="ctr" rotWithShape="0">
                  <a:srgbClr val="000000">
                    <a:alpha val="63000"/>
                  </a:srgbClr>
                </a:outerShdw>
              </a:effectLst>
            </c:spPr>
            <c:extLst>
              <c:ext xmlns:c16="http://schemas.microsoft.com/office/drawing/2014/chart" uri="{C3380CC4-5D6E-409C-BE32-E72D297353CC}">
                <c16:uniqueId val="{00000007-6CF6-43B0-8234-E66345CFAF40}"/>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sx="100000" sy="100000" kx="0" ky="0" algn="ctr" rotWithShape="0">
                  <a:srgbClr val="000000">
                    <a:alpha val="63000"/>
                  </a:srgbClr>
                </a:outerShdw>
              </a:effectLst>
            </c:spPr>
            <c:extLst>
              <c:ext xmlns:c16="http://schemas.microsoft.com/office/drawing/2014/chart" uri="{C3380CC4-5D6E-409C-BE32-E72D297353CC}">
                <c16:uniqueId val="{00000009-6CF6-43B0-8234-E66345CFAF40}"/>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sx="100000" sy="100000" kx="0" ky="0" algn="ctr" rotWithShape="0">
                  <a:srgbClr val="000000">
                    <a:alpha val="63000"/>
                  </a:srgbClr>
                </a:outerShdw>
              </a:effectLst>
            </c:spPr>
            <c:extLst>
              <c:ext xmlns:c16="http://schemas.microsoft.com/office/drawing/2014/chart" uri="{C3380CC4-5D6E-409C-BE32-E72D297353CC}">
                <c16:uniqueId val="{0000000B-6CF6-43B0-8234-E66345CFAF40}"/>
              </c:ext>
            </c:extLst>
          </c:dPt>
          <c:dLbls>
            <c:dLbl>
              <c:idx val="0"/>
              <c:layout>
                <c:manualLayout>
                  <c:x val="-0.018531206326481996"/>
                  <c:y val="0.3501769376619720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CF6-43B0-8234-E66345CFAF40}"/>
                </c:ext>
              </c:extLst>
            </c:dLbl>
            <c:dLbl>
              <c:idx val="1"/>
              <c:layout>
                <c:manualLayout>
                  <c:x val="-0.08517327170190131"/>
                  <c:y val="-0.05560803353644398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CF6-43B0-8234-E66345CFAF40}"/>
                </c:ext>
              </c:extLst>
            </c:dLbl>
            <c:dLbl>
              <c:idx val="2"/>
              <c:layout>
                <c:manualLayout>
                  <c:x val="-0.014828062311779047"/>
                  <c:y val="0.01345584893761071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CF6-43B0-8234-E66345CFAF40}"/>
                </c:ext>
              </c:extLst>
            </c:dLbl>
            <c:dLbl>
              <c:idx val="3"/>
              <c:layout>
                <c:manualLayout>
                  <c:x val="-0.05432587286182624"/>
                  <c:y val="0.01293902970609239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CF6-43B0-8234-E66345CFAF40}"/>
                </c:ext>
              </c:extLst>
            </c:dLbl>
            <c:dLbl>
              <c:idx val="4"/>
              <c:layout>
                <c:manualLayout>
                  <c:x val="0.00974913872741765"/>
                  <c:y val="-0.0187863442864694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CF6-43B0-8234-E66345CFAF40}"/>
                </c:ext>
              </c:extLst>
            </c:dLbl>
            <c:dLbl>
              <c:idx val="5"/>
              <c:layout>
                <c:manualLayout>
                  <c:x val="0.014855576343935329"/>
                  <c:y val="-0.02356199512163454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6CF6-43B0-8234-E66345CFAF40}"/>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0"/>
            <c:showCatName val="0"/>
            <c:showSerName val="0"/>
            <c:showPercent val="1"/>
            <c:showBubbleSize val="0"/>
            <c:showLeaderLines val="1"/>
            <c:leaderLines>
              <c:spPr>
                <a:ln w="9522">
                  <a:solidFill>
                    <a:schemeClr val="tx1">
                      <a:lumMod val="35000"/>
                      <a:lumOff val="65000"/>
                    </a:schemeClr>
                  </a:solidFill>
                  <a:round/>
                </a:ln>
                <a:effectLst/>
              </c:spPr>
            </c:leaderLines>
            <c:extLst>
              <c:ext xmlns:c15="http://schemas.microsoft.com/office/drawing/2012/chart" uri="{CE6537A1-D6FC-4f65-9D91-7224C49458BB}"/>
            </c:extLst>
          </c:dLbls>
          <c:cat>
            <c:strRef>
              <c:f>Аркуш1!$A$2:$A$7</c:f>
              <c:strCache>
                <c:ptCount val="6"/>
                <c:pt idx="0">
                  <c:v>Освіта і наука (12 проєктів)</c:v>
                </c:pt>
                <c:pt idx="1">
                  <c:v>Муніципальна інфраструктура та послуги (8 проєктів)</c:v>
                </c:pt>
                <c:pt idx="2">
                  <c:v>Охорона здоров'я (3 проєкти)</c:v>
                </c:pt>
                <c:pt idx="3">
                  <c:v>Спорт та фізичне виховання (2 проєкти)</c:v>
                </c:pt>
                <c:pt idx="4">
                  <c:v>Транспорт та послуги поштового зв'язку (1 проєкт)</c:v>
                </c:pt>
                <c:pt idx="5">
                  <c:v>Соціальна сфера (1 проєкт)</c:v>
                </c:pt>
              </c:strCache>
            </c:strRef>
          </c:cat>
          <c:val>
            <c:numRef>
              <c:f>Аркуш1!$B$2:$B$7</c:f>
              <c:numCache>
                <c:formatCode>\О\с\н\о\в\н\о\й</c:formatCode>
                <c:ptCount val="6"/>
                <c:pt idx="0">
                  <c:v>12</c:v>
                </c:pt>
                <c:pt idx="1">
                  <c:v>8</c:v>
                </c:pt>
                <c:pt idx="2">
                  <c:v>3</c:v>
                </c:pt>
                <c:pt idx="3">
                  <c:v>2</c:v>
                </c:pt>
                <c:pt idx="4">
                  <c:v>1</c:v>
                </c:pt>
                <c:pt idx="5">
                  <c:v>1</c:v>
                </c:pt>
              </c:numCache>
            </c:numRef>
          </c:val>
          <c:extLst>
            <c:ext xmlns:c16="http://schemas.microsoft.com/office/drawing/2014/chart" uri="{C3380CC4-5D6E-409C-BE32-E72D297353CC}">
              <c16:uniqueId val="{0000000C-6CF6-43B0-8234-E66345CFAF40}"/>
            </c:ext>
          </c:extLst>
        </c:ser>
        <c:dLbls>
          <c:showLegendKey val="0"/>
          <c:showVal val="0"/>
          <c:showCatName val="0"/>
          <c:showSerName val="0"/>
          <c:showPercent val="0"/>
          <c:showBubbleSize val="0"/>
          <c:showLeaderLines val="1"/>
        </c:dLbls>
        <c:firstSliceAng val="0"/>
      </c:pieChart>
      <c:spPr>
        <a:noFill/>
        <a:ln w="25391">
          <a:noFill/>
        </a:ln>
      </c:spPr>
    </c:plotArea>
    <c:legend>
      <c:legendPos val="r"/>
      <c:layout>
        <c:manualLayout>
          <c:xMode val="edge"/>
          <c:yMode val="edge"/>
          <c:x val="0.65870931975087266"/>
          <c:y val="0.0067136884762368865"/>
          <c:w val="0.33917292516653241"/>
          <c:h val="0.99107782536954869"/>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2">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dist="0" dir="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2908-41A8-B4C1-E439A7203E06}"/>
              </c:ext>
            </c:extLst>
          </c:dPt>
          <c:dPt>
            <c:idx val="1"/>
            <c:bubble3D val="0"/>
            <c:spPr>
              <a:solidFill>
                <a:schemeClr val="accent2">
                  <a:alpha val="90000"/>
                </a:schemeClr>
              </a:solidFill>
              <a:ln w="19050">
                <a:solidFill>
                  <a:schemeClr val="accent2">
                    <a:lumMod val="75000"/>
                  </a:schemeClr>
                </a:solidFill>
              </a:ln>
              <a:effectLst>
                <a:innerShdw blurRad="114300" dist="0" dir="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2908-41A8-B4C1-E439A7203E06}"/>
              </c:ext>
            </c:extLst>
          </c:dPt>
          <c:dPt>
            <c:idx val="2"/>
            <c:bubble3D val="0"/>
            <c:spPr>
              <a:solidFill>
                <a:schemeClr val="accent3">
                  <a:alpha val="90000"/>
                </a:schemeClr>
              </a:solidFill>
              <a:ln w="19050">
                <a:solidFill>
                  <a:schemeClr val="accent3">
                    <a:lumMod val="75000"/>
                  </a:schemeClr>
                </a:solidFill>
              </a:ln>
              <a:effectLst>
                <a:innerShdw blurRad="114300" dist="0" dir="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2908-41A8-B4C1-E439A7203E06}"/>
              </c:ext>
            </c:extLst>
          </c:dPt>
          <c:dPt>
            <c:idx val="3"/>
            <c:bubble3D val="0"/>
            <c:spPr>
              <a:solidFill>
                <a:schemeClr val="accent4">
                  <a:alpha val="90000"/>
                </a:schemeClr>
              </a:solidFill>
              <a:ln w="19050">
                <a:solidFill>
                  <a:schemeClr val="accent4">
                    <a:lumMod val="75000"/>
                  </a:schemeClr>
                </a:solidFill>
              </a:ln>
              <a:effectLst>
                <a:innerShdw blurRad="114300" dist="0" dir="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2908-41A8-B4C1-E439A7203E06}"/>
              </c:ext>
            </c:extLst>
          </c:dPt>
          <c:dPt>
            <c:idx val="4"/>
            <c:bubble3D val="0"/>
            <c:spPr>
              <a:solidFill>
                <a:schemeClr val="accent5">
                  <a:alpha val="90000"/>
                </a:schemeClr>
              </a:solidFill>
              <a:ln w="19050">
                <a:solidFill>
                  <a:schemeClr val="accent5">
                    <a:lumMod val="75000"/>
                  </a:schemeClr>
                </a:solidFill>
              </a:ln>
              <a:effectLst>
                <a:innerShdw blurRad="114300" dist="0" dir="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2908-41A8-B4C1-E439A7203E06}"/>
              </c:ext>
            </c:extLst>
          </c:dPt>
          <c:dPt>
            <c:idx val="5"/>
            <c:bubble3D val="0"/>
            <c:spPr>
              <a:solidFill>
                <a:schemeClr val="accent6">
                  <a:alpha val="90000"/>
                </a:schemeClr>
              </a:solidFill>
              <a:ln w="19050">
                <a:solidFill>
                  <a:schemeClr val="accent6">
                    <a:lumMod val="75000"/>
                  </a:schemeClr>
                </a:solidFill>
              </a:ln>
              <a:effectLst>
                <a:innerShdw blurRad="114300" dist="0" dir="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2908-41A8-B4C1-E439A7203E06}"/>
              </c:ext>
            </c:extLst>
          </c:dPt>
          <c:dLbls>
            <c:dLbl>
              <c:idx val="0"/>
              <c:layout>
                <c:manualLayout>
                  <c:x val="0.00024205303954612521"/>
                  <c:y val="-0.14245876336070198"/>
                </c:manualLayout>
              </c:layout>
              <c:spPr>
                <a:solidFill>
                  <a:schemeClr val="lt1">
                    <a:alpha val="90000"/>
                  </a:schemeClr>
                </a:solidFill>
                <a:ln w="12700">
                  <a:solidFill>
                    <a:schemeClr val="accent1"/>
                  </a:solidFill>
                  <a:round/>
                </a:ln>
                <a:effectLst>
                  <a:outerShdw blurRad="50800" dist="38100" dir="2700000" sx="100000" sy="100000" kx="0" ky="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08-41A8-B4C1-E439A7203E06}"/>
                </c:ext>
              </c:extLst>
            </c:dLbl>
            <c:dLbl>
              <c:idx val="1"/>
              <c:layout>
                <c:manualLayout>
                  <c:x val="-0.008075546334584854"/>
                  <c:y val="-0.054102615035300054"/>
                </c:manualLayout>
              </c:layout>
              <c:spPr>
                <a:solidFill>
                  <a:schemeClr val="lt1">
                    <a:alpha val="90000"/>
                  </a:schemeClr>
                </a:solidFill>
                <a:ln w="12700">
                  <a:solidFill>
                    <a:schemeClr val="accent2"/>
                  </a:solidFill>
                  <a:round/>
                </a:ln>
                <a:effectLst>
                  <a:outerShdw blurRad="50800" dist="38100" dir="2700000" sx="100000" sy="100000" kx="0" ky="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908-41A8-B4C1-E439A7203E06}"/>
                </c:ext>
              </c:extLst>
            </c:dLbl>
            <c:dLbl>
              <c:idx val="2"/>
              <c:layout>
                <c:manualLayout>
                  <c:x val="-0.0011677485890088631"/>
                  <c:y val="0.0882358321230863"/>
                </c:manualLayout>
              </c:layout>
              <c:spPr>
                <a:solidFill>
                  <a:schemeClr val="lt1">
                    <a:alpha val="90000"/>
                  </a:schemeClr>
                </a:solidFill>
                <a:ln w="12700">
                  <a:solidFill>
                    <a:schemeClr val="accent3"/>
                  </a:solidFill>
                  <a:round/>
                </a:ln>
                <a:effectLst>
                  <a:outerShdw blurRad="50800" dist="38100" dir="2700000" sx="100000" sy="100000" kx="0" ky="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908-41A8-B4C1-E439A7203E06}"/>
                </c:ext>
              </c:extLst>
            </c:dLbl>
            <c:dLbl>
              <c:idx val="3"/>
              <c:layout>
                <c:manualLayout>
                  <c:x val="-0.00779389298799819"/>
                  <c:y val="-0.021530241754563209"/>
                </c:manualLayout>
              </c:layout>
              <c:spPr>
                <a:solidFill>
                  <a:schemeClr val="lt1">
                    <a:alpha val="90000"/>
                  </a:schemeClr>
                </a:solidFill>
                <a:ln w="12700">
                  <a:solidFill>
                    <a:schemeClr val="accent4"/>
                  </a:solidFill>
                  <a:round/>
                </a:ln>
                <a:effectLst>
                  <a:outerShdw blurRad="50800" dist="38100" dir="2700000" sx="100000" sy="100000" kx="0" ky="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908-41A8-B4C1-E439A7203E06}"/>
                </c:ext>
              </c:extLst>
            </c:dLbl>
            <c:dLbl>
              <c:idx val="4"/>
              <c:layout>
                <c:manualLayout>
                  <c:x val="0.040639124397304049"/>
                  <c:y val="0.044013830952901734"/>
                </c:manualLayout>
              </c:layout>
              <c:spPr>
                <a:solidFill>
                  <a:schemeClr val="lt1">
                    <a:alpha val="90000"/>
                  </a:schemeClr>
                </a:solidFill>
                <a:ln w="12700">
                  <a:solidFill>
                    <a:schemeClr val="accent5"/>
                  </a:solidFill>
                  <a:round/>
                </a:ln>
                <a:effectLst>
                  <a:outerShdw blurRad="50800" dist="38100" dir="2700000" sx="100000" sy="100000" kx="0" ky="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908-41A8-B4C1-E439A7203E06}"/>
                </c:ext>
              </c:extLst>
            </c:dLbl>
            <c:dLbl>
              <c:idx val="5"/>
              <c:layout>
                <c:manualLayout>
                  <c:x val="0.0331537454292727"/>
                  <c:y val="0.0067262155030646566"/>
                </c:manualLayout>
              </c:layout>
              <c:spPr>
                <a:solidFill>
                  <a:schemeClr val="lt1">
                    <a:alpha val="90000"/>
                  </a:schemeClr>
                </a:solidFill>
                <a:ln w="12700">
                  <a:solidFill>
                    <a:schemeClr val="accent6"/>
                  </a:solidFill>
                  <a:round/>
                </a:ln>
                <a:effectLst>
                  <a:outerShdw blurRad="50800" dist="38100" dir="2700000" sx="100000" sy="100000" kx="0" ky="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908-41A8-B4C1-E439A7203E06}"/>
                </c:ext>
              </c:extLst>
            </c:dLbl>
            <c:spPr>
              <a:solidFill>
                <a:sysClr val="window" lastClr="FFFFFF">
                  <a:alpha val="90000"/>
                </a:sysClr>
              </a:solidFill>
              <a:ln w="12700">
                <a:solidFill>
                  <a:srgbClr val="5B9BD5"/>
                </a:solidFill>
                <a:round/>
              </a:ln>
              <a:effectLst>
                <a:outerShdw blurRad="50800" dist="38100" dir="2700000" sx="100000" sy="100000" kx="0" ky="0" algn="tl" rotWithShape="0">
                  <a:srgbClr val="5B9BD5">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Лист1!$A$1:$A$6</c:f>
              <c:strCache>
                <c:ptCount val="6"/>
                <c:pt idx="0">
                  <c:v>Податок на доходи фізичних осіб (59,5%)</c:v>
                </c:pt>
                <c:pt idx="1">
                  <c:v>Єдиний податок (19,3%)</c:v>
                </c:pt>
                <c:pt idx="2">
                  <c:v>Акцизний податок з реалізації суб’єктами господарювання роздрібної торгівлі підакцизних товарів (5,8%)</c:v>
                </c:pt>
                <c:pt idx="3">
                  <c:v>Пальне (4,7%)</c:v>
                </c:pt>
                <c:pt idx="4">
                  <c:v>Податок на майно (9,4%)</c:v>
                </c:pt>
                <c:pt idx="5">
                  <c:v>Інші надходження (1,3%)</c:v>
                </c:pt>
              </c:strCache>
            </c:strRef>
          </c:cat>
          <c:val>
            <c:numRef>
              <c:f>Лист1!$B$1:$B$6</c:f>
              <c:numCache>
                <c:formatCode>0.0</c:formatCode>
                <c:ptCount val="6"/>
                <c:pt idx="0">
                  <c:v>769.292</c:v>
                </c:pt>
                <c:pt idx="1">
                  <c:v>249.9</c:v>
                </c:pt>
                <c:pt idx="2">
                  <c:v>74.6</c:v>
                </c:pt>
                <c:pt idx="3">
                  <c:v>61</c:v>
                </c:pt>
                <c:pt idx="4" formatCode="#\ ##0.0">
                  <c:v>120.8</c:v>
                </c:pt>
                <c:pt idx="5">
                  <c:v>17</c:v>
                </c:pt>
              </c:numCache>
            </c:numRef>
          </c:val>
          <c:extLst>
            <c:ext xmlns:c16="http://schemas.microsoft.com/office/drawing/2014/chart" uri="{C3380CC4-5D6E-409C-BE32-E72D297353CC}">
              <c16:uniqueId val="{0000000C-2908-41A8-B4C1-E439A7203E06}"/>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072318300249031936"/>
          <c:y val="0.10235055518831218"/>
          <c:w val="0.54445157792204679"/>
          <c:h val="0.84843296320779193"/>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35A7-4C2E-BD30-1DF0716CC62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35A7-4C2E-BD30-1DF0716CC62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35A7-4C2E-BD30-1DF0716CC62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35A7-4C2E-BD30-1DF0716CC623}"/>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9-35A7-4C2E-BD30-1DF0716CC623}"/>
              </c:ext>
            </c:extLst>
          </c:dPt>
          <c:dLbls>
            <c:dLbl>
              <c:idx val="0"/>
              <c:layout>
                <c:manualLayout>
                  <c:x val="-0.078109852356206849"/>
                  <c:y val="0.142961251872243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A7-4C2E-BD30-1DF0716CC623}"/>
                </c:ext>
              </c:extLst>
            </c:dLbl>
            <c:dLbl>
              <c:idx val="1"/>
              <c:layout>
                <c:manualLayout>
                  <c:x val="0.0020555931422648948"/>
                  <c:y val="-0.187931191374708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5A7-4C2E-BD30-1DF0716CC623}"/>
                </c:ext>
              </c:extLst>
            </c:dLbl>
            <c:dLbl>
              <c:idx val="2"/>
              <c:layout>
                <c:manualLayout>
                  <c:x val="-0.0069138752537102879"/>
                  <c:y val="-0.00499727008007768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5A7-4C2E-BD30-1DF0716CC623}"/>
                </c:ext>
              </c:extLst>
            </c:dLbl>
            <c:dLbl>
              <c:idx val="3"/>
              <c:layout>
                <c:manualLayout>
                  <c:x val="0.0070323933457129778"/>
                  <c:y val="-0.03705134132157410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5A7-4C2E-BD30-1DF0716CC623}"/>
                </c:ext>
              </c:extLst>
            </c:dLbl>
            <c:dLbl>
              <c:idx val="4"/>
              <c:layout>
                <c:manualLayout>
                  <c:x val="0.028503841041807618"/>
                  <c:y val="-0.0365652377645198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5A7-4C2E-BD30-1DF0716CC62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solidFill>
                    <a:latin typeface="+mn-lt"/>
                    <a:ea typeface="+mn-ea"/>
                    <a:cs typeface="+mn-cs"/>
                  </a:defRPr>
                </a:pPr>
                <a:endParaRPr lang="uk-UA"/>
              </a:p>
            </c:txPr>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Лист1!$B$18:$B$22</c:f>
              <c:strCache>
                <c:ptCount val="5"/>
                <c:pt idx="0">
                  <c:v>заробітна плата з нарахуваннями 825,2 млн. грн. (51,5 %)</c:v>
                </c:pt>
                <c:pt idx="1">
                  <c:v>соціальне забезпечення населення та 
поточні трансферти підприємствам 504,4 млн. грн. (31,5 %)</c:v>
                </c:pt>
                <c:pt idx="2">
                  <c:v>енергоносії 63,5 млн. грн. (3,9 %)</c:v>
                </c:pt>
                <c:pt idx="3">
                  <c:v>продукти 
харчування 39,4 млн. грн. (2,5 %)</c:v>
                </c:pt>
                <c:pt idx="4">
                  <c:v>інші поточні видатки 170,1 млн. грн. (10,6 %)</c:v>
                </c:pt>
              </c:strCache>
            </c:strRef>
          </c:cat>
          <c:val>
            <c:numRef>
              <c:f>Лист1!$C$18:$C$22</c:f>
              <c:numCache>
                <c:formatCode>#\ ##0.0</c:formatCode>
                <c:ptCount val="5"/>
                <c:pt idx="0">
                  <c:v>825.2</c:v>
                </c:pt>
                <c:pt idx="1">
                  <c:v>504.4</c:v>
                </c:pt>
                <c:pt idx="2">
                  <c:v>63.5</c:v>
                </c:pt>
                <c:pt idx="3">
                  <c:v>39.4</c:v>
                </c:pt>
                <c:pt idx="4">
                  <c:v>62.2</c:v>
                </c:pt>
              </c:numCache>
            </c:numRef>
          </c:val>
          <c:extLst>
            <c:ext xmlns:c16="http://schemas.microsoft.com/office/drawing/2014/chart" uri="{C3380CC4-5D6E-409C-BE32-E72D297353CC}">
              <c16:uniqueId val="{0000000A-35A7-4C2E-BD30-1DF0716CC623}"/>
            </c:ext>
          </c:extLst>
        </c:ser>
        <c:dLbls>
          <c:showLegendKey val="0"/>
          <c:showVal val="0"/>
          <c:showCatName val="0"/>
          <c:showSerName val="0"/>
          <c:showPercent val="0"/>
          <c:showBubbleSize val="0"/>
          <c:showLeaderLines val="1"/>
        </c:dLbls>
      </c:pie3DChart>
      <c:spPr>
        <a:noFill/>
        <a:ln>
          <a:noFill/>
        </a:ln>
        <a:effectLst/>
      </c:spPr>
    </c:plotArea>
    <c:legend>
      <c:legendPos val="r"/>
      <c:legendEntry>
        <c:idx val="2"/>
        <c:txPr>
          <a:bodyPr rot="0" spcFirstLastPara="1" vertOverflow="ellipsis" vert="horz" wrap="square" anchor="ctr" anchorCtr="1"/>
          <a:lstStyle/>
          <a:p>
            <a:pPr>
              <a:defRPr sz="920" b="0" i="0" u="none" strike="noStrike" kern="500" baseline="0">
                <a:solidFill>
                  <a:schemeClr val="tx2"/>
                </a:solidFill>
                <a:latin typeface="+mn-lt"/>
                <a:ea typeface="+mn-ea"/>
                <a:cs typeface="+mn-cs"/>
              </a:defRPr>
            </a:pPr>
            <a:endParaRPr lang="uk-UA"/>
          </a:p>
        </c:txPr>
      </c:legendEntry>
      <c:layout>
        <c:manualLayout>
          <c:xMode val="edge"/>
          <c:yMode val="edge"/>
          <c:x val="0.65008756903558906"/>
          <c:y val="0.019298755742245356"/>
          <c:w val="0.33466951880963597"/>
          <c:h val="0.97136512731258751"/>
        </c:manualLayout>
      </c:layout>
      <c:overlay val="0"/>
      <c:spPr>
        <a:noFill/>
        <a:ln>
          <a:noFill/>
        </a:ln>
        <a:effectLst/>
      </c:spPr>
      <c:txPr>
        <a:bodyPr rot="0" spcFirstLastPara="1" vertOverflow="ellipsis" vert="horz" wrap="square" anchor="ctr" anchorCtr="1"/>
        <a:lstStyle/>
        <a:p>
          <a:pPr>
            <a:defRPr sz="920" b="0" i="0" u="none" strike="noStrike" kern="1200" baseline="0">
              <a:solidFill>
                <a:schemeClr val="tx2"/>
              </a:solidFill>
              <a:latin typeface="+mn-lt"/>
              <a:ea typeface="+mn-ea"/>
              <a:cs typeface="+mn-cs"/>
            </a:defRPr>
          </a:pPr>
          <a:endParaRPr lang="uk-UA"/>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2">
          <a:lumMod val="15000"/>
          <a:lumOff val="85000"/>
        </a:schemeClr>
      </a:solidFill>
      <a:round/>
    </a:ln>
    <a:effectLst/>
  </c:spPr>
  <c:txPr>
    <a:bodyPr/>
    <a:lstStyle/>
    <a:p>
      <a:pPr>
        <a:defRPr/>
      </a:pPr>
      <a:endParaRPr lang="uk-UA"/>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073028830777196"/>
          <c:y val="0.065274906834240851"/>
          <c:w val="0.56043531638751543"/>
          <c:h val="0.61064932037508091"/>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DD-47BC-8F8F-F81AB2F08D8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2DD-47BC-8F8F-F81AB2F08D8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2DD-47BC-8F8F-F81AB2F08D8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2DD-47BC-8F8F-F81AB2F08D81}"/>
              </c:ext>
            </c:extLst>
          </c:dPt>
          <c:dLbls>
            <c:dLbl>
              <c:idx val="0"/>
              <c:layout>
                <c:manualLayout>
                  <c:x val="-0.00015915208051222896"/>
                  <c:y val="-0.0975570674325396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DD-47BC-8F8F-F81AB2F08D81}"/>
                </c:ext>
              </c:extLst>
            </c:dLbl>
            <c:dLbl>
              <c:idx val="1"/>
              <c:layout>
                <c:manualLayout>
                  <c:x val="0.057032151940809593"/>
                  <c:y val="-0.05192800269211194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DD-47BC-8F8F-F81AB2F08D81}"/>
                </c:ext>
              </c:extLst>
            </c:dLbl>
            <c:dLbl>
              <c:idx val="2"/>
              <c:layout>
                <c:manualLayout>
                  <c:x val="0.12449004615657977"/>
                  <c:y val="-0.090761766693717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DD-47BC-8F8F-F81AB2F08D81}"/>
                </c:ext>
              </c:extLst>
            </c:dLbl>
            <c:dLbl>
              <c:idx val="3"/>
              <c:layout>
                <c:manualLayout>
                  <c:x val="-0.04741568812602491"/>
                  <c:y val="-0.08879292748463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2DD-47BC-8F8F-F81AB2F08D8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Лист1!$B$29:$B$32</c:f>
              <c:strCache>
                <c:ptCount val="4"/>
                <c:pt idx="0">
                  <c:v>плата за послуги бюджетних установ 30,8 млн. грн. (17,1 %)</c:v>
                </c:pt>
                <c:pt idx="1">
                  <c:v>цільові фонди 7,3 млн. грн. (4,1%)</c:v>
                </c:pt>
                <c:pt idx="2">
                  <c:v>бюджет розвитку 58,2 млн. грн. (32,3%)</c:v>
                </c:pt>
                <c:pt idx="3">
                  <c:v>інші джерела власних надходжень бюджетних установ 84,0 млн. грн. (46,5%)</c:v>
                </c:pt>
              </c:strCache>
            </c:strRef>
          </c:cat>
          <c:val>
            <c:numRef>
              <c:f>Лист1!$C$29:$C$32</c:f>
              <c:numCache>
                <c:formatCode>#\ ##0.0</c:formatCode>
                <c:ptCount val="4"/>
                <c:pt idx="0">
                  <c:v>30.8</c:v>
                </c:pt>
                <c:pt idx="1">
                  <c:v>7.3</c:v>
                </c:pt>
                <c:pt idx="2">
                  <c:v>58.2</c:v>
                </c:pt>
                <c:pt idx="3">
                  <c:v>84</c:v>
                </c:pt>
              </c:numCache>
            </c:numRef>
          </c:val>
          <c:extLst>
            <c:ext xmlns:c16="http://schemas.microsoft.com/office/drawing/2014/chart" uri="{C3380CC4-5D6E-409C-BE32-E72D297353CC}">
              <c16:uniqueId val="{00000008-12DD-47BC-8F8F-F81AB2F08D81}"/>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049193154530732017"/>
          <c:y val="0.64825047059615615"/>
          <c:w val="0.927347227218609"/>
          <c:h val="0.351749529403843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a:noFill/>
        </a:ln>
      </c:spPr>
    </c:floor>
    <c:sideWall>
      <c:thickness val="0"/>
      <c:spPr>
        <a:noFill/>
        <a:ln w="25400">
          <a:noFill/>
        </a:ln>
      </c:spPr>
    </c:sideWall>
    <c:backWall>
      <c:thickness val="0"/>
      <c:spPr>
        <a:noFill/>
        <a:ln w="25400">
          <a:noFill/>
        </a:ln>
      </c:spPr>
    </c:backWall>
    <c:plotArea>
      <c:layout/>
      <c:bar3DChart>
        <c:barDir val="bar"/>
        <c:grouping val="stacked"/>
        <c:varyColors val="0"/>
        <c:ser>
          <c:idx val="0"/>
          <c:order val="0"/>
          <c:spPr>
            <a:solidFill>
              <a:srgbClr val="4F81BD"/>
            </a:solidFill>
            <a:ln w="25400">
              <a:noFill/>
            </a:ln>
          </c:spPr>
          <c:invertIfNegative val="0"/>
          <c:dLbls>
            <c:dLbl>
              <c:idx val="0"/>
              <c:layout>
                <c:manualLayout>
                  <c:x val="0.058076225045371965"/>
                  <c:y val="1.0816000913008136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63A-40F0-8E7F-CCF7BDCEE5CA}"/>
                </c:ext>
              </c:extLst>
            </c:dLbl>
            <c:dLbl>
              <c:idx val="1"/>
              <c:layout>
                <c:manualLayout>
                  <c:x val="0.07259528130671497"/>
                  <c:y val="-1.0816000913008136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63A-40F0-8E7F-CCF7BDCEE5CA}"/>
                </c:ext>
              </c:extLst>
            </c:dLbl>
            <c:dLbl>
              <c:idx val="2"/>
              <c:layout>
                <c:manualLayout>
                  <c:x val="0.058076225045371965"/>
                  <c:y val="-1.0816000913008136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63A-40F0-8E7F-CCF7BDCEE5CA}"/>
                </c:ext>
              </c:extLst>
            </c:dLbl>
            <c:dLbl>
              <c:idx val="3"/>
              <c:layout>
                <c:manualLayout>
                  <c:x val="0.05565638233514821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63A-40F0-8E7F-CCF7BDCEE5CA}"/>
                </c:ext>
              </c:extLst>
            </c:dLbl>
            <c:dLbl>
              <c:idx val="4"/>
              <c:layout>
                <c:manualLayout>
                  <c:x val="0.058076225045371965"/>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63A-40F0-8E7F-CCF7BDCEE5CA}"/>
                </c:ext>
              </c:extLst>
            </c:dLbl>
            <c:dLbl>
              <c:idx val="5"/>
              <c:layout>
                <c:manualLayout>
                  <c:x val="0.06291591046581972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63A-40F0-8E7F-CCF7BDCEE5CA}"/>
                </c:ext>
              </c:extLst>
            </c:dLbl>
            <c:dLbl>
              <c:idx val="6"/>
              <c:layout>
                <c:manualLayout>
                  <c:x val="0.060496067755595885"/>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63A-40F0-8E7F-CCF7BDCEE5CA}"/>
                </c:ext>
              </c:extLst>
            </c:dLbl>
            <c:dLbl>
              <c:idx val="7"/>
              <c:layout>
                <c:manualLayout>
                  <c:x val="0.10405323653962492"/>
                  <c:y val="-0.002949852507374631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63A-40F0-8E7F-CCF7BDCEE5CA}"/>
                </c:ext>
              </c:extLst>
            </c:dLbl>
            <c:dLbl>
              <c:idx val="8"/>
              <c:layout>
                <c:manualLayout>
                  <c:x val="0.096793708408953419"/>
                  <c:y val="-5.408000456504067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63A-40F0-8E7F-CCF7BDCEE5CA}"/>
                </c:ext>
              </c:extLst>
            </c:dLbl>
            <c:dLbl>
              <c:idx val="9"/>
              <c:layout>
                <c:manualLayout>
                  <c:x val="0.1113127646702964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63A-40F0-8E7F-CCF7BDCEE5CA}"/>
                </c:ext>
              </c:extLst>
            </c:dLbl>
            <c:dLbl>
              <c:idx val="10"/>
              <c:layout>
                <c:manualLayout>
                  <c:x val="0.12341197822141561"/>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63A-40F0-8E7F-CCF7BDCEE5CA}"/>
                </c:ext>
              </c:extLst>
            </c:dLbl>
            <c:dLbl>
              <c:idx val="11"/>
              <c:layout>
                <c:manualLayout>
                  <c:x val="0.21778584392014519"/>
                  <c:y val="0.0412979351032448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63A-40F0-8E7F-CCF7BDCEE5CA}"/>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діаграма!$I$5:$I$16</c:f>
              <c:strCache>
                <c:ptCount val="12"/>
                <c:pt idx="0">
                  <c:v>Броварська міська рада 0,01%</c:v>
                </c:pt>
                <c:pt idx="1">
                  <c:v>Управління з питань комунальної власності та житла 0,1%</c:v>
                </c:pt>
                <c:pt idx="2">
                  <c:v>Управління культури, сім'ї та молоді 0,1%</c:v>
                </c:pt>
                <c:pt idx="3">
                  <c:v>Служба у справах дітей  0,3%</c:v>
                </c:pt>
                <c:pt idx="4">
                  <c:v>Виконавчий комітет 0,8%</c:v>
                </c:pt>
                <c:pt idx="5">
                  <c:v>Управління освіти та науки 1,2%</c:v>
                </c:pt>
                <c:pt idx="6">
                  <c:v>Відділ фізичної культури та спорту 1,8%</c:v>
                </c:pt>
                <c:pt idx="7">
                  <c:v>Управління з питань ветеранської політики 2,7%</c:v>
                </c:pt>
                <c:pt idx="8">
                  <c:v>Управління  соціального захисту населення 4,5%</c:v>
                </c:pt>
                <c:pt idx="9">
                  <c:v>Відділ охорони здоров'я  11,3%</c:v>
                </c:pt>
                <c:pt idx="10">
                  <c:v>Фінансове управління 11,7%</c:v>
                </c:pt>
                <c:pt idx="11">
                  <c:v>Управління будівництва, житлово-комунального господарства, інфраструктури та транспорту 65,5%</c:v>
                </c:pt>
              </c:strCache>
            </c:strRef>
          </c:cat>
          <c:val>
            <c:numRef>
              <c:f>діаграма!$J$5:$J$16</c:f>
              <c:numCache>
                <c:formatCode>0.0</c:formatCode>
                <c:ptCount val="12"/>
                <c:pt idx="0">
                  <c:v>21.7</c:v>
                </c:pt>
                <c:pt idx="1">
                  <c:v>304.5</c:v>
                </c:pt>
                <c:pt idx="2">
                  <c:v>435.3</c:v>
                </c:pt>
                <c:pt idx="3">
                  <c:v>1316.2</c:v>
                </c:pt>
                <c:pt idx="4">
                  <c:v>3683.5</c:v>
                </c:pt>
                <c:pt idx="5">
                  <c:v>5392.4</c:v>
                </c:pt>
                <c:pt idx="6">
                  <c:v>7881</c:v>
                </c:pt>
                <c:pt idx="7">
                  <c:v>11846.7</c:v>
                </c:pt>
                <c:pt idx="8">
                  <c:v>20141.9</c:v>
                </c:pt>
                <c:pt idx="9">
                  <c:v>50580.5</c:v>
                </c:pt>
                <c:pt idx="10">
                  <c:v>52198.5</c:v>
                </c:pt>
                <c:pt idx="11">
                  <c:v>292478.4</c:v>
                </c:pt>
              </c:numCache>
            </c:numRef>
          </c:val>
          <c:extLst>
            <c:ext xmlns:c16="http://schemas.microsoft.com/office/drawing/2014/chart" uri="{C3380CC4-5D6E-409C-BE32-E72D297353CC}">
              <c16:uniqueId val="{0000000C-563A-40F0-8E7F-CCF7BDCEE5CA}"/>
            </c:ext>
          </c:extLst>
        </c:ser>
        <c:dLbls>
          <c:showLegendKey val="0"/>
          <c:showVal val="0"/>
          <c:showCatName val="0"/>
          <c:showSerName val="0"/>
          <c:showPercent val="0"/>
          <c:showBubbleSize val="0"/>
        </c:dLbls>
        <c:gapWidth val="150"/>
        <c:shape val="box"/>
        <c:axId val="1683756511"/>
        <c:axId val="1"/>
        <c:axId val="0"/>
      </c:bar3DChart>
      <c:catAx>
        <c:axId val="1683756511"/>
        <c:scaling>
          <c:orientation val="minMax"/>
        </c:scaling>
        <c:delete val="0"/>
        <c:axPos val="l"/>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1"/>
        <c:axPos val="b"/>
        <c:majorGridlines>
          <c:spPr>
            <a:ln w="9525">
              <a:solidFill>
                <a:schemeClr val="tx1">
                  <a:lumMod val="15000"/>
                  <a:lumOff val="85000"/>
                </a:schemeClr>
              </a:solidFill>
              <a:round/>
            </a:ln>
            <a:effectLst/>
          </c:spPr>
        </c:majorGridlines>
        <c:numFmt formatCode="0.0" sourceLinked="1"/>
        <c:majorTickMark val="out"/>
        <c:minorTickMark val="none"/>
        <c:tickLblPos val="nextTo"/>
        <c:crossAx val="1683756511"/>
        <c:crosses val="autoZero"/>
        <c:crossBetween val="between"/>
      </c:valAx>
      <c:spPr>
        <a:noFill/>
        <a:ln w="25400">
          <a:noFill/>
        </a:ln>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Ex1.xml><?xml version="1.0" encoding="utf-8"?>
<cx:chartSpace xmlns:cx="http://schemas.microsoft.com/office/drawing/2014/chartex" xmlns:a="http://schemas.openxmlformats.org/drawingml/2006/main" xmlns:r="http://schemas.openxmlformats.org/officeDocument/2006/relationships">
  <cx:chartData>
    <cx:externalData r:id="rId1" cx:autoUpdate="0"/>
    <cx:data id="0">
      <cx:strDim type="cat">
        <cx:f>[бюджет.xlsx]Лист1!$B$2:$B$4</cx:f>
        <cx:lvl ptCount="3">
          <cx:pt idx="0">І півр. 2024 р.</cx:pt>
          <cx:pt idx="1">І півр. 2025 р.</cx:pt>
          <cx:pt idx="2">І півр. 2026 р.</cx:pt>
        </cx:lvl>
      </cx:strDim>
      <cx:numDim type="val">
        <cx:f>[бюджет.xlsx]Лист1!$C$2:$C$4</cx:f>
        <cx:lvl ptCount="3" formatCode="# ##0,0">
          <cx:pt idx="0">497.4</cx:pt>
          <cx:pt idx="1">630.6</cx:pt>
          <cx:pt idx="2">769.3</cx:pt>
        </cx:lvl>
      </cx:numDim>
    </cx:data>
  </cx:chartData>
  <cx:chart>
    <cx:plotArea>
      <cx:plotAreaRegion>
        <cx:series layoutId="waterfall" uniqueId="{BC199758-6DEE-4403-927D-DBA27D76834E}">
          <cx:spPr>
            <a:solidFill>
              <a:schemeClr val="accent4">
                <a:lumMod val="60000"/>
                <a:lumOff val="40000"/>
              </a:schemeClr>
            </a:solidFill>
          </cx:spPr>
          <cx:dataLabels pos="outEnd">
            <cx:txPr>
              <a:bodyPr spcFirstLastPara="1" vertOverflow="ellipsis" horzOverflow="overflow" wrap="square" lIns="0" tIns="0" rIns="0" bIns="0" anchor="ctr" anchorCtr="1"/>
              <a:lstStyle/>
              <a:p>
                <a:pPr algn="ctr" rtl="0">
                  <a:defRPr sz="1100" b="1"/>
                </a:pPr>
                <a:endParaRPr lang="ru-RU" sz="1100" b="1" i="0" u="none" strike="noStrike" baseline="0">
                  <a:solidFill>
                    <a:sysClr val="windowText" lastClr="000000">
                      <a:lumMod val="65000"/>
                      <a:lumOff val="35000"/>
                    </a:sysClr>
                  </a:solidFill>
                  <a:latin typeface="Calibri" panose="020F0502020204030204"/>
                </a:endParaRPr>
              </a:p>
            </cx:txPr>
            <cx:visibility seriesName="0" categoryName="0" value="1"/>
          </cx:dataLabels>
          <cx:dataId val="0"/>
          <cx:layoutPr/>
        </cx:series>
      </cx:plotAreaRegion>
      <cx:axis id="0">
        <cx:catScaling gapWidth="0.5"/>
        <cx:majorTickMarks type="none"/>
        <cx:minorTickMarks type="none"/>
        <cx:tickLabels/>
        <cx:txPr>
          <a:bodyPr spcFirstLastPara="1" vertOverflow="ellipsis" horzOverflow="overflow" wrap="square" lIns="0" tIns="0" rIns="0" bIns="0" anchor="ctr" anchorCtr="1"/>
          <a:lstStyle/>
          <a:p>
            <a:pPr algn="ctr" rtl="0">
              <a:defRPr sz="1000" b="1"/>
            </a:pPr>
            <a:endParaRPr lang="ru-RU" sz="1000" b="1" i="0" u="none" strike="noStrike" baseline="0">
              <a:solidFill>
                <a:sysClr val="windowText" lastClr="000000">
                  <a:lumMod val="65000"/>
                  <a:lumOff val="35000"/>
                </a:sysClr>
              </a:solidFill>
              <a:latin typeface="Calibri" panose="020F0502020204030204"/>
            </a:endParaRPr>
          </a:p>
        </cx:txPr>
      </cx:axis>
      <cx:axis id="1">
        <cx:valScaling/>
        <cx:majorGridlines/>
        <cx:majorTickMarks type="none"/>
        <cx:minorTickMarks type="none"/>
        <cx:tickLabels/>
      </cx:axis>
    </cx:plotArea>
  </cx:chart>
  <cx:clrMapOvr bg1="lt1" tx1="dk1" bg2="lt2" tx2="dk2" accent1="accent1" accent2="accent2" accent3="accent3" accent4="accent4" accent5="accent5" accent6="accent6" hlink="hlink" folHlink="folHlink"/>
</cx:chartSpace>
</file>

<file path=word/diagrams/_rels/data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jpeg" /><Relationship Id="rId3" Type="http://schemas.openxmlformats.org/officeDocument/2006/relationships/image" Target="../media/image3.jpeg" /><Relationship Id="rId4" Type="http://schemas.openxmlformats.org/officeDocument/2006/relationships/image" Target="../media/image4.jpeg" /></Relationships>
</file>

<file path=word/diagrams/_rels/drawing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jpeg" /><Relationship Id="rId3" Type="http://schemas.openxmlformats.org/officeDocument/2006/relationships/image" Target="../media/image3.jpeg" /><Relationship Id="rId4" Type="http://schemas.openxmlformats.org/officeDocument/2006/relationships/image" Target="../media/image4.jpeg" /></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0E187E-20AD-4568-98F5-8233B0D80F51}" type="doc">
      <dgm:prSet loTypeId="urn:microsoft.com/office/officeart/2005/8/layout/hierarchy6#1" loCatId="hierarchy" qsTypeId="urn:microsoft.com/office/officeart/2005/8/quickstyle/simple1" qsCatId="simple" csTypeId="urn:microsoft.com/office/officeart/2005/8/colors/colorful5" csCatId="colorful" phldr="1"/>
      <dgm:spPr/>
      <dgm:t>
        <a:bodyPr/>
        <a:lstStyle/>
        <a:p>
          <a:endParaRPr lang="uk-UA"/>
        </a:p>
      </dgm:t>
    </dgm:pt>
    <dgm:pt modelId="{B19C8424-B537-4BA2-8D0C-A8E269CF7E83}">
      <dgm:prSet phldrT="[Текст]" custT="1"/>
      <dgm:spPr>
        <a:xfrm>
          <a:off x="1591818" y="194159"/>
          <a:ext cx="2658314" cy="516117"/>
        </a:xfrm>
        <a:prstGeom prst="roundRect">
          <a:avLst>
            <a:gd name="adj" fmla="val 10000"/>
          </a:avLst>
        </a:prstGeom>
        <a:solidFill>
          <a:srgbClr val="FFC000">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1600" b="1">
              <a:solidFill>
                <a:sysClr val="window" lastClr="FFFFFF"/>
              </a:solidFill>
              <a:latin typeface="Calibri" panose="020F0502020204030204"/>
              <a:ea typeface="+mn-ea"/>
              <a:cs typeface="+mn-cs"/>
            </a:rPr>
            <a:t>Заклади освіти</a:t>
          </a:r>
        </a:p>
      </dgm:t>
    </dgm:pt>
    <dgm:pt modelId="{705429D9-42D9-49A0-B3E0-9B8B77116A68}" type="parTrans" cxnId="{CC0AE530-778A-4427-8714-DB0D21F9DFD1}">
      <dgm:prSet/>
      <dgm:spPr/>
      <dgm:t>
        <a:bodyPr/>
        <a:lstStyle/>
        <a:p>
          <a:endParaRPr lang="uk-UA"/>
        </a:p>
      </dgm:t>
    </dgm:pt>
    <dgm:pt modelId="{D8E81D76-9D29-4C35-860D-DCB3D1E0EA1A}" type="sibTrans" cxnId="{CC0AE530-778A-4427-8714-DB0D21F9DFD1}">
      <dgm:prSet/>
      <dgm:spPr/>
      <dgm:t>
        <a:bodyPr/>
        <a:lstStyle/>
        <a:p>
          <a:endParaRPr lang="uk-UA"/>
        </a:p>
      </dgm:t>
    </dgm:pt>
    <dgm:pt modelId="{2B3DBE35-234F-4730-9256-F2756351BBE8}">
      <dgm:prSet phldrT="[Текст]" custT="1"/>
      <dgm:spPr>
        <a:xfrm>
          <a:off x="311659" y="916724"/>
          <a:ext cx="1158695" cy="516117"/>
        </a:xfrm>
        <a:prstGeom prst="roundRect">
          <a:avLst>
            <a:gd name="adj" fmla="val 10000"/>
          </a:avLst>
        </a:prstGeom>
        <a:solidFill>
          <a:srgbClr val="70AD47">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1400" b="1">
              <a:solidFill>
                <a:sysClr val="window" lastClr="FFFFFF"/>
              </a:solidFill>
              <a:latin typeface="Calibri" panose="020F0502020204030204"/>
              <a:ea typeface="+mn-ea"/>
              <a:cs typeface="+mn-cs"/>
            </a:rPr>
            <a:t>Дошкільна освіта</a:t>
          </a:r>
        </a:p>
      </dgm:t>
    </dgm:pt>
    <dgm:pt modelId="{EC5D80CF-A1D0-444B-8C6C-7E4F5C1EEC2A}" type="parTrans" cxnId="{3BCCC2EA-C47F-4565-945C-82350147E8AA}">
      <dgm:prSet/>
      <dgm:spPr>
        <a:xfrm>
          <a:off x="891007" y="710277"/>
          <a:ext cx="2029968" cy="206446"/>
        </a:xfrm>
        <a:custGeom>
          <a:avLst/>
          <a:gdLst/>
          <a:rect l="0" t="0" r="0" b="0"/>
          <a:pathLst>
            <a:path fill="norm" stroke="1">
              <a:moveTo>
                <a:pt x="2029968" y="0"/>
              </a:moveTo>
              <a:lnTo>
                <a:pt x="2029968" y="103222"/>
              </a:lnTo>
              <a:lnTo>
                <a:pt x="0" y="103222"/>
              </a:lnTo>
              <a:lnTo>
                <a:pt x="0" y="206445"/>
              </a:lnTo>
            </a:path>
          </a:pathLst>
        </a:custGeom>
        <a:noFill/>
        <a:ln w="12700">
          <a:solidFill>
            <a:srgbClr val="70AD47">
              <a:hueOff val="0"/>
              <a:satOff val="0"/>
              <a:lumOff val="0"/>
              <a:alphaOff val="0"/>
            </a:srgbClr>
          </a:solidFill>
          <a:prstDash val="solid"/>
          <a:miter lim="800000"/>
        </a:ln>
        <a:effectLst/>
      </dgm:spPr>
      <dgm:t>
        <a:bodyPr/>
        <a:lstStyle/>
        <a:p>
          <a:endParaRPr lang="uk-UA"/>
        </a:p>
      </dgm:t>
    </dgm:pt>
    <dgm:pt modelId="{E44774C3-737B-4DF4-AB62-EA7F46FD538F}" type="sibTrans" cxnId="{3BCCC2EA-C47F-4565-945C-82350147E8AA}">
      <dgm:prSet/>
      <dgm:spPr/>
      <dgm:t>
        <a:bodyPr/>
        <a:lstStyle/>
        <a:p>
          <a:endParaRPr lang="uk-UA"/>
        </a:p>
      </dgm:t>
    </dgm:pt>
    <dgm:pt modelId="{553CBD3D-9480-41A6-BB45-14C6734ACD10}">
      <dgm:prSet phldrT="[Текст]" custT="1"/>
      <dgm:spPr>
        <a:xfrm>
          <a:off x="2135477" y="916724"/>
          <a:ext cx="1536755" cy="516117"/>
        </a:xfrm>
        <a:prstGeom prst="roundRect">
          <a:avLst>
            <a:gd name="adj" fmla="val 10000"/>
          </a:avLst>
        </a:prstGeom>
        <a:solidFill>
          <a:srgbClr val="70AD47">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1400" b="1">
              <a:solidFill>
                <a:sysClr val="window" lastClr="FFFFFF"/>
              </a:solidFill>
              <a:latin typeface="Calibri" panose="020F0502020204030204"/>
              <a:ea typeface="+mn-ea"/>
              <a:cs typeface="+mn-cs"/>
            </a:rPr>
            <a:t>Загальна середня освіта</a:t>
          </a:r>
        </a:p>
      </dgm:t>
    </dgm:pt>
    <dgm:pt modelId="{7E7C531D-7091-425C-B0B5-DBB0DE69D211}" type="parTrans" cxnId="{0468E563-E3ED-47CD-AAA7-6304DB534C18}">
      <dgm:prSet/>
      <dgm:spPr>
        <a:xfrm>
          <a:off x="2858134" y="710277"/>
          <a:ext cx="91440" cy="206446"/>
        </a:xfrm>
        <a:custGeom>
          <a:avLst/>
          <a:gdLst/>
          <a:rect l="0" t="0" r="0" b="0"/>
          <a:pathLst>
            <a:path fill="norm" stroke="1">
              <a:moveTo>
                <a:pt x="62840" y="0"/>
              </a:moveTo>
              <a:lnTo>
                <a:pt x="62840" y="103222"/>
              </a:lnTo>
              <a:lnTo>
                <a:pt x="45720" y="103222"/>
              </a:lnTo>
              <a:lnTo>
                <a:pt x="45720" y="206445"/>
              </a:lnTo>
            </a:path>
          </a:pathLst>
        </a:custGeom>
        <a:noFill/>
        <a:ln w="12700">
          <a:solidFill>
            <a:srgbClr val="70AD47">
              <a:hueOff val="0"/>
              <a:satOff val="0"/>
              <a:lumOff val="0"/>
              <a:alphaOff val="0"/>
            </a:srgbClr>
          </a:solidFill>
          <a:prstDash val="solid"/>
          <a:miter lim="800000"/>
        </a:ln>
        <a:effectLst/>
      </dgm:spPr>
      <dgm:t>
        <a:bodyPr/>
        <a:lstStyle/>
        <a:p>
          <a:endParaRPr lang="uk-UA"/>
        </a:p>
      </dgm:t>
    </dgm:pt>
    <dgm:pt modelId="{F4FE0E5A-5773-4DCA-AD3B-F13C3B445ADD}" type="sibTrans" cxnId="{0468E563-E3ED-47CD-AAA7-6304DB534C18}">
      <dgm:prSet/>
      <dgm:spPr/>
      <dgm:t>
        <a:bodyPr/>
        <a:lstStyle/>
        <a:p>
          <a:endParaRPr lang="uk-UA"/>
        </a:p>
      </dgm:t>
    </dgm:pt>
    <dgm:pt modelId="{E0684B62-C82C-490B-A7D5-BC4AD4618F8F}">
      <dgm:prSet phldrT="[Текст]" custT="1"/>
      <dgm:spPr>
        <a:xfrm>
          <a:off x="4303113" y="916724"/>
          <a:ext cx="1227179" cy="516117"/>
        </a:xfrm>
        <a:prstGeom prst="roundRect">
          <a:avLst>
            <a:gd name="adj" fmla="val 10000"/>
          </a:avLst>
        </a:prstGeom>
        <a:solidFill>
          <a:srgbClr val="70AD47">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1400" b="1">
              <a:solidFill>
                <a:sysClr val="window" lastClr="FFFFFF"/>
              </a:solidFill>
              <a:latin typeface="Calibri" panose="020F0502020204030204"/>
              <a:ea typeface="+mn-ea"/>
              <a:cs typeface="+mn-cs"/>
            </a:rPr>
            <a:t>Позашкільна освіта</a:t>
          </a:r>
        </a:p>
      </dgm:t>
    </dgm:pt>
    <dgm:pt modelId="{9A1889C7-0CBE-4D37-8904-BDCCDB358E28}" type="parTrans" cxnId="{EA871DCD-11F4-4FF2-9ECD-CF345A5F73D4}">
      <dgm:prSet/>
      <dgm:spPr>
        <a:xfrm>
          <a:off x="2920975" y="710277"/>
          <a:ext cx="1995727" cy="206446"/>
        </a:xfrm>
        <a:custGeom>
          <a:avLst/>
          <a:gdLst/>
          <a:rect l="0" t="0" r="0" b="0"/>
          <a:pathLst>
            <a:path fill="norm" stroke="1">
              <a:moveTo>
                <a:pt x="0" y="0"/>
              </a:moveTo>
              <a:lnTo>
                <a:pt x="0" y="103222"/>
              </a:lnTo>
              <a:lnTo>
                <a:pt x="1995727" y="103222"/>
              </a:lnTo>
              <a:lnTo>
                <a:pt x="1995727" y="206445"/>
              </a:lnTo>
            </a:path>
          </a:pathLst>
        </a:custGeom>
        <a:noFill/>
        <a:ln w="12700">
          <a:solidFill>
            <a:srgbClr val="70AD47">
              <a:hueOff val="0"/>
              <a:satOff val="0"/>
              <a:lumOff val="0"/>
              <a:alphaOff val="0"/>
            </a:srgbClr>
          </a:solidFill>
          <a:prstDash val="solid"/>
          <a:miter lim="800000"/>
        </a:ln>
        <a:effectLst/>
      </dgm:spPr>
      <dgm:t>
        <a:bodyPr/>
        <a:lstStyle/>
        <a:p>
          <a:endParaRPr lang="uk-UA"/>
        </a:p>
      </dgm:t>
    </dgm:pt>
    <dgm:pt modelId="{E73DB28F-BE08-4931-B448-431CFEFD49A4}" type="sibTrans" cxnId="{EA871DCD-11F4-4FF2-9ECD-CF345A5F73D4}">
      <dgm:prSet/>
      <dgm:spPr/>
      <dgm:t>
        <a:bodyPr/>
        <a:lstStyle/>
        <a:p>
          <a:endParaRPr lang="uk-UA"/>
        </a:p>
      </dgm:t>
    </dgm:pt>
    <dgm:pt modelId="{B87D1AC7-4EDA-47EA-8F2A-D1938CF6D1B5}">
      <dgm:prSet/>
      <dgm:spPr>
        <a:xfrm>
          <a:off x="4026404"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b="1">
              <a:solidFill>
                <a:sysClr val="window" lastClr="FFFFFF"/>
              </a:solidFill>
              <a:latin typeface="Calibri" panose="020F0502020204030204"/>
              <a:ea typeface="+mn-ea"/>
              <a:cs typeface="+mn-cs"/>
            </a:rPr>
            <a:t>5 комунальних закладів</a:t>
          </a:r>
        </a:p>
      </dgm:t>
    </dgm:pt>
    <dgm:pt modelId="{6876BF16-EBF5-40D2-9679-1AAB291F3F45}" type="parTrans" cxnId="{A428695E-03B3-4A46-BFC1-DB7D5DA67152}">
      <dgm:prSet/>
      <dgm:spPr>
        <a:xfrm>
          <a:off x="4413490" y="1432841"/>
          <a:ext cx="503211" cy="206446"/>
        </a:xfrm>
        <a:custGeom>
          <a:avLst/>
          <a:gdLst/>
          <a:rect l="0" t="0" r="0" b="0"/>
          <a:pathLst>
            <a:path fill="norm" stroke="1">
              <a:moveTo>
                <a:pt x="503211" y="0"/>
              </a:moveTo>
              <a:lnTo>
                <a:pt x="503211" y="103222"/>
              </a:lnTo>
              <a:lnTo>
                <a:pt x="0" y="103222"/>
              </a:lnTo>
              <a:lnTo>
                <a:pt x="0" y="206445"/>
              </a:lnTo>
            </a:path>
          </a:pathLst>
        </a:custGeom>
        <a:noFill/>
        <a:ln w="12700">
          <a:solidFill>
            <a:srgbClr val="4472C4">
              <a:hueOff val="0"/>
              <a:satOff val="0"/>
              <a:lumOff val="0"/>
              <a:alphaOff val="0"/>
            </a:srgbClr>
          </a:solidFill>
          <a:prstDash val="solid"/>
          <a:miter lim="800000"/>
        </a:ln>
        <a:effectLst/>
      </dgm:spPr>
      <dgm:t>
        <a:bodyPr/>
        <a:lstStyle/>
        <a:p>
          <a:endParaRPr lang="uk-UA"/>
        </a:p>
      </dgm:t>
    </dgm:pt>
    <dgm:pt modelId="{1C30FFD0-83ED-4CB2-A6CA-86CEEB277B32}" type="sibTrans" cxnId="{A428695E-03B3-4A46-BFC1-DB7D5DA67152}">
      <dgm:prSet/>
      <dgm:spPr/>
      <dgm:t>
        <a:bodyPr/>
        <a:lstStyle/>
        <a:p>
          <a:endParaRPr lang="uk-UA"/>
        </a:p>
      </dgm:t>
    </dgm:pt>
    <dgm:pt modelId="{256185D4-0523-4A80-87AD-7EEA4153CA87}">
      <dgm:prSet/>
      <dgm:spPr>
        <a:xfrm>
          <a:off x="5032828"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b="1">
              <a:solidFill>
                <a:sysClr val="window" lastClr="FFFFFF"/>
              </a:solidFill>
              <a:latin typeface="Calibri" panose="020F0502020204030204"/>
              <a:ea typeface="+mn-ea"/>
              <a:cs typeface="+mn-cs"/>
            </a:rPr>
            <a:t>1 приватний заклад</a:t>
          </a:r>
        </a:p>
      </dgm:t>
    </dgm:pt>
    <dgm:pt modelId="{2935D4ED-9015-442C-A811-B312648F743A}" type="parTrans" cxnId="{ED5281FA-12C2-477E-8E86-5EF9A82B5F7A}">
      <dgm:prSet/>
      <dgm:spPr>
        <a:xfrm>
          <a:off x="4916702" y="1432841"/>
          <a:ext cx="503211" cy="206446"/>
        </a:xfrm>
        <a:custGeom>
          <a:avLst/>
          <a:gdLst/>
          <a:rect l="0" t="0" r="0" b="0"/>
          <a:pathLst>
            <a:path fill="norm" stroke="1">
              <a:moveTo>
                <a:pt x="0" y="0"/>
              </a:moveTo>
              <a:lnTo>
                <a:pt x="0" y="103222"/>
              </a:lnTo>
              <a:lnTo>
                <a:pt x="503211" y="103222"/>
              </a:lnTo>
              <a:lnTo>
                <a:pt x="503211" y="206445"/>
              </a:lnTo>
            </a:path>
          </a:pathLst>
        </a:custGeom>
        <a:noFill/>
        <a:ln w="12700">
          <a:solidFill>
            <a:srgbClr val="4472C4">
              <a:hueOff val="0"/>
              <a:satOff val="0"/>
              <a:lumOff val="0"/>
              <a:alphaOff val="0"/>
            </a:srgbClr>
          </a:solidFill>
          <a:prstDash val="solid"/>
          <a:miter lim="800000"/>
        </a:ln>
        <a:effectLst/>
      </dgm:spPr>
      <dgm:t>
        <a:bodyPr/>
        <a:lstStyle/>
        <a:p>
          <a:endParaRPr lang="uk-UA"/>
        </a:p>
      </dgm:t>
    </dgm:pt>
    <dgm:pt modelId="{199122C4-F072-437C-A5C3-E2404CB44D7A}" type="sibTrans" cxnId="{ED5281FA-12C2-477E-8E86-5EF9A82B5F7A}">
      <dgm:prSet/>
      <dgm:spPr/>
      <dgm:t>
        <a:bodyPr/>
        <a:lstStyle/>
        <a:p>
          <a:endParaRPr lang="uk-UA"/>
        </a:p>
      </dgm:t>
    </dgm:pt>
    <dgm:pt modelId="{680A4D94-9044-4E2B-90A9-0BC7166E19C1}">
      <dgm:prSet/>
      <dgm:spPr>
        <a:xfrm>
          <a:off x="2013556"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b="1">
              <a:solidFill>
                <a:sysClr val="window" lastClr="FFFFFF"/>
              </a:solidFill>
              <a:latin typeface="Calibri" panose="020F0502020204030204"/>
              <a:ea typeface="+mn-ea"/>
              <a:cs typeface="+mn-cs"/>
            </a:rPr>
            <a:t>14 комунальних закладів</a:t>
          </a:r>
        </a:p>
      </dgm:t>
    </dgm:pt>
    <dgm:pt modelId="{2E71B80A-4D1C-4C71-972F-2C8E0767B034}" type="parTrans" cxnId="{9C6006A7-DA53-4786-BF20-E49E34AF2A82}">
      <dgm:prSet/>
      <dgm:spPr>
        <a:xfrm>
          <a:off x="2400643" y="1432841"/>
          <a:ext cx="503211" cy="206446"/>
        </a:xfrm>
        <a:custGeom>
          <a:avLst/>
          <a:gdLst/>
          <a:rect l="0" t="0" r="0" b="0"/>
          <a:pathLst>
            <a:path fill="norm" stroke="1">
              <a:moveTo>
                <a:pt x="503211" y="0"/>
              </a:moveTo>
              <a:lnTo>
                <a:pt x="503211" y="103222"/>
              </a:lnTo>
              <a:lnTo>
                <a:pt x="0" y="103222"/>
              </a:lnTo>
              <a:lnTo>
                <a:pt x="0" y="206445"/>
              </a:lnTo>
            </a:path>
          </a:pathLst>
        </a:custGeom>
        <a:noFill/>
        <a:ln w="12700">
          <a:solidFill>
            <a:srgbClr val="4472C4">
              <a:hueOff val="0"/>
              <a:satOff val="0"/>
              <a:lumOff val="0"/>
              <a:alphaOff val="0"/>
            </a:srgbClr>
          </a:solidFill>
          <a:prstDash val="solid"/>
          <a:miter lim="800000"/>
        </a:ln>
        <a:effectLst/>
      </dgm:spPr>
      <dgm:t>
        <a:bodyPr/>
        <a:lstStyle/>
        <a:p>
          <a:endParaRPr lang="uk-UA"/>
        </a:p>
      </dgm:t>
    </dgm:pt>
    <dgm:pt modelId="{08F3F62D-CF1A-46AA-99D8-81DF852C6136}" type="sibTrans" cxnId="{9C6006A7-DA53-4786-BF20-E49E34AF2A82}">
      <dgm:prSet/>
      <dgm:spPr/>
      <dgm:t>
        <a:bodyPr/>
        <a:lstStyle/>
        <a:p>
          <a:endParaRPr lang="uk-UA"/>
        </a:p>
      </dgm:t>
    </dgm:pt>
    <dgm:pt modelId="{57AA8A77-8964-4F0A-ABE1-2B296B1734C6}">
      <dgm:prSet/>
      <dgm:spPr>
        <a:xfrm>
          <a:off x="3019980"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b="1">
              <a:solidFill>
                <a:sysClr val="window" lastClr="FFFFFF"/>
              </a:solidFill>
              <a:latin typeface="Calibri" panose="020F0502020204030204"/>
              <a:ea typeface="+mn-ea"/>
              <a:cs typeface="+mn-cs"/>
            </a:rPr>
            <a:t>7 приватних закладів</a:t>
          </a:r>
        </a:p>
      </dgm:t>
    </dgm:pt>
    <dgm:pt modelId="{C8A12C10-3B77-4BB5-B9C6-090FD9307F25}" type="parTrans" cxnId="{490194C9-7A21-47B2-8EFC-1FCA8E2090FA}">
      <dgm:prSet/>
      <dgm:spPr>
        <a:xfrm>
          <a:off x="2903854" y="1432841"/>
          <a:ext cx="503211" cy="206446"/>
        </a:xfrm>
        <a:custGeom>
          <a:avLst/>
          <a:gdLst/>
          <a:rect l="0" t="0" r="0" b="0"/>
          <a:pathLst>
            <a:path fill="norm" stroke="1">
              <a:moveTo>
                <a:pt x="0" y="0"/>
              </a:moveTo>
              <a:lnTo>
                <a:pt x="0" y="103222"/>
              </a:lnTo>
              <a:lnTo>
                <a:pt x="503211" y="103222"/>
              </a:lnTo>
              <a:lnTo>
                <a:pt x="503211" y="206445"/>
              </a:lnTo>
            </a:path>
          </a:pathLst>
        </a:custGeom>
        <a:noFill/>
        <a:ln w="12700">
          <a:solidFill>
            <a:srgbClr val="4472C4">
              <a:hueOff val="0"/>
              <a:satOff val="0"/>
              <a:lumOff val="0"/>
              <a:alphaOff val="0"/>
            </a:srgbClr>
          </a:solidFill>
          <a:prstDash val="solid"/>
          <a:miter lim="800000"/>
        </a:ln>
        <a:effectLst/>
      </dgm:spPr>
      <dgm:t>
        <a:bodyPr/>
        <a:lstStyle/>
        <a:p>
          <a:endParaRPr lang="uk-UA"/>
        </a:p>
      </dgm:t>
    </dgm:pt>
    <dgm:pt modelId="{DEA09876-D260-4AB0-8FF1-DF562C11C026}" type="sibTrans" cxnId="{490194C9-7A21-47B2-8EFC-1FCA8E2090FA}">
      <dgm:prSet/>
      <dgm:spPr/>
      <dgm:t>
        <a:bodyPr/>
        <a:lstStyle/>
        <a:p>
          <a:endParaRPr lang="uk-UA"/>
        </a:p>
      </dgm:t>
    </dgm:pt>
    <dgm:pt modelId="{349A5BB2-068D-49B6-8272-9556F26D746B}">
      <dgm:prSet custT="1"/>
      <dgm:spPr>
        <a:xfrm>
          <a:off x="708"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900" b="1">
              <a:solidFill>
                <a:sysClr val="window" lastClr="FFFFFF"/>
              </a:solidFill>
              <a:latin typeface="Calibri" panose="020F0502020204030204"/>
              <a:ea typeface="+mn-ea"/>
              <a:cs typeface="+mn-cs"/>
            </a:rPr>
            <a:t>23 комунальні заклади</a:t>
          </a:r>
        </a:p>
      </dgm:t>
    </dgm:pt>
    <dgm:pt modelId="{805231E7-3880-412C-8CA8-BED0DC3DA969}" type="parTrans" cxnId="{70366106-B7EF-40F9-A89E-AB29891BA58F}">
      <dgm:prSet/>
      <dgm:spPr>
        <a:xfrm>
          <a:off x="387795" y="1432841"/>
          <a:ext cx="503211" cy="206446"/>
        </a:xfrm>
        <a:custGeom>
          <a:avLst/>
          <a:gdLst/>
          <a:rect l="0" t="0" r="0" b="0"/>
          <a:pathLst>
            <a:path fill="norm" stroke="1">
              <a:moveTo>
                <a:pt x="503211" y="0"/>
              </a:moveTo>
              <a:lnTo>
                <a:pt x="503211" y="103222"/>
              </a:lnTo>
              <a:lnTo>
                <a:pt x="0" y="103222"/>
              </a:lnTo>
              <a:lnTo>
                <a:pt x="0" y="206445"/>
              </a:lnTo>
            </a:path>
          </a:pathLst>
        </a:custGeom>
        <a:noFill/>
        <a:ln w="12700">
          <a:solidFill>
            <a:srgbClr val="4472C4">
              <a:hueOff val="0"/>
              <a:satOff val="0"/>
              <a:lumOff val="0"/>
              <a:alphaOff val="0"/>
            </a:srgbClr>
          </a:solidFill>
          <a:prstDash val="solid"/>
          <a:miter lim="800000"/>
        </a:ln>
        <a:effectLst/>
      </dgm:spPr>
      <dgm:t>
        <a:bodyPr/>
        <a:lstStyle/>
        <a:p>
          <a:endParaRPr lang="uk-UA"/>
        </a:p>
      </dgm:t>
    </dgm:pt>
    <dgm:pt modelId="{5880087B-F7D5-4577-A1C0-55BB36C217B3}" type="sibTrans" cxnId="{70366106-B7EF-40F9-A89E-AB29891BA58F}">
      <dgm:prSet/>
      <dgm:spPr/>
      <dgm:t>
        <a:bodyPr/>
        <a:lstStyle/>
        <a:p>
          <a:endParaRPr lang="uk-UA"/>
        </a:p>
      </dgm:t>
    </dgm:pt>
    <dgm:pt modelId="{A0790A5E-823D-4C68-9381-1641E51743D0}">
      <dgm:prSet custT="1"/>
      <dgm:spPr>
        <a:xfrm>
          <a:off x="1007132"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900" b="1">
              <a:solidFill>
                <a:sysClr val="window" lastClr="FFFFFF"/>
              </a:solidFill>
              <a:latin typeface="Calibri" panose="020F0502020204030204"/>
              <a:ea typeface="+mn-ea"/>
              <a:cs typeface="+mn-cs"/>
            </a:rPr>
            <a:t>9</a:t>
          </a:r>
        </a:p>
        <a:p>
          <a:pPr>
            <a:buNone/>
          </a:pPr>
          <a:r>
            <a:rPr lang="uk-UA" sz="900" b="1">
              <a:solidFill>
                <a:sysClr val="window" lastClr="FFFFFF"/>
              </a:solidFill>
              <a:latin typeface="Calibri" panose="020F0502020204030204"/>
              <a:ea typeface="+mn-ea"/>
              <a:cs typeface="+mn-cs"/>
            </a:rPr>
            <a:t> приватних закладів</a:t>
          </a:r>
        </a:p>
      </dgm:t>
    </dgm:pt>
    <dgm:pt modelId="{20C62070-0F51-428F-9E64-5D6621A8EC14}" type="parTrans" cxnId="{A00096BA-E11F-420B-9962-F5882D5523CD}">
      <dgm:prSet/>
      <dgm:spPr>
        <a:xfrm>
          <a:off x="891007" y="1432841"/>
          <a:ext cx="503211" cy="206446"/>
        </a:xfrm>
        <a:custGeom>
          <a:avLst/>
          <a:gdLst/>
          <a:rect l="0" t="0" r="0" b="0"/>
          <a:pathLst>
            <a:path fill="norm" stroke="1">
              <a:moveTo>
                <a:pt x="0" y="0"/>
              </a:moveTo>
              <a:lnTo>
                <a:pt x="0" y="103222"/>
              </a:lnTo>
              <a:lnTo>
                <a:pt x="503211" y="103222"/>
              </a:lnTo>
              <a:lnTo>
                <a:pt x="503211" y="206445"/>
              </a:lnTo>
            </a:path>
          </a:pathLst>
        </a:custGeom>
        <a:noFill/>
        <a:ln w="12700">
          <a:solidFill>
            <a:srgbClr val="4472C4">
              <a:hueOff val="0"/>
              <a:satOff val="0"/>
              <a:lumOff val="0"/>
              <a:alphaOff val="0"/>
            </a:srgbClr>
          </a:solidFill>
          <a:prstDash val="solid"/>
          <a:miter lim="800000"/>
        </a:ln>
        <a:effectLst/>
      </dgm:spPr>
      <dgm:t>
        <a:bodyPr/>
        <a:lstStyle/>
        <a:p>
          <a:endParaRPr lang="uk-UA"/>
        </a:p>
      </dgm:t>
    </dgm:pt>
    <dgm:pt modelId="{DF700CC1-C446-49B8-AA2F-06A2CC2BA3B6}" type="sibTrans" cxnId="{A00096BA-E11F-420B-9962-F5882D5523CD}">
      <dgm:prSet/>
      <dgm:spPr/>
      <dgm:t>
        <a:bodyPr/>
        <a:lstStyle/>
        <a:p>
          <a:endParaRPr lang="uk-UA"/>
        </a:p>
      </dgm:t>
    </dgm:pt>
    <dgm:pt modelId="{4464998F-71C5-4DD3-BA81-09B82EA86249}">
      <dgm:prSet custT="1"/>
      <dgm:spPr>
        <a:xfrm>
          <a:off x="708"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1000" b="0">
              <a:solidFill>
                <a:sysClr val="window" lastClr="FFFFFF"/>
              </a:solidFill>
              <a:latin typeface="Calibri" panose="020F0502020204030204"/>
              <a:ea typeface="+mn-ea"/>
              <a:cs typeface="+mn-cs"/>
            </a:rPr>
            <a:t>3993 дитини</a:t>
          </a:r>
        </a:p>
      </dgm:t>
    </dgm:pt>
    <dgm:pt modelId="{04CE845F-EE68-4D32-A416-27684FC42B20}" type="parTrans" cxnId="{7F3EED4D-D4B9-404E-A42F-DF275AE24549}">
      <dgm:prSet/>
      <dgm:spPr>
        <a:xfrm>
          <a:off x="342075"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gm:spPr>
      <dgm:t>
        <a:bodyPr/>
        <a:lstStyle/>
        <a:p>
          <a:endParaRPr lang="uk-UA"/>
        </a:p>
      </dgm:t>
    </dgm:pt>
    <dgm:pt modelId="{57BE3051-CDAA-416C-B7D4-C097E77CC981}" type="sibTrans" cxnId="{7F3EED4D-D4B9-404E-A42F-DF275AE24549}">
      <dgm:prSet/>
      <dgm:spPr/>
      <dgm:t>
        <a:bodyPr/>
        <a:lstStyle/>
        <a:p>
          <a:endParaRPr lang="uk-UA"/>
        </a:p>
      </dgm:t>
    </dgm:pt>
    <dgm:pt modelId="{4CE50366-3DCC-44F2-96B9-C75960C4C501}">
      <dgm:prSet custT="1"/>
      <dgm:spPr>
        <a:xfrm>
          <a:off x="1007132"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sz="1000" b="0">
              <a:solidFill>
                <a:sysClr val="window" lastClr="FFFFFF"/>
              </a:solidFill>
              <a:latin typeface="Calibri" panose="020F0502020204030204"/>
              <a:ea typeface="+mn-ea"/>
              <a:cs typeface="+mn-cs"/>
            </a:rPr>
            <a:t>306 дітей</a:t>
          </a:r>
        </a:p>
      </dgm:t>
    </dgm:pt>
    <dgm:pt modelId="{A56F914B-541B-4417-90C6-85F3317E8226}" type="parTrans" cxnId="{BBD8A1AC-BF03-4CCE-9AA4-4BAF51B64967}">
      <dgm:prSet/>
      <dgm:spPr>
        <a:xfrm>
          <a:off x="1348499"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gm:spPr>
      <dgm:t>
        <a:bodyPr/>
        <a:lstStyle/>
        <a:p>
          <a:endParaRPr lang="uk-UA"/>
        </a:p>
      </dgm:t>
    </dgm:pt>
    <dgm:pt modelId="{9376FF91-413F-4175-9ABB-89A0FB5B1A78}" type="sibTrans" cxnId="{BBD8A1AC-BF03-4CCE-9AA4-4BAF51B64967}">
      <dgm:prSet/>
      <dgm:spPr/>
      <dgm:t>
        <a:bodyPr/>
        <a:lstStyle/>
        <a:p>
          <a:endParaRPr lang="uk-UA"/>
        </a:p>
      </dgm:t>
    </dgm:pt>
    <dgm:pt modelId="{8BFB437A-1E20-4372-A9AE-05AB6489BFAE}">
      <dgm:prSet/>
      <dgm:spPr>
        <a:xfrm>
          <a:off x="2013556"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a:solidFill>
                <a:sysClr val="window" lastClr="FFFFFF"/>
              </a:solidFill>
              <a:latin typeface="Calibri" panose="020F0502020204030204"/>
              <a:ea typeface="+mn-ea"/>
              <a:cs typeface="+mn-cs"/>
            </a:rPr>
            <a:t>16588 дітей</a:t>
          </a:r>
        </a:p>
      </dgm:t>
    </dgm:pt>
    <dgm:pt modelId="{23DF4ECE-784A-4651-99B7-D68527394E2D}" type="parTrans" cxnId="{A33C94DA-D19C-46AF-B811-1BCB7E1B6807}">
      <dgm:prSet/>
      <dgm:spPr>
        <a:xfrm>
          <a:off x="2354923"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gm:spPr>
      <dgm:t>
        <a:bodyPr/>
        <a:lstStyle/>
        <a:p>
          <a:endParaRPr lang="uk-UA"/>
        </a:p>
      </dgm:t>
    </dgm:pt>
    <dgm:pt modelId="{3CB30F51-B7B7-42F4-A3DE-F1FF2FC2AB00}" type="sibTrans" cxnId="{A33C94DA-D19C-46AF-B811-1BCB7E1B6807}">
      <dgm:prSet/>
      <dgm:spPr/>
      <dgm:t>
        <a:bodyPr/>
        <a:lstStyle/>
        <a:p>
          <a:endParaRPr lang="uk-UA"/>
        </a:p>
      </dgm:t>
    </dgm:pt>
    <dgm:pt modelId="{493ECE1D-4AA4-4560-94BB-2652E1176C6E}">
      <dgm:prSet/>
      <dgm:spPr>
        <a:xfrm>
          <a:off x="3019980"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a:solidFill>
                <a:sysClr val="window" lastClr="FFFFFF"/>
              </a:solidFill>
              <a:latin typeface="Calibri" panose="020F0502020204030204"/>
              <a:ea typeface="+mn-ea"/>
              <a:cs typeface="+mn-cs"/>
            </a:rPr>
            <a:t>1086 дітей</a:t>
          </a:r>
        </a:p>
      </dgm:t>
    </dgm:pt>
    <dgm:pt modelId="{839E942F-101A-4F74-9ECA-1D3CDF1765D8}" type="parTrans" cxnId="{9497834E-EF4F-4225-BE93-81D313A747CF}">
      <dgm:prSet/>
      <dgm:spPr>
        <a:xfrm>
          <a:off x="3361346"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gm:spPr>
      <dgm:t>
        <a:bodyPr/>
        <a:lstStyle/>
        <a:p>
          <a:endParaRPr lang="uk-UA"/>
        </a:p>
      </dgm:t>
    </dgm:pt>
    <dgm:pt modelId="{722DAEE1-5460-4138-9CEC-AAF89EF0466F}" type="sibTrans" cxnId="{9497834E-EF4F-4225-BE93-81D313A747CF}">
      <dgm:prSet/>
      <dgm:spPr/>
      <dgm:t>
        <a:bodyPr/>
        <a:lstStyle/>
        <a:p>
          <a:endParaRPr lang="uk-UA"/>
        </a:p>
      </dgm:t>
    </dgm:pt>
    <dgm:pt modelId="{EB257627-3BBE-4199-B2DD-DF80108C9F55}">
      <dgm:prSet/>
      <dgm:spPr>
        <a:xfrm>
          <a:off x="4026404"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a:solidFill>
                <a:sysClr val="window" lastClr="FFFFFF"/>
              </a:solidFill>
              <a:latin typeface="Calibri" panose="020F0502020204030204"/>
              <a:ea typeface="+mn-ea"/>
              <a:cs typeface="+mn-cs"/>
            </a:rPr>
            <a:t>5382  дитини</a:t>
          </a:r>
        </a:p>
      </dgm:t>
    </dgm:pt>
    <dgm:pt modelId="{E3B0E354-08F2-4AEF-BB5A-ADD9C5C207D4}" type="parTrans" cxnId="{D2273D1B-4D56-47C6-BE4B-393526674C75}">
      <dgm:prSet/>
      <dgm:spPr>
        <a:xfrm>
          <a:off x="4367770"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gm:spPr>
      <dgm:t>
        <a:bodyPr/>
        <a:lstStyle/>
        <a:p>
          <a:endParaRPr lang="uk-UA"/>
        </a:p>
      </dgm:t>
    </dgm:pt>
    <dgm:pt modelId="{98FCED86-44FE-41C0-B11A-2AA406B7E729}" type="sibTrans" cxnId="{D2273D1B-4D56-47C6-BE4B-393526674C75}">
      <dgm:prSet/>
      <dgm:spPr/>
      <dgm:t>
        <a:bodyPr/>
        <a:lstStyle/>
        <a:p>
          <a:endParaRPr lang="uk-UA"/>
        </a:p>
      </dgm:t>
    </dgm:pt>
    <dgm:pt modelId="{59FFE1B5-280B-40F2-89EF-83ADB53A2704}">
      <dgm:prSet/>
      <dgm:spPr>
        <a:xfrm>
          <a:off x="5032828"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gm:spPr>
      <dgm:t>
        <a:bodyPr/>
        <a:lstStyle/>
        <a:p>
          <a:pPr>
            <a:buNone/>
          </a:pPr>
          <a:r>
            <a:rPr lang="uk-UA">
              <a:solidFill>
                <a:sysClr val="window" lastClr="FFFFFF"/>
              </a:solidFill>
              <a:latin typeface="Calibri" panose="020F0502020204030204"/>
              <a:ea typeface="+mn-ea"/>
              <a:cs typeface="+mn-cs"/>
            </a:rPr>
            <a:t>150 дітей</a:t>
          </a:r>
        </a:p>
      </dgm:t>
    </dgm:pt>
    <dgm:pt modelId="{D9D35903-D979-4582-A284-CED6C543875A}" type="parTrans" cxnId="{0B16175B-BE06-43C1-9532-E965D5C11ED5}">
      <dgm:prSet/>
      <dgm:spPr>
        <a:xfrm>
          <a:off x="5374194"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gm:spPr>
      <dgm:t>
        <a:bodyPr/>
        <a:lstStyle/>
        <a:p>
          <a:endParaRPr lang="uk-UA"/>
        </a:p>
      </dgm:t>
    </dgm:pt>
    <dgm:pt modelId="{0B33EFA7-C32C-49A2-B721-39AF03915C67}" type="sibTrans" cxnId="{0B16175B-BE06-43C1-9532-E965D5C11ED5}">
      <dgm:prSet/>
      <dgm:spPr/>
      <dgm:t>
        <a:bodyPr/>
        <a:lstStyle/>
        <a:p>
          <a:endParaRPr lang="uk-UA"/>
        </a:p>
      </dgm:t>
    </dgm:pt>
    <dgm:pt modelId="{DCD8E169-9465-473E-8082-E96918CF6E32}" type="pres">
      <dgm:prSet presAssocID="{DE0E187E-20AD-4568-98F5-8233B0D80F51}" presName="mainComposite" presStyleCnt="0">
        <dgm:presLayoutVars>
          <dgm:chPref val="1"/>
          <dgm:dir val="norm"/>
          <dgm:animOne val="branch"/>
          <dgm:animLvl val="lvl"/>
          <dgm:resizeHandles val="exact"/>
        </dgm:presLayoutVars>
      </dgm:prSet>
      <dgm:spPr/>
    </dgm:pt>
    <dgm:pt modelId="{DBEE373F-44C9-4370-801E-3D3F7D988530}" type="pres">
      <dgm:prSet presAssocID="{DE0E187E-20AD-4568-98F5-8233B0D80F51}" presName="hierFlow" presStyleCnt="0"/>
      <dgm:spPr/>
    </dgm:pt>
    <dgm:pt modelId="{9E1A2D68-B5E0-42EE-A88B-D81B28D2E2D4}" type="pres">
      <dgm:prSet presAssocID="{DE0E187E-20AD-4568-98F5-8233B0D80F51}" presName="hierChild1" presStyleCnt="0">
        <dgm:presLayoutVars>
          <dgm:chPref val="1"/>
          <dgm:animOne val="branch"/>
          <dgm:animLvl val="lvl"/>
        </dgm:presLayoutVars>
      </dgm:prSet>
      <dgm:spPr/>
    </dgm:pt>
    <dgm:pt modelId="{90225451-4E1E-4398-96D6-B16809D7DCB3}" type="pres">
      <dgm:prSet presAssocID="{B19C8424-B537-4BA2-8D0C-A8E269CF7E83}" presName="Name14" presStyleCnt="0"/>
      <dgm:spPr/>
    </dgm:pt>
    <dgm:pt modelId="{0CC671FD-B868-4561-9DF7-EC7AB33D581B}" type="pres">
      <dgm:prSet presAssocID="{B19C8424-B537-4BA2-8D0C-A8E269CF7E83}" presName="level1Shape" presStyleLbl="node0" presStyleIdx="0" presStyleCnt="1" custScaleX="343375">
        <dgm:presLayoutVars>
          <dgm:chPref val="3"/>
        </dgm:presLayoutVars>
      </dgm:prSet>
      <dgm:spPr/>
    </dgm:pt>
    <dgm:pt modelId="{4145789B-5299-4C27-9DD3-AB457ECE3D33}" type="pres">
      <dgm:prSet presAssocID="{B19C8424-B537-4BA2-8D0C-A8E269CF7E83}" presName="hierChild2" presStyleCnt="0"/>
      <dgm:spPr/>
    </dgm:pt>
    <dgm:pt modelId="{ED9BA23E-8E5B-43FA-913B-AC5AA7AAFD88}" type="pres">
      <dgm:prSet presAssocID="{EC5D80CF-A1D0-444B-8C6C-7E4F5C1EEC2A}" presName="Name19" presStyleLbl="parChTrans1D2" presStyleIdx="0" presStyleCnt="3"/>
      <dgm:spPr/>
    </dgm:pt>
    <dgm:pt modelId="{E43DB210-B2FD-4205-A12B-9EEBC7F9E38B}" type="pres">
      <dgm:prSet presAssocID="{2B3DBE35-234F-4730-9256-F2756351BBE8}" presName="Name21" presStyleCnt="0"/>
      <dgm:spPr/>
    </dgm:pt>
    <dgm:pt modelId="{B205DE16-EDAF-4F06-A20E-9EE4BD9EF102}" type="pres">
      <dgm:prSet presAssocID="{2B3DBE35-234F-4730-9256-F2756351BBE8}" presName="level2Shape" presStyleLbl="node2" presStyleIdx="0" presStyleCnt="3" custScaleX="149669"/>
      <dgm:spPr/>
    </dgm:pt>
    <dgm:pt modelId="{7E538456-DBAB-478F-A72E-1F46B46E81C2}" type="pres">
      <dgm:prSet presAssocID="{2B3DBE35-234F-4730-9256-F2756351BBE8}" presName="hierChild3" presStyleCnt="0"/>
      <dgm:spPr/>
    </dgm:pt>
    <dgm:pt modelId="{F3EAFFAE-DB68-4AD6-92D7-6DEF46FEAAF3}" type="pres">
      <dgm:prSet presAssocID="{805231E7-3880-412C-8CA8-BED0DC3DA969}" presName="Name19" presStyleLbl="parChTrans1D3" presStyleIdx="0" presStyleCnt="6"/>
      <dgm:spPr/>
    </dgm:pt>
    <dgm:pt modelId="{EF6F5175-3B03-424E-B59D-343CA3CDB48A}" type="pres">
      <dgm:prSet presAssocID="{349A5BB2-068D-49B6-8272-9556F26D746B}" presName="Name21" presStyleCnt="0"/>
      <dgm:spPr/>
    </dgm:pt>
    <dgm:pt modelId="{49C1231C-DC29-458E-8D53-902B98AE3F04}" type="pres">
      <dgm:prSet presAssocID="{349A5BB2-068D-49B6-8272-9556F26D746B}" presName="level2Shape" presStyleLbl="node3" presStyleIdx="0" presStyleCnt="6"/>
      <dgm:spPr/>
    </dgm:pt>
    <dgm:pt modelId="{AD55A7E9-D30A-4158-8E5B-207536B77A0A}" type="pres">
      <dgm:prSet presAssocID="{349A5BB2-068D-49B6-8272-9556F26D746B}" presName="hierChild3" presStyleCnt="0"/>
      <dgm:spPr/>
    </dgm:pt>
    <dgm:pt modelId="{27ACFFBC-5BFA-4EB5-884F-69E7EA65B693}" type="pres">
      <dgm:prSet presAssocID="{04CE845F-EE68-4D32-A416-27684FC42B20}" presName="Name19" presStyleLbl="parChTrans1D4" presStyleIdx="0" presStyleCnt="6"/>
      <dgm:spPr/>
    </dgm:pt>
    <dgm:pt modelId="{EDDC065F-6BAD-40AA-AC7E-55D3F12D39CA}" type="pres">
      <dgm:prSet presAssocID="{4464998F-71C5-4DD3-BA81-09B82EA86249}" presName="Name21" presStyleCnt="0"/>
      <dgm:spPr/>
    </dgm:pt>
    <dgm:pt modelId="{3A7B5092-F876-4398-A395-81041FF606EA}" type="pres">
      <dgm:prSet presAssocID="{4464998F-71C5-4DD3-BA81-09B82EA86249}" presName="level2Shape" presStyleLbl="node4" presStyleIdx="0" presStyleCnt="6"/>
      <dgm:spPr/>
    </dgm:pt>
    <dgm:pt modelId="{9E72D814-DC43-4E2E-9404-4FD300F66397}" type="pres">
      <dgm:prSet presAssocID="{4464998F-71C5-4DD3-BA81-09B82EA86249}" presName="hierChild3" presStyleCnt="0"/>
      <dgm:spPr/>
    </dgm:pt>
    <dgm:pt modelId="{85470E41-AEAA-428E-9604-5940DDCF868E}" type="pres">
      <dgm:prSet presAssocID="{20C62070-0F51-428F-9E64-5D6621A8EC14}" presName="Name19" presStyleLbl="parChTrans1D3" presStyleIdx="1" presStyleCnt="6"/>
      <dgm:spPr/>
    </dgm:pt>
    <dgm:pt modelId="{EDBD11B9-1FA5-4E51-889B-52AD597FD2CE}" type="pres">
      <dgm:prSet presAssocID="{A0790A5E-823D-4C68-9381-1641E51743D0}" presName="Name21" presStyleCnt="0"/>
      <dgm:spPr/>
    </dgm:pt>
    <dgm:pt modelId="{D57A2C85-5725-4C77-A68C-BEB11E95B05B}" type="pres">
      <dgm:prSet presAssocID="{A0790A5E-823D-4C68-9381-1641E51743D0}" presName="level2Shape" presStyleLbl="node3" presStyleIdx="1" presStyleCnt="6"/>
      <dgm:spPr/>
    </dgm:pt>
    <dgm:pt modelId="{5BD7FD6C-E511-48B3-9758-4240768D2CE9}" type="pres">
      <dgm:prSet presAssocID="{A0790A5E-823D-4C68-9381-1641E51743D0}" presName="hierChild3" presStyleCnt="0"/>
      <dgm:spPr/>
    </dgm:pt>
    <dgm:pt modelId="{5FA43B5F-3FDA-4434-8F0B-5D24C2E5536F}" type="pres">
      <dgm:prSet presAssocID="{A56F914B-541B-4417-90C6-85F3317E8226}" presName="Name19" presStyleLbl="parChTrans1D4" presStyleIdx="1" presStyleCnt="6"/>
      <dgm:spPr/>
    </dgm:pt>
    <dgm:pt modelId="{751398A5-A476-40D2-A2EF-A78A6B32FC89}" type="pres">
      <dgm:prSet presAssocID="{4CE50366-3DCC-44F2-96B9-C75960C4C501}" presName="Name21" presStyleCnt="0"/>
      <dgm:spPr/>
    </dgm:pt>
    <dgm:pt modelId="{4A892EA7-CF46-452B-A320-158C3D5548B7}" type="pres">
      <dgm:prSet presAssocID="{4CE50366-3DCC-44F2-96B9-C75960C4C501}" presName="level2Shape" presStyleLbl="node4" presStyleIdx="1" presStyleCnt="6"/>
      <dgm:spPr/>
    </dgm:pt>
    <dgm:pt modelId="{99707E52-1490-4343-A7F0-2FA00093905F}" type="pres">
      <dgm:prSet presAssocID="{4CE50366-3DCC-44F2-96B9-C75960C4C501}" presName="hierChild3" presStyleCnt="0"/>
      <dgm:spPr/>
    </dgm:pt>
    <dgm:pt modelId="{785F9DA6-6EB8-4D80-9B44-7139DC31AAF6}" type="pres">
      <dgm:prSet presAssocID="{7E7C531D-7091-425C-B0B5-DBB0DE69D211}" presName="Name19" presStyleLbl="parChTrans1D2" presStyleIdx="1" presStyleCnt="3"/>
      <dgm:spPr/>
    </dgm:pt>
    <dgm:pt modelId="{9BA24BD4-D4D2-4AE5-962F-743062943F3D}" type="pres">
      <dgm:prSet presAssocID="{553CBD3D-9480-41A6-BB45-14C6734ACD10}" presName="Name21" presStyleCnt="0"/>
      <dgm:spPr/>
    </dgm:pt>
    <dgm:pt modelId="{DACC567F-E25F-4AC8-9BE7-77C45149F862}" type="pres">
      <dgm:prSet presAssocID="{553CBD3D-9480-41A6-BB45-14C6734ACD10}" presName="level2Shape" presStyleLbl="node2" presStyleIdx="1" presStyleCnt="3" custScaleX="198503"/>
      <dgm:spPr/>
    </dgm:pt>
    <dgm:pt modelId="{031AD099-3612-4122-8575-70FBB6EDDB08}" type="pres">
      <dgm:prSet presAssocID="{553CBD3D-9480-41A6-BB45-14C6734ACD10}" presName="hierChild3" presStyleCnt="0"/>
      <dgm:spPr/>
    </dgm:pt>
    <dgm:pt modelId="{FED3CD77-77CA-4219-AFDE-DD0BB33D4E23}" type="pres">
      <dgm:prSet presAssocID="{2E71B80A-4D1C-4C71-972F-2C8E0767B034}" presName="Name19" presStyleLbl="parChTrans1D3" presStyleIdx="2" presStyleCnt="6"/>
      <dgm:spPr/>
    </dgm:pt>
    <dgm:pt modelId="{36AE418B-1CDB-4614-BC98-46A1D6DD947E}" type="pres">
      <dgm:prSet presAssocID="{680A4D94-9044-4E2B-90A9-0BC7166E19C1}" presName="Name21" presStyleCnt="0"/>
      <dgm:spPr/>
    </dgm:pt>
    <dgm:pt modelId="{E529DD61-7D62-441A-9315-84198263B85A}" type="pres">
      <dgm:prSet presAssocID="{680A4D94-9044-4E2B-90A9-0BC7166E19C1}" presName="level2Shape" presStyleLbl="node3" presStyleIdx="2" presStyleCnt="6"/>
      <dgm:spPr/>
    </dgm:pt>
    <dgm:pt modelId="{4FDD581C-FAB2-4307-BCF3-E33A4D6FA5FB}" type="pres">
      <dgm:prSet presAssocID="{680A4D94-9044-4E2B-90A9-0BC7166E19C1}" presName="hierChild3" presStyleCnt="0"/>
      <dgm:spPr/>
    </dgm:pt>
    <dgm:pt modelId="{A0A1B328-AC6B-43B7-8639-99413461C417}" type="pres">
      <dgm:prSet presAssocID="{23DF4ECE-784A-4651-99B7-D68527394E2D}" presName="Name19" presStyleLbl="parChTrans1D4" presStyleIdx="2" presStyleCnt="6"/>
      <dgm:spPr/>
    </dgm:pt>
    <dgm:pt modelId="{577F1630-F815-4A25-8707-655ADF081DE2}" type="pres">
      <dgm:prSet presAssocID="{8BFB437A-1E20-4372-A9AE-05AB6489BFAE}" presName="Name21" presStyleCnt="0"/>
      <dgm:spPr/>
    </dgm:pt>
    <dgm:pt modelId="{CE50C0AA-7C46-432C-823C-AC2E549360A5}" type="pres">
      <dgm:prSet presAssocID="{8BFB437A-1E20-4372-A9AE-05AB6489BFAE}" presName="level2Shape" presStyleLbl="node4" presStyleIdx="2" presStyleCnt="6"/>
      <dgm:spPr/>
    </dgm:pt>
    <dgm:pt modelId="{1A73B08A-B61E-444D-937F-335BF203FFD6}" type="pres">
      <dgm:prSet presAssocID="{8BFB437A-1E20-4372-A9AE-05AB6489BFAE}" presName="hierChild3" presStyleCnt="0"/>
      <dgm:spPr/>
    </dgm:pt>
    <dgm:pt modelId="{8DDA0F31-B80A-4205-B7F1-ACAE81B48623}" type="pres">
      <dgm:prSet presAssocID="{C8A12C10-3B77-4BB5-B9C6-090FD9307F25}" presName="Name19" presStyleLbl="parChTrans1D3" presStyleIdx="3" presStyleCnt="6"/>
      <dgm:spPr/>
    </dgm:pt>
    <dgm:pt modelId="{48AEA30D-F210-444F-9073-2C145722D930}" type="pres">
      <dgm:prSet presAssocID="{57AA8A77-8964-4F0A-ABE1-2B296B1734C6}" presName="Name21" presStyleCnt="0"/>
      <dgm:spPr/>
    </dgm:pt>
    <dgm:pt modelId="{309A5B5D-47D8-41D1-A743-83EDA8A14931}" type="pres">
      <dgm:prSet presAssocID="{57AA8A77-8964-4F0A-ABE1-2B296B1734C6}" presName="level2Shape" presStyleLbl="node3" presStyleIdx="3" presStyleCnt="6"/>
      <dgm:spPr/>
    </dgm:pt>
    <dgm:pt modelId="{40C86BEE-EB41-4E34-8833-D6F11BACA901}" type="pres">
      <dgm:prSet presAssocID="{57AA8A77-8964-4F0A-ABE1-2B296B1734C6}" presName="hierChild3" presStyleCnt="0"/>
      <dgm:spPr/>
    </dgm:pt>
    <dgm:pt modelId="{BF9413D6-D247-4406-BD5A-2C545BDCC8CE}" type="pres">
      <dgm:prSet presAssocID="{839E942F-101A-4F74-9ECA-1D3CDF1765D8}" presName="Name19" presStyleLbl="parChTrans1D4" presStyleIdx="3" presStyleCnt="6"/>
      <dgm:spPr/>
    </dgm:pt>
    <dgm:pt modelId="{9231A654-F593-41D6-A860-F12D409368B5}" type="pres">
      <dgm:prSet presAssocID="{493ECE1D-4AA4-4560-94BB-2652E1176C6E}" presName="Name21" presStyleCnt="0"/>
      <dgm:spPr/>
    </dgm:pt>
    <dgm:pt modelId="{D95E3F19-460C-4E53-80CD-CAD5CE5AF8DA}" type="pres">
      <dgm:prSet presAssocID="{493ECE1D-4AA4-4560-94BB-2652E1176C6E}" presName="level2Shape" presStyleLbl="node4" presStyleIdx="3" presStyleCnt="6"/>
      <dgm:spPr/>
    </dgm:pt>
    <dgm:pt modelId="{4428E39F-82D4-4321-B961-FD2337829371}" type="pres">
      <dgm:prSet presAssocID="{493ECE1D-4AA4-4560-94BB-2652E1176C6E}" presName="hierChild3" presStyleCnt="0"/>
      <dgm:spPr/>
    </dgm:pt>
    <dgm:pt modelId="{7F2D98B9-E1DF-4C0B-B7E1-20F0CEEE1CB0}" type="pres">
      <dgm:prSet presAssocID="{9A1889C7-0CBE-4D37-8904-BDCCDB358E28}" presName="Name19" presStyleLbl="parChTrans1D2" presStyleIdx="2" presStyleCnt="3"/>
      <dgm:spPr/>
    </dgm:pt>
    <dgm:pt modelId="{072504B3-20DF-4E09-A0D3-358C85674FD9}" type="pres">
      <dgm:prSet presAssocID="{E0684B62-C82C-490B-A7D5-BC4AD4618F8F}" presName="Name21" presStyleCnt="0"/>
      <dgm:spPr/>
    </dgm:pt>
    <dgm:pt modelId="{393810B6-80F5-45EE-AD03-8F31FEB755F3}" type="pres">
      <dgm:prSet presAssocID="{E0684B62-C82C-490B-A7D5-BC4AD4618F8F}" presName="level2Shape" presStyleLbl="node2" presStyleIdx="2" presStyleCnt="3" custScaleX="158515"/>
      <dgm:spPr/>
    </dgm:pt>
    <dgm:pt modelId="{7E50758F-2987-4E83-AA3F-09AC35E2AE1C}" type="pres">
      <dgm:prSet presAssocID="{E0684B62-C82C-490B-A7D5-BC4AD4618F8F}" presName="hierChild3" presStyleCnt="0"/>
      <dgm:spPr/>
    </dgm:pt>
    <dgm:pt modelId="{BE3C9094-2107-485A-B2BD-3095643D1574}" type="pres">
      <dgm:prSet presAssocID="{6876BF16-EBF5-40D2-9679-1AAB291F3F45}" presName="Name19" presStyleLbl="parChTrans1D3" presStyleIdx="4" presStyleCnt="6"/>
      <dgm:spPr/>
    </dgm:pt>
    <dgm:pt modelId="{DE0FCC23-AAB5-4753-AD32-6740E24223CD}" type="pres">
      <dgm:prSet presAssocID="{B87D1AC7-4EDA-47EA-8F2A-D1938CF6D1B5}" presName="Name21" presStyleCnt="0"/>
      <dgm:spPr/>
    </dgm:pt>
    <dgm:pt modelId="{5593B937-6F60-49AF-B018-8FDEF75233A6}" type="pres">
      <dgm:prSet presAssocID="{B87D1AC7-4EDA-47EA-8F2A-D1938CF6D1B5}" presName="level2Shape" presStyleLbl="node3" presStyleIdx="4" presStyleCnt="6"/>
      <dgm:spPr/>
    </dgm:pt>
    <dgm:pt modelId="{862A86A8-0D6D-4E22-AED6-7D57CEAC1E5B}" type="pres">
      <dgm:prSet presAssocID="{B87D1AC7-4EDA-47EA-8F2A-D1938CF6D1B5}" presName="hierChild3" presStyleCnt="0"/>
      <dgm:spPr/>
    </dgm:pt>
    <dgm:pt modelId="{0264E670-66E2-4F83-AA18-D747D50FE8CF}" type="pres">
      <dgm:prSet presAssocID="{E3B0E354-08F2-4AEF-BB5A-ADD9C5C207D4}" presName="Name19" presStyleLbl="parChTrans1D4" presStyleIdx="4" presStyleCnt="6"/>
      <dgm:spPr/>
    </dgm:pt>
    <dgm:pt modelId="{A2F7B2AC-4816-4600-8D96-F2CB5BC5664F}" type="pres">
      <dgm:prSet presAssocID="{EB257627-3BBE-4199-B2DD-DF80108C9F55}" presName="Name21" presStyleCnt="0"/>
      <dgm:spPr/>
    </dgm:pt>
    <dgm:pt modelId="{8F4F8987-6C36-4A59-A236-7BB070C38839}" type="pres">
      <dgm:prSet presAssocID="{EB257627-3BBE-4199-B2DD-DF80108C9F55}" presName="level2Shape" presStyleLbl="node4" presStyleIdx="4" presStyleCnt="6"/>
      <dgm:spPr/>
    </dgm:pt>
    <dgm:pt modelId="{FD27781B-5CC4-45DC-BAA1-C563C5020279}" type="pres">
      <dgm:prSet presAssocID="{EB257627-3BBE-4199-B2DD-DF80108C9F55}" presName="hierChild3" presStyleCnt="0"/>
      <dgm:spPr/>
    </dgm:pt>
    <dgm:pt modelId="{00357220-6BFF-4F4C-956B-6C6F0FBC0D0F}" type="pres">
      <dgm:prSet presAssocID="{2935D4ED-9015-442C-A811-B312648F743A}" presName="Name19" presStyleLbl="parChTrans1D3" presStyleIdx="5" presStyleCnt="6"/>
      <dgm:spPr/>
    </dgm:pt>
    <dgm:pt modelId="{F4C4FDC6-34E7-42D9-83B7-D8AF45CF6381}" type="pres">
      <dgm:prSet presAssocID="{256185D4-0523-4A80-87AD-7EEA4153CA87}" presName="Name21" presStyleCnt="0"/>
      <dgm:spPr/>
    </dgm:pt>
    <dgm:pt modelId="{71D98345-5679-478B-BE76-18534B031B51}" type="pres">
      <dgm:prSet presAssocID="{256185D4-0523-4A80-87AD-7EEA4153CA87}" presName="level2Shape" presStyleLbl="node3" presStyleIdx="5" presStyleCnt="6"/>
      <dgm:spPr/>
    </dgm:pt>
    <dgm:pt modelId="{1ABF2CBD-86D3-4A7B-9CEE-E5C10301644D}" type="pres">
      <dgm:prSet presAssocID="{256185D4-0523-4A80-87AD-7EEA4153CA87}" presName="hierChild3" presStyleCnt="0"/>
      <dgm:spPr/>
    </dgm:pt>
    <dgm:pt modelId="{0118DE06-9D25-49B0-A161-0FDF0EDE61E1}" type="pres">
      <dgm:prSet presAssocID="{D9D35903-D979-4582-A284-CED6C543875A}" presName="Name19" presStyleLbl="parChTrans1D4" presStyleIdx="5" presStyleCnt="6"/>
      <dgm:spPr/>
    </dgm:pt>
    <dgm:pt modelId="{F62B96AE-A6D7-4B9B-BD1E-AEEFF1C435E9}" type="pres">
      <dgm:prSet presAssocID="{59FFE1B5-280B-40F2-89EF-83ADB53A2704}" presName="Name21" presStyleCnt="0"/>
      <dgm:spPr/>
    </dgm:pt>
    <dgm:pt modelId="{0EE40382-0F86-473D-9A68-865FC95A183F}" type="pres">
      <dgm:prSet presAssocID="{59FFE1B5-280B-40F2-89EF-83ADB53A2704}" presName="level2Shape" presStyleLbl="node4" presStyleIdx="5" presStyleCnt="6"/>
      <dgm:spPr/>
    </dgm:pt>
    <dgm:pt modelId="{90B0D2A3-954C-4964-BCA1-BFB7DAAF299C}" type="pres">
      <dgm:prSet presAssocID="{59FFE1B5-280B-40F2-89EF-83ADB53A2704}" presName="hierChild3" presStyleCnt="0"/>
      <dgm:spPr/>
    </dgm:pt>
    <dgm:pt modelId="{F255808E-6C49-4470-8529-B2326931472F}" type="pres">
      <dgm:prSet presAssocID="{DE0E187E-20AD-4568-98F5-8233B0D80F51}" presName="bgShapesFlow" presStyleCnt="0"/>
      <dgm:spPr/>
    </dgm:pt>
  </dgm:ptLst>
  <dgm:cxnLst>
    <dgm:cxn modelId="{EFB6DE00-B5FA-4B3A-BC88-4BC360F8E7E9}" type="presOf" srcId="{2B3DBE35-234F-4730-9256-F2756351BBE8}" destId="{B205DE16-EDAF-4F06-A20E-9EE4BD9EF102}" srcOrd="0" destOrd="0" presId="urn:microsoft.com/office/officeart/2005/8/layout/hierarchy6#1"/>
    <dgm:cxn modelId="{70366106-B7EF-40F9-A89E-AB29891BA58F}" srcId="{2B3DBE35-234F-4730-9256-F2756351BBE8}" destId="{349A5BB2-068D-49B6-8272-9556F26D746B}" srcOrd="0" destOrd="0" parTransId="{805231E7-3880-412C-8CA8-BED0DC3DA969}" sibTransId="{5880087B-F7D5-4577-A1C0-55BB36C217B3}"/>
    <dgm:cxn modelId="{310BCC07-D0C4-4806-B82F-554889E53514}" type="presOf" srcId="{839E942F-101A-4F74-9ECA-1D3CDF1765D8}" destId="{BF9413D6-D247-4406-BD5A-2C545BDCC8CE}" srcOrd="0" destOrd="0" presId="urn:microsoft.com/office/officeart/2005/8/layout/hierarchy6#1"/>
    <dgm:cxn modelId="{C4490413-87CB-4A1B-B0A5-B2F13A7AA19D}" type="presOf" srcId="{EC5D80CF-A1D0-444B-8C6C-7E4F5C1EEC2A}" destId="{ED9BA23E-8E5B-43FA-913B-AC5AA7AAFD88}" srcOrd="0" destOrd="0" presId="urn:microsoft.com/office/officeart/2005/8/layout/hierarchy6#1"/>
    <dgm:cxn modelId="{28F33815-7548-44CD-B8E2-0CD45202C2A6}" type="presOf" srcId="{7E7C531D-7091-425C-B0B5-DBB0DE69D211}" destId="{785F9DA6-6EB8-4D80-9B44-7139DC31AAF6}" srcOrd="0" destOrd="0" presId="urn:microsoft.com/office/officeart/2005/8/layout/hierarchy6#1"/>
    <dgm:cxn modelId="{BAA55917-58E1-446A-B5F0-F988B101A4CE}" type="presOf" srcId="{23DF4ECE-784A-4651-99B7-D68527394E2D}" destId="{A0A1B328-AC6B-43B7-8639-99413461C417}" srcOrd="0" destOrd="0" presId="urn:microsoft.com/office/officeart/2005/8/layout/hierarchy6#1"/>
    <dgm:cxn modelId="{D2273D1B-4D56-47C6-BE4B-393526674C75}" srcId="{B87D1AC7-4EDA-47EA-8F2A-D1938CF6D1B5}" destId="{EB257627-3BBE-4199-B2DD-DF80108C9F55}" srcOrd="0" destOrd="0" parTransId="{E3B0E354-08F2-4AEF-BB5A-ADD9C5C207D4}" sibTransId="{98FCED86-44FE-41C0-B11A-2AA406B7E729}"/>
    <dgm:cxn modelId="{A51ACD1E-F6BF-442E-BF82-92D66358B428}" type="presOf" srcId="{04CE845F-EE68-4D32-A416-27684FC42B20}" destId="{27ACFFBC-5BFA-4EB5-884F-69E7EA65B693}" srcOrd="0" destOrd="0" presId="urn:microsoft.com/office/officeart/2005/8/layout/hierarchy6#1"/>
    <dgm:cxn modelId="{CB3D1320-95B6-4718-9A9D-81471A85693A}" type="presOf" srcId="{59FFE1B5-280B-40F2-89EF-83ADB53A2704}" destId="{0EE40382-0F86-473D-9A68-865FC95A183F}" srcOrd="0" destOrd="0" presId="urn:microsoft.com/office/officeart/2005/8/layout/hierarchy6#1"/>
    <dgm:cxn modelId="{01D0BF25-8222-4A42-B64B-A1F98387107E}" type="presOf" srcId="{A0790A5E-823D-4C68-9381-1641E51743D0}" destId="{D57A2C85-5725-4C77-A68C-BEB11E95B05B}" srcOrd="0" destOrd="0" presId="urn:microsoft.com/office/officeart/2005/8/layout/hierarchy6#1"/>
    <dgm:cxn modelId="{DBEFD02C-9F34-4771-BFDC-78A3B78B33D2}" type="presOf" srcId="{EB257627-3BBE-4199-B2DD-DF80108C9F55}" destId="{8F4F8987-6C36-4A59-A236-7BB070C38839}" srcOrd="0" destOrd="0" presId="urn:microsoft.com/office/officeart/2005/8/layout/hierarchy6#1"/>
    <dgm:cxn modelId="{83F76F2D-28B6-4E5F-BB65-E92F70FD0F8E}" type="presOf" srcId="{256185D4-0523-4A80-87AD-7EEA4153CA87}" destId="{71D98345-5679-478B-BE76-18534B031B51}" srcOrd="0" destOrd="0" presId="urn:microsoft.com/office/officeart/2005/8/layout/hierarchy6#1"/>
    <dgm:cxn modelId="{EE76A02E-2F5F-4D4C-AF25-620F2C74B1F1}" type="presOf" srcId="{805231E7-3880-412C-8CA8-BED0DC3DA969}" destId="{F3EAFFAE-DB68-4AD6-92D7-6DEF46FEAAF3}" srcOrd="0" destOrd="0" presId="urn:microsoft.com/office/officeart/2005/8/layout/hierarchy6#1"/>
    <dgm:cxn modelId="{CC0AE530-778A-4427-8714-DB0D21F9DFD1}" srcId="{DE0E187E-20AD-4568-98F5-8233B0D80F51}" destId="{B19C8424-B537-4BA2-8D0C-A8E269CF7E83}" srcOrd="0" destOrd="0" parTransId="{705429D9-42D9-49A0-B3E0-9B8B77116A68}" sibTransId="{D8E81D76-9D29-4C35-860D-DCB3D1E0EA1A}"/>
    <dgm:cxn modelId="{0B16175B-BE06-43C1-9532-E965D5C11ED5}" srcId="{256185D4-0523-4A80-87AD-7EEA4153CA87}" destId="{59FFE1B5-280B-40F2-89EF-83ADB53A2704}" srcOrd="0" destOrd="0" parTransId="{D9D35903-D979-4582-A284-CED6C543875A}" sibTransId="{0B33EFA7-C32C-49A2-B721-39AF03915C67}"/>
    <dgm:cxn modelId="{B2308C5C-DA9F-4370-A5EA-5AA86DEFD0A3}" type="presOf" srcId="{9A1889C7-0CBE-4D37-8904-BDCCDB358E28}" destId="{7F2D98B9-E1DF-4C0B-B7E1-20F0CEEE1CB0}" srcOrd="0" destOrd="0" presId="urn:microsoft.com/office/officeart/2005/8/layout/hierarchy6#1"/>
    <dgm:cxn modelId="{A428695E-03B3-4A46-BFC1-DB7D5DA67152}" srcId="{E0684B62-C82C-490B-A7D5-BC4AD4618F8F}" destId="{B87D1AC7-4EDA-47EA-8F2A-D1938CF6D1B5}" srcOrd="0" destOrd="0" parTransId="{6876BF16-EBF5-40D2-9679-1AAB291F3F45}" sibTransId="{1C30FFD0-83ED-4CB2-A6CA-86CEEB277B32}"/>
    <dgm:cxn modelId="{0468E563-E3ED-47CD-AAA7-6304DB534C18}" srcId="{B19C8424-B537-4BA2-8D0C-A8E269CF7E83}" destId="{553CBD3D-9480-41A6-BB45-14C6734ACD10}" srcOrd="1" destOrd="0" parTransId="{7E7C531D-7091-425C-B0B5-DBB0DE69D211}" sibTransId="{F4FE0E5A-5773-4DCA-AD3B-F13C3B445ADD}"/>
    <dgm:cxn modelId="{E4C74F64-AEAB-4E97-9781-E221C77C7278}" type="presOf" srcId="{B87D1AC7-4EDA-47EA-8F2A-D1938CF6D1B5}" destId="{5593B937-6F60-49AF-B018-8FDEF75233A6}" srcOrd="0" destOrd="0" presId="urn:microsoft.com/office/officeart/2005/8/layout/hierarchy6#1"/>
    <dgm:cxn modelId="{ED718844-BFDD-4017-B1B8-1EF7DA5B3B05}" type="presOf" srcId="{680A4D94-9044-4E2B-90A9-0BC7166E19C1}" destId="{E529DD61-7D62-441A-9315-84198263B85A}" srcOrd="0" destOrd="0" presId="urn:microsoft.com/office/officeart/2005/8/layout/hierarchy6#1"/>
    <dgm:cxn modelId="{EEAFD845-8E3C-4915-9ACD-4FE0FF6D1312}" type="presOf" srcId="{493ECE1D-4AA4-4560-94BB-2652E1176C6E}" destId="{D95E3F19-460C-4E53-80CD-CAD5CE5AF8DA}" srcOrd="0" destOrd="0" presId="urn:microsoft.com/office/officeart/2005/8/layout/hierarchy6#1"/>
    <dgm:cxn modelId="{C4456B47-64EA-485F-A175-FE23E48A0F77}" type="presOf" srcId="{4464998F-71C5-4DD3-BA81-09B82EA86249}" destId="{3A7B5092-F876-4398-A395-81041FF606EA}" srcOrd="0" destOrd="0" presId="urn:microsoft.com/office/officeart/2005/8/layout/hierarchy6#1"/>
    <dgm:cxn modelId="{30570468-F3AC-40DC-AA55-36549207DA30}" type="presOf" srcId="{553CBD3D-9480-41A6-BB45-14C6734ACD10}" destId="{DACC567F-E25F-4AC8-9BE7-77C45149F862}" srcOrd="0" destOrd="0" presId="urn:microsoft.com/office/officeart/2005/8/layout/hierarchy6#1"/>
    <dgm:cxn modelId="{77FD0949-9FA7-46B9-BD10-092AF2C4A3E0}" type="presOf" srcId="{A56F914B-541B-4417-90C6-85F3317E8226}" destId="{5FA43B5F-3FDA-4434-8F0B-5D24C2E5536F}" srcOrd="0" destOrd="0" presId="urn:microsoft.com/office/officeart/2005/8/layout/hierarchy6#1"/>
    <dgm:cxn modelId="{7F3EED4D-D4B9-404E-A42F-DF275AE24549}" srcId="{349A5BB2-068D-49B6-8272-9556F26D746B}" destId="{4464998F-71C5-4DD3-BA81-09B82EA86249}" srcOrd="0" destOrd="0" parTransId="{04CE845F-EE68-4D32-A416-27684FC42B20}" sibTransId="{57BE3051-CDAA-416C-B7D4-C097E77CC981}"/>
    <dgm:cxn modelId="{9497834E-EF4F-4225-BE93-81D313A747CF}" srcId="{57AA8A77-8964-4F0A-ABE1-2B296B1734C6}" destId="{493ECE1D-4AA4-4560-94BB-2652E1176C6E}" srcOrd="0" destOrd="0" parTransId="{839E942F-101A-4F74-9ECA-1D3CDF1765D8}" sibTransId="{722DAEE1-5460-4138-9CEC-AAF89EF0466F}"/>
    <dgm:cxn modelId="{BA89AE6E-7311-4D23-B996-55C18D60481F}" type="presOf" srcId="{2935D4ED-9015-442C-A811-B312648F743A}" destId="{00357220-6BFF-4F4C-956B-6C6F0FBC0D0F}" srcOrd="0" destOrd="0" presId="urn:microsoft.com/office/officeart/2005/8/layout/hierarchy6#1"/>
    <dgm:cxn modelId="{14213650-84DA-4A7F-B808-0AD90F0CD8CD}" type="presOf" srcId="{DE0E187E-20AD-4568-98F5-8233B0D80F51}" destId="{DCD8E169-9465-473E-8082-E96918CF6E32}" srcOrd="0" destOrd="0" presId="urn:microsoft.com/office/officeart/2005/8/layout/hierarchy6#1"/>
    <dgm:cxn modelId="{1A53457E-0406-4C83-9348-F08E14E49D90}" type="presOf" srcId="{349A5BB2-068D-49B6-8272-9556F26D746B}" destId="{49C1231C-DC29-458E-8D53-902B98AE3F04}" srcOrd="0" destOrd="0" presId="urn:microsoft.com/office/officeart/2005/8/layout/hierarchy6#1"/>
    <dgm:cxn modelId="{46289888-F35E-446F-89DA-CB14300A2EB4}" type="presOf" srcId="{D9D35903-D979-4582-A284-CED6C543875A}" destId="{0118DE06-9D25-49B0-A161-0FDF0EDE61E1}" srcOrd="0" destOrd="0" presId="urn:microsoft.com/office/officeart/2005/8/layout/hierarchy6#1"/>
    <dgm:cxn modelId="{9D5AD48F-7C92-477E-932E-33EED27335BC}" type="presOf" srcId="{C8A12C10-3B77-4BB5-B9C6-090FD9307F25}" destId="{8DDA0F31-B80A-4205-B7F1-ACAE81B48623}" srcOrd="0" destOrd="0" presId="urn:microsoft.com/office/officeart/2005/8/layout/hierarchy6#1"/>
    <dgm:cxn modelId="{B2193F9A-5F2E-4C7A-A260-AD1E2C14FB75}" type="presOf" srcId="{57AA8A77-8964-4F0A-ABE1-2B296B1734C6}" destId="{309A5B5D-47D8-41D1-A743-83EDA8A14931}" srcOrd="0" destOrd="0" presId="urn:microsoft.com/office/officeart/2005/8/layout/hierarchy6#1"/>
    <dgm:cxn modelId="{2477049F-9FB9-45C1-82E8-FAA7573DF426}" type="presOf" srcId="{2E71B80A-4D1C-4C71-972F-2C8E0767B034}" destId="{FED3CD77-77CA-4219-AFDE-DD0BB33D4E23}" srcOrd="0" destOrd="0" presId="urn:microsoft.com/office/officeart/2005/8/layout/hierarchy6#1"/>
    <dgm:cxn modelId="{2BEFBAA0-0A6D-4EAB-B645-67737B1AD997}" type="presOf" srcId="{E3B0E354-08F2-4AEF-BB5A-ADD9C5C207D4}" destId="{0264E670-66E2-4F83-AA18-D747D50FE8CF}" srcOrd="0" destOrd="0" presId="urn:microsoft.com/office/officeart/2005/8/layout/hierarchy6#1"/>
    <dgm:cxn modelId="{9C6006A7-DA53-4786-BF20-E49E34AF2A82}" srcId="{553CBD3D-9480-41A6-BB45-14C6734ACD10}" destId="{680A4D94-9044-4E2B-90A9-0BC7166E19C1}" srcOrd="0" destOrd="0" parTransId="{2E71B80A-4D1C-4C71-972F-2C8E0767B034}" sibTransId="{08F3F62D-CF1A-46AA-99D8-81DF852C6136}"/>
    <dgm:cxn modelId="{8F7F7EAA-531E-44E6-A7EA-58EBBD60796B}" type="presOf" srcId="{4CE50366-3DCC-44F2-96B9-C75960C4C501}" destId="{4A892EA7-CF46-452B-A320-158C3D5548B7}" srcOrd="0" destOrd="0" presId="urn:microsoft.com/office/officeart/2005/8/layout/hierarchy6#1"/>
    <dgm:cxn modelId="{BBD8A1AC-BF03-4CCE-9AA4-4BAF51B64967}" srcId="{A0790A5E-823D-4C68-9381-1641E51743D0}" destId="{4CE50366-3DCC-44F2-96B9-C75960C4C501}" srcOrd="0" destOrd="0" parTransId="{A56F914B-541B-4417-90C6-85F3317E8226}" sibTransId="{9376FF91-413F-4175-9ABB-89A0FB5B1A78}"/>
    <dgm:cxn modelId="{A00096BA-E11F-420B-9962-F5882D5523CD}" srcId="{2B3DBE35-234F-4730-9256-F2756351BBE8}" destId="{A0790A5E-823D-4C68-9381-1641E51743D0}" srcOrd="1" destOrd="0" parTransId="{20C62070-0F51-428F-9E64-5D6621A8EC14}" sibTransId="{DF700CC1-C446-49B8-AA2F-06A2CC2BA3B6}"/>
    <dgm:cxn modelId="{490194C9-7A21-47B2-8EFC-1FCA8E2090FA}" srcId="{553CBD3D-9480-41A6-BB45-14C6734ACD10}" destId="{57AA8A77-8964-4F0A-ABE1-2B296B1734C6}" srcOrd="1" destOrd="0" parTransId="{C8A12C10-3B77-4BB5-B9C6-090FD9307F25}" sibTransId="{DEA09876-D260-4AB0-8FF1-DF562C11C026}"/>
    <dgm:cxn modelId="{EA871DCD-11F4-4FF2-9ECD-CF345A5F73D4}" srcId="{B19C8424-B537-4BA2-8D0C-A8E269CF7E83}" destId="{E0684B62-C82C-490B-A7D5-BC4AD4618F8F}" srcOrd="2" destOrd="0" parTransId="{9A1889C7-0CBE-4D37-8904-BDCCDB358E28}" sibTransId="{E73DB28F-BE08-4931-B448-431CFEFD49A4}"/>
    <dgm:cxn modelId="{72EAD4D4-D4DF-4534-B87B-FAA419F9B29A}" type="presOf" srcId="{8BFB437A-1E20-4372-A9AE-05AB6489BFAE}" destId="{CE50C0AA-7C46-432C-823C-AC2E549360A5}" srcOrd="0" destOrd="0" presId="urn:microsoft.com/office/officeart/2005/8/layout/hierarchy6#1"/>
    <dgm:cxn modelId="{F6F713D5-8C17-46CE-9B3B-99A928FF7B2F}" type="presOf" srcId="{6876BF16-EBF5-40D2-9679-1AAB291F3F45}" destId="{BE3C9094-2107-485A-B2BD-3095643D1574}" srcOrd="0" destOrd="0" presId="urn:microsoft.com/office/officeart/2005/8/layout/hierarchy6#1"/>
    <dgm:cxn modelId="{A33C94DA-D19C-46AF-B811-1BCB7E1B6807}" srcId="{680A4D94-9044-4E2B-90A9-0BC7166E19C1}" destId="{8BFB437A-1E20-4372-A9AE-05AB6489BFAE}" srcOrd="0" destOrd="0" parTransId="{23DF4ECE-784A-4651-99B7-D68527394E2D}" sibTransId="{3CB30F51-B7B7-42F4-A3DE-F1FF2FC2AB00}"/>
    <dgm:cxn modelId="{CABA78E1-8661-40E9-A1B6-DF3938C8203A}" type="presOf" srcId="{20C62070-0F51-428F-9E64-5D6621A8EC14}" destId="{85470E41-AEAA-428E-9604-5940DDCF868E}" srcOrd="0" destOrd="0" presId="urn:microsoft.com/office/officeart/2005/8/layout/hierarchy6#1"/>
    <dgm:cxn modelId="{A0C04FE5-0903-4CCB-9CD2-98898C9B2637}" type="presOf" srcId="{B19C8424-B537-4BA2-8D0C-A8E269CF7E83}" destId="{0CC671FD-B868-4561-9DF7-EC7AB33D581B}" srcOrd="0" destOrd="0" presId="urn:microsoft.com/office/officeart/2005/8/layout/hierarchy6#1"/>
    <dgm:cxn modelId="{3BCCC2EA-C47F-4565-945C-82350147E8AA}" srcId="{B19C8424-B537-4BA2-8D0C-A8E269CF7E83}" destId="{2B3DBE35-234F-4730-9256-F2756351BBE8}" srcOrd="0" destOrd="0" parTransId="{EC5D80CF-A1D0-444B-8C6C-7E4F5C1EEC2A}" sibTransId="{E44774C3-737B-4DF4-AB62-EA7F46FD538F}"/>
    <dgm:cxn modelId="{10CAB1EE-7B63-4428-8459-C08F445172E3}" type="presOf" srcId="{E0684B62-C82C-490B-A7D5-BC4AD4618F8F}" destId="{393810B6-80F5-45EE-AD03-8F31FEB755F3}" srcOrd="0" destOrd="0" presId="urn:microsoft.com/office/officeart/2005/8/layout/hierarchy6#1"/>
    <dgm:cxn modelId="{ED5281FA-12C2-477E-8E86-5EF9A82B5F7A}" srcId="{E0684B62-C82C-490B-A7D5-BC4AD4618F8F}" destId="{256185D4-0523-4A80-87AD-7EEA4153CA87}" srcOrd="1" destOrd="0" parTransId="{2935D4ED-9015-442C-A811-B312648F743A}" sibTransId="{199122C4-F072-437C-A5C3-E2404CB44D7A}"/>
    <dgm:cxn modelId="{445F98A9-E3E8-4E58-A5E5-2E64994B8529}" type="presParOf" srcId="{DCD8E169-9465-473E-8082-E96918CF6E32}" destId="{DBEE373F-44C9-4370-801E-3D3F7D988530}" srcOrd="0" destOrd="0" presId="urn:microsoft.com/office/officeart/2005/8/layout/hierarchy6#1"/>
    <dgm:cxn modelId="{47AD5A4D-CF72-423C-BAE0-2E8C4AF9636D}" type="presParOf" srcId="{DBEE373F-44C9-4370-801E-3D3F7D988530}" destId="{9E1A2D68-B5E0-42EE-A88B-D81B28D2E2D4}" srcOrd="0" destOrd="0" presId="urn:microsoft.com/office/officeart/2005/8/layout/hierarchy6#1"/>
    <dgm:cxn modelId="{B95FE873-8ED6-40EB-A63C-2619D1B32E7E}" type="presParOf" srcId="{9E1A2D68-B5E0-42EE-A88B-D81B28D2E2D4}" destId="{90225451-4E1E-4398-96D6-B16809D7DCB3}" srcOrd="0" destOrd="0" presId="urn:microsoft.com/office/officeart/2005/8/layout/hierarchy6#1"/>
    <dgm:cxn modelId="{6C98291E-3D83-452D-9978-28093B716E17}" type="presParOf" srcId="{90225451-4E1E-4398-96D6-B16809D7DCB3}" destId="{0CC671FD-B868-4561-9DF7-EC7AB33D581B}" srcOrd="0" destOrd="0" presId="urn:microsoft.com/office/officeart/2005/8/layout/hierarchy6#1"/>
    <dgm:cxn modelId="{1F877BC9-30E5-4198-BA25-4BFCC9090636}" type="presParOf" srcId="{90225451-4E1E-4398-96D6-B16809D7DCB3}" destId="{4145789B-5299-4C27-9DD3-AB457ECE3D33}" srcOrd="1" destOrd="0" presId="urn:microsoft.com/office/officeart/2005/8/layout/hierarchy6#1"/>
    <dgm:cxn modelId="{2759D5D0-B230-429B-BA8A-F1A20D7662D6}" type="presParOf" srcId="{4145789B-5299-4C27-9DD3-AB457ECE3D33}" destId="{ED9BA23E-8E5B-43FA-913B-AC5AA7AAFD88}" srcOrd="0" destOrd="0" presId="urn:microsoft.com/office/officeart/2005/8/layout/hierarchy6#1"/>
    <dgm:cxn modelId="{FFCDB979-96BC-45C9-B80C-A0B31DEB9D67}" type="presParOf" srcId="{4145789B-5299-4C27-9DD3-AB457ECE3D33}" destId="{E43DB210-B2FD-4205-A12B-9EEBC7F9E38B}" srcOrd="1" destOrd="0" presId="urn:microsoft.com/office/officeart/2005/8/layout/hierarchy6#1"/>
    <dgm:cxn modelId="{F63103AC-8E00-4E21-9A39-334443D1105A}" type="presParOf" srcId="{E43DB210-B2FD-4205-A12B-9EEBC7F9E38B}" destId="{B205DE16-EDAF-4F06-A20E-9EE4BD9EF102}" srcOrd="0" destOrd="0" presId="urn:microsoft.com/office/officeart/2005/8/layout/hierarchy6#1"/>
    <dgm:cxn modelId="{1441BE2E-F6DA-4612-89AB-6A00D62C14A2}" type="presParOf" srcId="{E43DB210-B2FD-4205-A12B-9EEBC7F9E38B}" destId="{7E538456-DBAB-478F-A72E-1F46B46E81C2}" srcOrd="1" destOrd="0" presId="urn:microsoft.com/office/officeart/2005/8/layout/hierarchy6#1"/>
    <dgm:cxn modelId="{4939A972-4894-4C9E-B83F-DF80F169AF27}" type="presParOf" srcId="{7E538456-DBAB-478F-A72E-1F46B46E81C2}" destId="{F3EAFFAE-DB68-4AD6-92D7-6DEF46FEAAF3}" srcOrd="0" destOrd="0" presId="urn:microsoft.com/office/officeart/2005/8/layout/hierarchy6#1"/>
    <dgm:cxn modelId="{BD8EC9C0-2F7B-4699-AC13-5A7094466030}" type="presParOf" srcId="{7E538456-DBAB-478F-A72E-1F46B46E81C2}" destId="{EF6F5175-3B03-424E-B59D-343CA3CDB48A}" srcOrd="1" destOrd="0" presId="urn:microsoft.com/office/officeart/2005/8/layout/hierarchy6#1"/>
    <dgm:cxn modelId="{110C25EC-F168-448A-84B4-B0B7D6172A22}" type="presParOf" srcId="{EF6F5175-3B03-424E-B59D-343CA3CDB48A}" destId="{49C1231C-DC29-458E-8D53-902B98AE3F04}" srcOrd="0" destOrd="0" presId="urn:microsoft.com/office/officeart/2005/8/layout/hierarchy6#1"/>
    <dgm:cxn modelId="{DA7DE6D3-C0FF-4818-A340-0618526AC6C7}" type="presParOf" srcId="{EF6F5175-3B03-424E-B59D-343CA3CDB48A}" destId="{AD55A7E9-D30A-4158-8E5B-207536B77A0A}" srcOrd="1" destOrd="0" presId="urn:microsoft.com/office/officeart/2005/8/layout/hierarchy6#1"/>
    <dgm:cxn modelId="{21891164-B54A-4FF6-8E49-BD3501E4F924}" type="presParOf" srcId="{AD55A7E9-D30A-4158-8E5B-207536B77A0A}" destId="{27ACFFBC-5BFA-4EB5-884F-69E7EA65B693}" srcOrd="0" destOrd="0" presId="urn:microsoft.com/office/officeart/2005/8/layout/hierarchy6#1"/>
    <dgm:cxn modelId="{0AD1A9CA-96F5-4C61-B88E-DB4611279AC1}" type="presParOf" srcId="{AD55A7E9-D30A-4158-8E5B-207536B77A0A}" destId="{EDDC065F-6BAD-40AA-AC7E-55D3F12D39CA}" srcOrd="1" destOrd="0" presId="urn:microsoft.com/office/officeart/2005/8/layout/hierarchy6#1"/>
    <dgm:cxn modelId="{47F77152-B4A5-4AC0-BAD5-7A826AC3C4E3}" type="presParOf" srcId="{EDDC065F-6BAD-40AA-AC7E-55D3F12D39CA}" destId="{3A7B5092-F876-4398-A395-81041FF606EA}" srcOrd="0" destOrd="0" presId="urn:microsoft.com/office/officeart/2005/8/layout/hierarchy6#1"/>
    <dgm:cxn modelId="{95D6DC75-2843-444C-98D3-7A7CBF9D5B3F}" type="presParOf" srcId="{EDDC065F-6BAD-40AA-AC7E-55D3F12D39CA}" destId="{9E72D814-DC43-4E2E-9404-4FD300F66397}" srcOrd="1" destOrd="0" presId="urn:microsoft.com/office/officeart/2005/8/layout/hierarchy6#1"/>
    <dgm:cxn modelId="{E91312CF-72AC-40BC-8271-D98FA9439E44}" type="presParOf" srcId="{7E538456-DBAB-478F-A72E-1F46B46E81C2}" destId="{85470E41-AEAA-428E-9604-5940DDCF868E}" srcOrd="2" destOrd="0" presId="urn:microsoft.com/office/officeart/2005/8/layout/hierarchy6#1"/>
    <dgm:cxn modelId="{CBFFD8CD-9CA3-4297-BCFC-F77DDB6B5E2C}" type="presParOf" srcId="{7E538456-DBAB-478F-A72E-1F46B46E81C2}" destId="{EDBD11B9-1FA5-4E51-889B-52AD597FD2CE}" srcOrd="3" destOrd="0" presId="urn:microsoft.com/office/officeart/2005/8/layout/hierarchy6#1"/>
    <dgm:cxn modelId="{DA1AA434-4542-4CD8-B996-C6CA3329B1E2}" type="presParOf" srcId="{EDBD11B9-1FA5-4E51-889B-52AD597FD2CE}" destId="{D57A2C85-5725-4C77-A68C-BEB11E95B05B}" srcOrd="0" destOrd="0" presId="urn:microsoft.com/office/officeart/2005/8/layout/hierarchy6#1"/>
    <dgm:cxn modelId="{F927BA0C-B88E-45A5-AA7B-5A6106AAED7E}" type="presParOf" srcId="{EDBD11B9-1FA5-4E51-889B-52AD597FD2CE}" destId="{5BD7FD6C-E511-48B3-9758-4240768D2CE9}" srcOrd="1" destOrd="0" presId="urn:microsoft.com/office/officeart/2005/8/layout/hierarchy6#1"/>
    <dgm:cxn modelId="{F119A55C-2AEA-44A1-AEF4-D451E9B1A789}" type="presParOf" srcId="{5BD7FD6C-E511-48B3-9758-4240768D2CE9}" destId="{5FA43B5F-3FDA-4434-8F0B-5D24C2E5536F}" srcOrd="0" destOrd="0" presId="urn:microsoft.com/office/officeart/2005/8/layout/hierarchy6#1"/>
    <dgm:cxn modelId="{DD88B55D-0D5B-4581-8374-BC9BB03849E0}" type="presParOf" srcId="{5BD7FD6C-E511-48B3-9758-4240768D2CE9}" destId="{751398A5-A476-40D2-A2EF-A78A6B32FC89}" srcOrd="1" destOrd="0" presId="urn:microsoft.com/office/officeart/2005/8/layout/hierarchy6#1"/>
    <dgm:cxn modelId="{2DC2801C-9E8A-4797-9104-129C3D9BB5A2}" type="presParOf" srcId="{751398A5-A476-40D2-A2EF-A78A6B32FC89}" destId="{4A892EA7-CF46-452B-A320-158C3D5548B7}" srcOrd="0" destOrd="0" presId="urn:microsoft.com/office/officeart/2005/8/layout/hierarchy6#1"/>
    <dgm:cxn modelId="{89DA3B62-CB7D-4FEF-B4B0-07599D8C797E}" type="presParOf" srcId="{751398A5-A476-40D2-A2EF-A78A6B32FC89}" destId="{99707E52-1490-4343-A7F0-2FA00093905F}" srcOrd="1" destOrd="0" presId="urn:microsoft.com/office/officeart/2005/8/layout/hierarchy6#1"/>
    <dgm:cxn modelId="{E31ED663-5090-4123-B312-ECF018C6348A}" type="presParOf" srcId="{4145789B-5299-4C27-9DD3-AB457ECE3D33}" destId="{785F9DA6-6EB8-4D80-9B44-7139DC31AAF6}" srcOrd="2" destOrd="0" presId="urn:microsoft.com/office/officeart/2005/8/layout/hierarchy6#1"/>
    <dgm:cxn modelId="{ED71438A-B4F6-4509-87C4-7E27742FBBED}" type="presParOf" srcId="{4145789B-5299-4C27-9DD3-AB457ECE3D33}" destId="{9BA24BD4-D4D2-4AE5-962F-743062943F3D}" srcOrd="3" destOrd="0" presId="urn:microsoft.com/office/officeart/2005/8/layout/hierarchy6#1"/>
    <dgm:cxn modelId="{E86803BB-0E93-4355-BEE5-B9B31FF535FA}" type="presParOf" srcId="{9BA24BD4-D4D2-4AE5-962F-743062943F3D}" destId="{DACC567F-E25F-4AC8-9BE7-77C45149F862}" srcOrd="0" destOrd="0" presId="urn:microsoft.com/office/officeart/2005/8/layout/hierarchy6#1"/>
    <dgm:cxn modelId="{37F5C49B-331A-4A8A-A63F-B1E070F48B27}" type="presParOf" srcId="{9BA24BD4-D4D2-4AE5-962F-743062943F3D}" destId="{031AD099-3612-4122-8575-70FBB6EDDB08}" srcOrd="1" destOrd="0" presId="urn:microsoft.com/office/officeart/2005/8/layout/hierarchy6#1"/>
    <dgm:cxn modelId="{D7F7740E-49C0-4738-BDEB-9F226A0C1248}" type="presParOf" srcId="{031AD099-3612-4122-8575-70FBB6EDDB08}" destId="{FED3CD77-77CA-4219-AFDE-DD0BB33D4E23}" srcOrd="0" destOrd="0" presId="urn:microsoft.com/office/officeart/2005/8/layout/hierarchy6#1"/>
    <dgm:cxn modelId="{B89F3609-DC40-43F0-9E7A-EE936147BA99}" type="presParOf" srcId="{031AD099-3612-4122-8575-70FBB6EDDB08}" destId="{36AE418B-1CDB-4614-BC98-46A1D6DD947E}" srcOrd="1" destOrd="0" presId="urn:microsoft.com/office/officeart/2005/8/layout/hierarchy6#1"/>
    <dgm:cxn modelId="{498DD771-8CFE-4F8C-943B-050720ECF508}" type="presParOf" srcId="{36AE418B-1CDB-4614-BC98-46A1D6DD947E}" destId="{E529DD61-7D62-441A-9315-84198263B85A}" srcOrd="0" destOrd="0" presId="urn:microsoft.com/office/officeart/2005/8/layout/hierarchy6#1"/>
    <dgm:cxn modelId="{F52DE2E9-B770-48E2-8709-76585BA9CD1D}" type="presParOf" srcId="{36AE418B-1CDB-4614-BC98-46A1D6DD947E}" destId="{4FDD581C-FAB2-4307-BCF3-E33A4D6FA5FB}" srcOrd="1" destOrd="0" presId="urn:microsoft.com/office/officeart/2005/8/layout/hierarchy6#1"/>
    <dgm:cxn modelId="{4CB47587-879B-484B-BB7A-012D83989FEE}" type="presParOf" srcId="{4FDD581C-FAB2-4307-BCF3-E33A4D6FA5FB}" destId="{A0A1B328-AC6B-43B7-8639-99413461C417}" srcOrd="0" destOrd="0" presId="urn:microsoft.com/office/officeart/2005/8/layout/hierarchy6#1"/>
    <dgm:cxn modelId="{62FA540C-67EE-4EFE-BF71-3FBB3F2158FC}" type="presParOf" srcId="{4FDD581C-FAB2-4307-BCF3-E33A4D6FA5FB}" destId="{577F1630-F815-4A25-8707-655ADF081DE2}" srcOrd="1" destOrd="0" presId="urn:microsoft.com/office/officeart/2005/8/layout/hierarchy6#1"/>
    <dgm:cxn modelId="{E180D0C7-F3C9-4E46-902D-1DED6F52A55F}" type="presParOf" srcId="{577F1630-F815-4A25-8707-655ADF081DE2}" destId="{CE50C0AA-7C46-432C-823C-AC2E549360A5}" srcOrd="0" destOrd="0" presId="urn:microsoft.com/office/officeart/2005/8/layout/hierarchy6#1"/>
    <dgm:cxn modelId="{488857AA-3F53-48BC-ACB4-E95FA0A3D77D}" type="presParOf" srcId="{577F1630-F815-4A25-8707-655ADF081DE2}" destId="{1A73B08A-B61E-444D-937F-335BF203FFD6}" srcOrd="1" destOrd="0" presId="urn:microsoft.com/office/officeart/2005/8/layout/hierarchy6#1"/>
    <dgm:cxn modelId="{4BF9B3DE-97CB-4206-820C-101703764788}" type="presParOf" srcId="{031AD099-3612-4122-8575-70FBB6EDDB08}" destId="{8DDA0F31-B80A-4205-B7F1-ACAE81B48623}" srcOrd="2" destOrd="0" presId="urn:microsoft.com/office/officeart/2005/8/layout/hierarchy6#1"/>
    <dgm:cxn modelId="{E62A1DAA-6C02-4BCF-8515-F84C2A2A6DF1}" type="presParOf" srcId="{031AD099-3612-4122-8575-70FBB6EDDB08}" destId="{48AEA30D-F210-444F-9073-2C145722D930}" srcOrd="3" destOrd="0" presId="urn:microsoft.com/office/officeart/2005/8/layout/hierarchy6#1"/>
    <dgm:cxn modelId="{0CF790E7-BF4A-4EB9-B105-E541F67BB46A}" type="presParOf" srcId="{48AEA30D-F210-444F-9073-2C145722D930}" destId="{309A5B5D-47D8-41D1-A743-83EDA8A14931}" srcOrd="0" destOrd="0" presId="urn:microsoft.com/office/officeart/2005/8/layout/hierarchy6#1"/>
    <dgm:cxn modelId="{B0F7A5C3-06EE-4CAF-BE67-44E96276C727}" type="presParOf" srcId="{48AEA30D-F210-444F-9073-2C145722D930}" destId="{40C86BEE-EB41-4E34-8833-D6F11BACA901}" srcOrd="1" destOrd="0" presId="urn:microsoft.com/office/officeart/2005/8/layout/hierarchy6#1"/>
    <dgm:cxn modelId="{267ED253-D002-4207-887E-8B36948146D2}" type="presParOf" srcId="{40C86BEE-EB41-4E34-8833-D6F11BACA901}" destId="{BF9413D6-D247-4406-BD5A-2C545BDCC8CE}" srcOrd="0" destOrd="0" presId="urn:microsoft.com/office/officeart/2005/8/layout/hierarchy6#1"/>
    <dgm:cxn modelId="{32CFBCBB-AB59-44E4-9BB3-4362349C7149}" type="presParOf" srcId="{40C86BEE-EB41-4E34-8833-D6F11BACA901}" destId="{9231A654-F593-41D6-A860-F12D409368B5}" srcOrd="1" destOrd="0" presId="urn:microsoft.com/office/officeart/2005/8/layout/hierarchy6#1"/>
    <dgm:cxn modelId="{22FB47EC-1D4A-495A-9C90-383C4C0B902D}" type="presParOf" srcId="{9231A654-F593-41D6-A860-F12D409368B5}" destId="{D95E3F19-460C-4E53-80CD-CAD5CE5AF8DA}" srcOrd="0" destOrd="0" presId="urn:microsoft.com/office/officeart/2005/8/layout/hierarchy6#1"/>
    <dgm:cxn modelId="{F512AF71-07EF-47E8-A16F-7CC01B0A9DC4}" type="presParOf" srcId="{9231A654-F593-41D6-A860-F12D409368B5}" destId="{4428E39F-82D4-4321-B961-FD2337829371}" srcOrd="1" destOrd="0" presId="urn:microsoft.com/office/officeart/2005/8/layout/hierarchy6#1"/>
    <dgm:cxn modelId="{B2257A86-4698-4475-A27D-AD928B81D536}" type="presParOf" srcId="{4145789B-5299-4C27-9DD3-AB457ECE3D33}" destId="{7F2D98B9-E1DF-4C0B-B7E1-20F0CEEE1CB0}" srcOrd="4" destOrd="0" presId="urn:microsoft.com/office/officeart/2005/8/layout/hierarchy6#1"/>
    <dgm:cxn modelId="{6BA3B35B-67D8-4EC5-8944-DCB354417DF0}" type="presParOf" srcId="{4145789B-5299-4C27-9DD3-AB457ECE3D33}" destId="{072504B3-20DF-4E09-A0D3-358C85674FD9}" srcOrd="5" destOrd="0" presId="urn:microsoft.com/office/officeart/2005/8/layout/hierarchy6#1"/>
    <dgm:cxn modelId="{1C4BB5E0-D802-4DDD-BDB6-BC0CF10B6073}" type="presParOf" srcId="{072504B3-20DF-4E09-A0D3-358C85674FD9}" destId="{393810B6-80F5-45EE-AD03-8F31FEB755F3}" srcOrd="0" destOrd="0" presId="urn:microsoft.com/office/officeart/2005/8/layout/hierarchy6#1"/>
    <dgm:cxn modelId="{FEC29F7F-0366-45AB-96CE-7397B78CBAD4}" type="presParOf" srcId="{072504B3-20DF-4E09-A0D3-358C85674FD9}" destId="{7E50758F-2987-4E83-AA3F-09AC35E2AE1C}" srcOrd="1" destOrd="0" presId="urn:microsoft.com/office/officeart/2005/8/layout/hierarchy6#1"/>
    <dgm:cxn modelId="{A833D742-FB8E-4A15-ADFB-6097F2B05B98}" type="presParOf" srcId="{7E50758F-2987-4E83-AA3F-09AC35E2AE1C}" destId="{BE3C9094-2107-485A-B2BD-3095643D1574}" srcOrd="0" destOrd="0" presId="urn:microsoft.com/office/officeart/2005/8/layout/hierarchy6#1"/>
    <dgm:cxn modelId="{C1D8A419-B9F2-4571-8CB0-81870B5ECCF6}" type="presParOf" srcId="{7E50758F-2987-4E83-AA3F-09AC35E2AE1C}" destId="{DE0FCC23-AAB5-4753-AD32-6740E24223CD}" srcOrd="1" destOrd="0" presId="urn:microsoft.com/office/officeart/2005/8/layout/hierarchy6#1"/>
    <dgm:cxn modelId="{F6A098FF-8E41-4B3E-A390-CD974520CA54}" type="presParOf" srcId="{DE0FCC23-AAB5-4753-AD32-6740E24223CD}" destId="{5593B937-6F60-49AF-B018-8FDEF75233A6}" srcOrd="0" destOrd="0" presId="urn:microsoft.com/office/officeart/2005/8/layout/hierarchy6#1"/>
    <dgm:cxn modelId="{26104072-F78E-48CB-8401-98799CCA4AF7}" type="presParOf" srcId="{DE0FCC23-AAB5-4753-AD32-6740E24223CD}" destId="{862A86A8-0D6D-4E22-AED6-7D57CEAC1E5B}" srcOrd="1" destOrd="0" presId="urn:microsoft.com/office/officeart/2005/8/layout/hierarchy6#1"/>
    <dgm:cxn modelId="{823D50C8-F90A-4914-A033-AF681473AFF5}" type="presParOf" srcId="{862A86A8-0D6D-4E22-AED6-7D57CEAC1E5B}" destId="{0264E670-66E2-4F83-AA18-D747D50FE8CF}" srcOrd="0" destOrd="0" presId="urn:microsoft.com/office/officeart/2005/8/layout/hierarchy6#1"/>
    <dgm:cxn modelId="{11B94B05-C3CF-4638-B01D-EB739D566C0A}" type="presParOf" srcId="{862A86A8-0D6D-4E22-AED6-7D57CEAC1E5B}" destId="{A2F7B2AC-4816-4600-8D96-F2CB5BC5664F}" srcOrd="1" destOrd="0" presId="urn:microsoft.com/office/officeart/2005/8/layout/hierarchy6#1"/>
    <dgm:cxn modelId="{AE86EBD6-3FB3-42A7-839B-0BD44155A014}" type="presParOf" srcId="{A2F7B2AC-4816-4600-8D96-F2CB5BC5664F}" destId="{8F4F8987-6C36-4A59-A236-7BB070C38839}" srcOrd="0" destOrd="0" presId="urn:microsoft.com/office/officeart/2005/8/layout/hierarchy6#1"/>
    <dgm:cxn modelId="{53DAA6BA-62FC-4108-9391-16A1C2C7EEDA}" type="presParOf" srcId="{A2F7B2AC-4816-4600-8D96-F2CB5BC5664F}" destId="{FD27781B-5CC4-45DC-BAA1-C563C5020279}" srcOrd="1" destOrd="0" presId="urn:microsoft.com/office/officeart/2005/8/layout/hierarchy6#1"/>
    <dgm:cxn modelId="{613068F6-F2AB-4776-AEDA-6A3DEA3E8525}" type="presParOf" srcId="{7E50758F-2987-4E83-AA3F-09AC35E2AE1C}" destId="{00357220-6BFF-4F4C-956B-6C6F0FBC0D0F}" srcOrd="2" destOrd="0" presId="urn:microsoft.com/office/officeart/2005/8/layout/hierarchy6#1"/>
    <dgm:cxn modelId="{F01C9C06-901C-408F-9020-0429DCD43646}" type="presParOf" srcId="{7E50758F-2987-4E83-AA3F-09AC35E2AE1C}" destId="{F4C4FDC6-34E7-42D9-83B7-D8AF45CF6381}" srcOrd="3" destOrd="0" presId="urn:microsoft.com/office/officeart/2005/8/layout/hierarchy6#1"/>
    <dgm:cxn modelId="{C9B7C6E2-0965-4C5A-B86B-6FF0E6B5ABC0}" type="presParOf" srcId="{F4C4FDC6-34E7-42D9-83B7-D8AF45CF6381}" destId="{71D98345-5679-478B-BE76-18534B031B51}" srcOrd="0" destOrd="0" presId="urn:microsoft.com/office/officeart/2005/8/layout/hierarchy6#1"/>
    <dgm:cxn modelId="{0192CCDE-1A22-4AC5-A1C9-D701C6D1F6F2}" type="presParOf" srcId="{F4C4FDC6-34E7-42D9-83B7-D8AF45CF6381}" destId="{1ABF2CBD-86D3-4A7B-9CEE-E5C10301644D}" srcOrd="1" destOrd="0" presId="urn:microsoft.com/office/officeart/2005/8/layout/hierarchy6#1"/>
    <dgm:cxn modelId="{4D7B81FD-05B0-48B6-BFA6-F45CCCDF3CD8}" type="presParOf" srcId="{1ABF2CBD-86D3-4A7B-9CEE-E5C10301644D}" destId="{0118DE06-9D25-49B0-A161-0FDF0EDE61E1}" srcOrd="0" destOrd="0" presId="urn:microsoft.com/office/officeart/2005/8/layout/hierarchy6#1"/>
    <dgm:cxn modelId="{8CF9B65B-ACE9-4535-B724-DD6CDC718552}" type="presParOf" srcId="{1ABF2CBD-86D3-4A7B-9CEE-E5C10301644D}" destId="{F62B96AE-A6D7-4B9B-BD1E-AEEFF1C435E9}" srcOrd="1" destOrd="0" presId="urn:microsoft.com/office/officeart/2005/8/layout/hierarchy6#1"/>
    <dgm:cxn modelId="{142FAB86-166F-4479-981C-83442FBEC017}" type="presParOf" srcId="{F62B96AE-A6D7-4B9B-BD1E-AEEFF1C435E9}" destId="{0EE40382-0F86-473D-9A68-865FC95A183F}" srcOrd="0" destOrd="0" presId="urn:microsoft.com/office/officeart/2005/8/layout/hierarchy6#1"/>
    <dgm:cxn modelId="{6E380AD8-A2D7-4E96-BC01-7A1BB7DB1A1F}" type="presParOf" srcId="{F62B96AE-A6D7-4B9B-BD1E-AEEFF1C435E9}" destId="{90B0D2A3-954C-4964-BCA1-BFB7DAAF299C}" srcOrd="1" destOrd="0" presId="urn:microsoft.com/office/officeart/2005/8/layout/hierarchy6#1"/>
    <dgm:cxn modelId="{7650C766-B867-45CB-B32F-1244FF9BD14D}" type="presParOf" srcId="{DCD8E169-9465-473E-8082-E96918CF6E32}" destId="{F255808E-6C49-4470-8529-B2326931472F}" srcOrd="1" destOrd="0" presId="urn:microsoft.com/office/officeart/2005/8/layout/hierarchy6#1"/>
  </dgm:cxnLst>
  <dgm:bg/>
  <dgm:whole/>
  <dgm:extLst>
    <a:ext xmlns:a="http://schemas.openxmlformats.org/drawingml/2006/main" uri="http://schemas.microsoft.com/office/drawing/2008/diagram">
      <dsp:dataModelExt xmlns:dsp="http://schemas.microsoft.com/office/drawing/2008/diagram" minVer="http://schemas.openxmlformats.org/drawingml/2006/diagram" relId="rId13"/>
    </a:ext>
  </dgm:extLst>
</dgm:dataModel>
</file>

<file path=word/diagrams/data2.xml><?xml version="1.0" encoding="utf-8"?>
<dgm:dataModel xmlns:dgm="http://schemas.openxmlformats.org/drawingml/2006/diagram" xmlns:a="http://schemas.openxmlformats.org/drawingml/2006/main">
  <dgm:ptLst>
    <dgm:pt modelId="{D954D4A7-A0EE-4372-9251-4FC0E3C36BAC}" type="doc">
      <dgm:prSet loTypeId="urn:microsoft.com/office/officeart/2005/8/layout/vList4" loCatId="list" qsTypeId="urn:microsoft.com/office/officeart/2005/8/quickstyle/simple1" qsCatId="simple" csTypeId="urn:microsoft.com/office/officeart/2005/8/colors/accent1_2" csCatId="accent1" phldr="1"/>
      <dgm:spPr/>
      <dgm:t>
        <a:bodyPr/>
        <a:lstStyle/>
        <a:p>
          <a:endParaRPr lang="uk-UA"/>
        </a:p>
      </dgm:t>
    </dgm:pt>
    <dgm:pt modelId="{4E1A9EDF-E147-4CF5-BB0D-AF72AF634521}">
      <dgm:prSet phldrT="[Текст]" custT="1"/>
      <dgm:spPr>
        <a:xfrm>
          <a:off x="0" y="0"/>
          <a:ext cx="5720715" cy="655513"/>
        </a:xfrm>
        <a:prstGeom prst="roundRect">
          <a:avLst>
            <a:gd name="adj" fmla="val 10000"/>
          </a:avLst>
        </a:prstGeom>
        <a:solidFill>
          <a:srgbClr val="FFC000"/>
        </a:solidFill>
        <a:ln w="12700">
          <a:solidFill>
            <a:sysClr val="window" lastClr="FFFFFF">
              <a:hueOff val="0"/>
              <a:satOff val="0"/>
              <a:lumOff val="0"/>
              <a:alphaOff val="0"/>
            </a:sysClr>
          </a:solidFill>
          <a:prstDash val="solid"/>
          <a:miter lim="800000"/>
        </a:ln>
        <a:effectLst/>
      </dgm:spPr>
      <dgm:t>
        <a:bodyPr/>
        <a:lstStyle/>
        <a:p>
          <a:pPr>
            <a:buNone/>
          </a:pPr>
          <a:r>
            <a:rPr lang="uk-UA" sz="900">
              <a:solidFill>
                <a:sysClr val="windowText" lastClr="000000"/>
              </a:solidFill>
              <a:latin typeface="Calibri" panose="020F0502020204030204"/>
              <a:ea typeface="+mn-ea"/>
              <a:cs typeface="+mn-cs"/>
            </a:rPr>
            <a:t>Броварська міська дитяча музична школа</a:t>
          </a:r>
        </a:p>
        <a:p>
          <a:pPr>
            <a:buNone/>
          </a:pPr>
          <a:r>
            <a:rPr lang="uk-UA" sz="900">
              <a:solidFill>
                <a:sysClr val="windowText" lastClr="000000"/>
              </a:solidFill>
              <a:latin typeface="Calibri" panose="020F0502020204030204"/>
              <a:ea typeface="+mn-ea"/>
              <a:cs typeface="+mn-cs"/>
            </a:rPr>
            <a:t>Броварська міська дитяча школа мистецтв</a:t>
          </a:r>
        </a:p>
        <a:p>
          <a:pPr>
            <a:buNone/>
          </a:pPr>
          <a:r>
            <a:rPr lang="uk-UA" sz="900">
              <a:solidFill>
                <a:sysClr val="windowText" lastClr="000000"/>
              </a:solidFill>
              <a:latin typeface="Calibri" panose="020F0502020204030204"/>
              <a:ea typeface="+mn-ea"/>
              <a:cs typeface="+mn-cs"/>
            </a:rPr>
            <a:t>Броварський будинок творчості та аматорського мистецтва</a:t>
          </a:r>
        </a:p>
      </dgm:t>
    </dgm:pt>
    <dgm:pt modelId="{E95DE420-AED9-4AD5-A95F-87DFF6F8E35B}" type="parTrans" cxnId="{36DB2AA8-E6C3-4D17-8D64-EA42B66EF02A}">
      <dgm:prSet/>
      <dgm:spPr/>
      <dgm:t>
        <a:bodyPr/>
        <a:lstStyle/>
        <a:p>
          <a:endParaRPr lang="uk-UA"/>
        </a:p>
      </dgm:t>
    </dgm:pt>
    <dgm:pt modelId="{34D32412-DC7F-44BE-AB11-7592CDBFE250}" type="sibTrans" cxnId="{36DB2AA8-E6C3-4D17-8D64-EA42B66EF02A}">
      <dgm:prSet/>
      <dgm:spPr/>
      <dgm:t>
        <a:bodyPr/>
        <a:lstStyle/>
        <a:p>
          <a:endParaRPr lang="uk-UA"/>
        </a:p>
      </dgm:t>
    </dgm:pt>
    <dgm:pt modelId="{CC1BEBC4-204E-4A34-A455-50CF4D270D40}">
      <dgm:prSet phldrT="[Текст]" custT="1"/>
      <dgm:spPr>
        <a:xfrm>
          <a:off x="0" y="721064"/>
          <a:ext cx="5720715" cy="655513"/>
        </a:xfrm>
        <a:prstGeom prst="roundRect">
          <a:avLst>
            <a:gd name="adj" fmla="val 10000"/>
          </a:avLst>
        </a:prstGeom>
        <a:solidFill>
          <a:srgbClr val="92D050"/>
        </a:solidFill>
        <a:ln w="12700">
          <a:solidFill>
            <a:sysClr val="window" lastClr="FFFFFF">
              <a:hueOff val="0"/>
              <a:satOff val="0"/>
              <a:lumOff val="0"/>
              <a:alphaOff val="0"/>
            </a:sysClr>
          </a:solidFill>
          <a:prstDash val="solid"/>
          <a:miter lim="800000"/>
        </a:ln>
        <a:effectLst/>
      </dgm:spPr>
      <dgm:t>
        <a:bodyPr/>
        <a:lstStyle/>
        <a:p>
          <a:pPr>
            <a:buNone/>
          </a:pPr>
          <a:r>
            <a:rPr lang="uk-UA" sz="900">
              <a:solidFill>
                <a:sysClr val="windowText" lastClr="000000"/>
              </a:solidFill>
              <a:latin typeface="Calibri" panose="020F0502020204030204"/>
              <a:ea typeface="+mn-ea"/>
              <a:cs typeface="+mn-cs"/>
            </a:rPr>
            <a:t>Броварський краєзнавчий музей</a:t>
          </a:r>
        </a:p>
      </dgm:t>
    </dgm:pt>
    <dgm:pt modelId="{213522B6-9BAF-477B-A490-03B26DED1304}" type="parTrans" cxnId="{446CA778-0790-4D5D-9710-C021954448DE}">
      <dgm:prSet/>
      <dgm:spPr/>
      <dgm:t>
        <a:bodyPr/>
        <a:lstStyle/>
        <a:p>
          <a:endParaRPr lang="uk-UA"/>
        </a:p>
      </dgm:t>
    </dgm:pt>
    <dgm:pt modelId="{052D5612-E29D-48AD-BCE0-DDCA2C6670BF}" type="sibTrans" cxnId="{446CA778-0790-4D5D-9710-C021954448DE}">
      <dgm:prSet/>
      <dgm:spPr/>
      <dgm:t>
        <a:bodyPr/>
        <a:lstStyle/>
        <a:p>
          <a:endParaRPr lang="uk-UA"/>
        </a:p>
      </dgm:t>
    </dgm:pt>
    <dgm:pt modelId="{FFBAA9FB-944A-4299-B912-078854E1938E}">
      <dgm:prSet phldrT="[Текст]" custT="1"/>
      <dgm:spPr>
        <a:xfrm>
          <a:off x="0" y="2264424"/>
          <a:ext cx="5720715" cy="655513"/>
        </a:xfrm>
        <a:prstGeom prst="roundRect">
          <a:avLst>
            <a:gd name="adj" fmla="val 10000"/>
          </a:avLst>
        </a:prstGeom>
        <a:solidFill>
          <a:srgbClr val="BAB72A"/>
        </a:solidFill>
        <a:ln w="12700">
          <a:solidFill>
            <a:sysClr val="window" lastClr="FFFFFF">
              <a:hueOff val="0"/>
              <a:satOff val="0"/>
              <a:lumOff val="0"/>
              <a:alphaOff val="0"/>
            </a:sysClr>
          </a:solidFill>
          <a:prstDash val="solid"/>
          <a:miter lim="800000"/>
        </a:ln>
        <a:effectLst/>
      </dgm:spPr>
      <dgm:t>
        <a:bodyPr/>
        <a:lstStyle/>
        <a:p>
          <a:pPr>
            <a:buNone/>
          </a:pPr>
          <a:r>
            <a:rPr lang="uk-UA" sz="800">
              <a:solidFill>
                <a:sysClr val="windowText" lastClr="000000"/>
              </a:solidFill>
              <a:latin typeface="Calibri" panose="020F0502020204030204"/>
              <a:ea typeface="+mn-ea"/>
              <a:cs typeface="+mn-cs"/>
            </a:rPr>
            <a:t>Броварська міська бібліотека</a:t>
          </a:r>
        </a:p>
        <a:p>
          <a:pPr>
            <a:buNone/>
          </a:pPr>
          <a:r>
            <a:rPr lang="uk-UA" sz="800">
              <a:solidFill>
                <a:sysClr val="windowText" lastClr="000000"/>
              </a:solidFill>
              <a:latin typeface="Calibri" panose="020F0502020204030204"/>
              <a:ea typeface="+mn-ea"/>
              <a:cs typeface="+mn-cs"/>
            </a:rPr>
            <a:t>Броварська міська бібліотека для дітей</a:t>
          </a:r>
        </a:p>
        <a:p>
          <a:pPr>
            <a:buNone/>
          </a:pPr>
          <a:r>
            <a:rPr lang="uk-UA" sz="800">
              <a:solidFill>
                <a:sysClr val="windowText" lastClr="000000"/>
              </a:solidFill>
              <a:latin typeface="Calibri" panose="020F0502020204030204"/>
              <a:ea typeface="+mn-ea"/>
              <a:cs typeface="+mn-cs"/>
            </a:rPr>
            <a:t>Броварська міська публічна бібліотека</a:t>
          </a:r>
        </a:p>
        <a:p>
          <a:pPr>
            <a:buNone/>
          </a:pPr>
          <a:r>
            <a:rPr lang="uk-UA" sz="800">
              <a:solidFill>
                <a:sysClr val="windowText" lastClr="000000"/>
              </a:solidFill>
              <a:latin typeface="Calibri" panose="020F0502020204030204"/>
              <a:ea typeface="+mn-ea"/>
              <a:cs typeface="+mn-cs"/>
            </a:rPr>
            <a:t>Бібліотека с. Требухів</a:t>
          </a:r>
        </a:p>
        <a:p>
          <a:pPr>
            <a:buNone/>
          </a:pPr>
          <a:r>
            <a:rPr lang="uk-UA" sz="800">
              <a:solidFill>
                <a:sysClr val="windowText" lastClr="000000"/>
              </a:solidFill>
              <a:latin typeface="Calibri" panose="020F0502020204030204"/>
              <a:ea typeface="+mn-ea"/>
              <a:cs typeface="+mn-cs"/>
            </a:rPr>
            <a:t>Бібліотека с. Княжичі</a:t>
          </a:r>
        </a:p>
      </dgm:t>
    </dgm:pt>
    <dgm:pt modelId="{37131888-6CAF-4793-A83D-3CC250C11602}" type="parTrans" cxnId="{6C767461-453E-49D0-B9CE-46DE593A1E87}">
      <dgm:prSet/>
      <dgm:spPr/>
      <dgm:t>
        <a:bodyPr/>
        <a:lstStyle/>
        <a:p>
          <a:endParaRPr lang="uk-UA"/>
        </a:p>
      </dgm:t>
    </dgm:pt>
    <dgm:pt modelId="{721A7C24-490F-4C07-9EA6-80BE1D998DD2}" type="sibTrans" cxnId="{6C767461-453E-49D0-B9CE-46DE593A1E87}">
      <dgm:prSet/>
      <dgm:spPr/>
      <dgm:t>
        <a:bodyPr/>
        <a:lstStyle/>
        <a:p>
          <a:endParaRPr lang="uk-UA"/>
        </a:p>
      </dgm:t>
    </dgm:pt>
    <dgm:pt modelId="{D2834E05-B82B-45DF-A0C7-B5387868ADD9}">
      <dgm:prSet custT="1"/>
      <dgm:spPr>
        <a:xfrm>
          <a:off x="0" y="1442129"/>
          <a:ext cx="5720715" cy="756744"/>
        </a:xfrm>
        <a:prstGeom prst="roundRect">
          <a:avLst>
            <a:gd name="adj" fmla="val 10000"/>
          </a:avLst>
        </a:prstGeom>
        <a:solidFill>
          <a:srgbClr val="5B9BD5">
            <a:lumMod val="60000"/>
            <a:lumOff val="40000"/>
          </a:srgbClr>
        </a:solidFill>
        <a:ln w="12700">
          <a:solidFill>
            <a:sysClr val="window" lastClr="FFFFFF">
              <a:hueOff val="0"/>
              <a:satOff val="0"/>
              <a:lumOff val="0"/>
              <a:alphaOff val="0"/>
            </a:sysClr>
          </a:solidFill>
          <a:prstDash val="solid"/>
          <a:miter lim="800000"/>
        </a:ln>
        <a:effectLst/>
      </dgm:spPr>
      <dgm:t>
        <a:bodyPr/>
        <a:lstStyle/>
        <a:p>
          <a:pPr>
            <a:buNone/>
          </a:pPr>
          <a:r>
            <a:rPr lang="uk-UA" sz="800">
              <a:solidFill>
                <a:sysClr val="windowText" lastClr="000000"/>
              </a:solidFill>
              <a:latin typeface="Calibri" panose="020F0502020204030204"/>
              <a:ea typeface="+mn-ea"/>
              <a:cs typeface="+mn-cs"/>
            </a:rPr>
            <a:t>Броварський міський клуб, Комунальний заклад "Міський культурний центр"</a:t>
          </a:r>
        </a:p>
        <a:p>
          <a:pPr>
            <a:buNone/>
          </a:pPr>
          <a:r>
            <a:rPr lang="uk-UA" sz="800">
              <a:solidFill>
                <a:sysClr val="windowText" lastClr="000000"/>
              </a:solidFill>
              <a:latin typeface="Calibri" panose="020F0502020204030204"/>
              <a:ea typeface="+mn-ea"/>
              <a:cs typeface="+mn-cs"/>
            </a:rPr>
            <a:t>Комунальний заклад клубного типу "Культурно-інноваційна  платформа "ТепЛиця"</a:t>
          </a:r>
        </a:p>
        <a:p>
          <a:pPr>
            <a:buNone/>
          </a:pPr>
          <a:r>
            <a:rPr lang="uk-UA" sz="800">
              <a:solidFill>
                <a:sysClr val="windowText" lastClr="000000"/>
              </a:solidFill>
              <a:latin typeface="Calibri" panose="020F0502020204030204"/>
              <a:ea typeface="+mn-ea"/>
              <a:cs typeface="+mn-cs"/>
            </a:rPr>
            <a:t>"Культурно-просвітницький центр "СвітЛиця"</a:t>
          </a:r>
        </a:p>
        <a:p>
          <a:pPr>
            <a:buNone/>
          </a:pPr>
          <a:r>
            <a:rPr lang="uk-UA" sz="800">
              <a:solidFill>
                <a:sysClr val="windowText" lastClr="000000"/>
              </a:solidFill>
              <a:latin typeface="Calibri" panose="020F0502020204030204"/>
              <a:ea typeface="+mn-ea"/>
              <a:cs typeface="+mn-cs"/>
            </a:rPr>
            <a:t>Будинок культури с. Требухів</a:t>
          </a:r>
        </a:p>
        <a:p>
          <a:pPr>
            <a:buNone/>
          </a:pPr>
          <a:r>
            <a:rPr lang="uk-UA" sz="800">
              <a:solidFill>
                <a:sysClr val="windowText" lastClr="000000"/>
              </a:solidFill>
              <a:latin typeface="Calibri" panose="020F0502020204030204"/>
              <a:ea typeface="+mn-ea"/>
              <a:cs typeface="+mn-cs"/>
            </a:rPr>
            <a:t>Будинок культури с. Княжичі</a:t>
          </a:r>
        </a:p>
        <a:p>
          <a:pPr>
            <a:buNone/>
          </a:pPr>
          <a:r>
            <a:rPr lang="uk-UA" sz="800">
              <a:solidFill>
                <a:sysClr val="windowText" lastClr="000000"/>
              </a:solidFill>
              <a:latin typeface="Calibri" panose="020F0502020204030204"/>
              <a:ea typeface="+mn-ea"/>
              <a:cs typeface="+mn-cs"/>
            </a:rPr>
            <a:t>Сільський клуб с. </a:t>
          </a:r>
          <a:r>
            <a:rPr lang="uk-UA" sz="800" b="0">
              <a:solidFill>
                <a:sysClr val="windowText" lastClr="000000"/>
              </a:solidFill>
              <a:latin typeface="Calibri" panose="020F0502020204030204"/>
              <a:ea typeface="+mn-ea"/>
              <a:cs typeface="+mn-cs"/>
            </a:rPr>
            <a:t>Сотницьке</a:t>
          </a:r>
        </a:p>
      </dgm:t>
    </dgm:pt>
    <dgm:pt modelId="{750214DC-6626-4C14-9711-3CF203BF0EAF}" type="sibTrans" cxnId="{28C8A1B2-F50C-482B-BCB1-0E9A94ED47FA}">
      <dgm:prSet/>
      <dgm:spPr/>
      <dgm:t>
        <a:bodyPr/>
        <a:lstStyle/>
        <a:p>
          <a:endParaRPr lang="uk-UA"/>
        </a:p>
      </dgm:t>
    </dgm:pt>
    <dgm:pt modelId="{C9907A02-36E7-4686-B736-92FB8F516F0E}" type="parTrans" cxnId="{28C8A1B2-F50C-482B-BCB1-0E9A94ED47FA}">
      <dgm:prSet/>
      <dgm:spPr/>
      <dgm:t>
        <a:bodyPr/>
        <a:lstStyle/>
        <a:p>
          <a:endParaRPr lang="uk-UA"/>
        </a:p>
      </dgm:t>
    </dgm:pt>
    <dgm:pt modelId="{09A633C8-544B-4702-8812-22307C6B6B90}" type="pres">
      <dgm:prSet presAssocID="{D954D4A7-A0EE-4372-9251-4FC0E3C36BAC}" presName="linear" presStyleCnt="0">
        <dgm:presLayoutVars>
          <dgm:dir val="norm"/>
          <dgm:resizeHandles val="exact"/>
        </dgm:presLayoutVars>
      </dgm:prSet>
      <dgm:spPr/>
    </dgm:pt>
    <dgm:pt modelId="{A79279F3-0F5D-4B00-ACAA-C8960D473EEB}" type="pres">
      <dgm:prSet presAssocID="{4E1A9EDF-E147-4CF5-BB0D-AF72AF634521}" presName="comp" presStyleCnt="0"/>
      <dgm:spPr/>
    </dgm:pt>
    <dgm:pt modelId="{8FFA2B87-2A78-4EB7-98E9-1A2241EDA825}" type="pres">
      <dgm:prSet presAssocID="{4E1A9EDF-E147-4CF5-BB0D-AF72AF634521}" presName="box" presStyleLbl="node1" presStyleIdx="0" presStyleCnt="4"/>
      <dgm:spPr/>
    </dgm:pt>
    <dgm:pt modelId="{450CB8EB-11AF-4C49-9C5A-B8DCFA742A0E}" type="pres">
      <dgm:prSet presAssocID="{4E1A9EDF-E147-4CF5-BB0D-AF72AF634521}" presName="img" presStyleLbl="fgImgPlace1" presStyleIdx="0" presStyleCnt="4"/>
      <dgm:spPr>
        <a:xfrm>
          <a:off x="65551" y="65551"/>
          <a:ext cx="1144143" cy="524410"/>
        </a:xfrm>
        <a:prstGeom prst="roundRect">
          <a:avLst>
            <a:gd name="adj" fmla="val 10000"/>
          </a:avLst>
        </a:prstGeom>
        <a: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l="-23000" r="-23000"/>
          </a:stretch>
        </a:blipFill>
        <a:ln w="12700">
          <a:solidFill>
            <a:sysClr val="window" lastClr="FFFFFF">
              <a:hueOff val="0"/>
              <a:satOff val="0"/>
              <a:lumOff val="0"/>
              <a:alphaOff val="0"/>
            </a:sysClr>
          </a:solidFill>
          <a:prstDash val="solid"/>
          <a:miter lim="800000"/>
        </a:ln>
        <a:effectLst/>
      </dgm:spPr>
    </dgm:pt>
    <dgm:pt modelId="{6CAC999B-7E5C-49D6-9983-B7EE7CBCCA64}" type="pres">
      <dgm:prSet presAssocID="{4E1A9EDF-E147-4CF5-BB0D-AF72AF634521}" presName="text" presStyleLbl="node1" presStyleIdx="0" presStyleCnt="4">
        <dgm:presLayoutVars>
          <dgm:bulletEnabled val="1"/>
        </dgm:presLayoutVars>
      </dgm:prSet>
      <dgm:spPr/>
    </dgm:pt>
    <dgm:pt modelId="{9837D7C9-DB16-4AB8-A79D-FE65AE7BFD80}" type="pres">
      <dgm:prSet presAssocID="{34D32412-DC7F-44BE-AB11-7592CDBFE250}" presName="spacer" presStyleCnt="0"/>
      <dgm:spPr/>
    </dgm:pt>
    <dgm:pt modelId="{A5D499EC-E983-44F9-B4F8-3FDBB9576A33}" type="pres">
      <dgm:prSet presAssocID="{CC1BEBC4-204E-4A34-A455-50CF4D270D40}" presName="comp" presStyleCnt="0"/>
      <dgm:spPr/>
    </dgm:pt>
    <dgm:pt modelId="{ACB893E6-CAE9-4717-84E6-02F4213194D0}" type="pres">
      <dgm:prSet presAssocID="{CC1BEBC4-204E-4A34-A455-50CF4D270D40}" presName="box" presStyleLbl="node1" presStyleIdx="1" presStyleCnt="4"/>
      <dgm:spPr/>
    </dgm:pt>
    <dgm:pt modelId="{07A5F62E-4614-49D7-B922-AC3259A460B9}" type="pres">
      <dgm:prSet presAssocID="{CC1BEBC4-204E-4A34-A455-50CF4D270D40}" presName="img" presStyleLbl="fgImgPlace1" presStyleIdx="1" presStyleCnt="4"/>
      <dgm:spPr>
        <a:xfrm>
          <a:off x="65551" y="786615"/>
          <a:ext cx="1144143" cy="524410"/>
        </a:xfrm>
        <a:prstGeom prst="roundRect">
          <a:avLst>
            <a:gd name="adj" fmla="val 10000"/>
          </a:avLst>
        </a:prstGeom>
        <a: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t="-5000" b="-5000"/>
          </a:stretch>
        </a:blipFill>
        <a:ln w="12700">
          <a:solidFill>
            <a:sysClr val="window" lastClr="FFFFFF">
              <a:hueOff val="0"/>
              <a:satOff val="0"/>
              <a:lumOff val="0"/>
              <a:alphaOff val="0"/>
            </a:sysClr>
          </a:solidFill>
          <a:prstDash val="solid"/>
          <a:miter lim="800000"/>
        </a:ln>
        <a:effectLst/>
      </dgm:spPr>
    </dgm:pt>
    <dgm:pt modelId="{843FF8E7-0B82-48CB-A116-9F5D4BCDAD27}" type="pres">
      <dgm:prSet presAssocID="{CC1BEBC4-204E-4A34-A455-50CF4D270D40}" presName="text" presStyleLbl="node1" presStyleIdx="1" presStyleCnt="4">
        <dgm:presLayoutVars>
          <dgm:bulletEnabled val="1"/>
        </dgm:presLayoutVars>
      </dgm:prSet>
      <dgm:spPr/>
    </dgm:pt>
    <dgm:pt modelId="{A56AA60C-3F36-490E-B85A-FB3174ABA7DF}" type="pres">
      <dgm:prSet presAssocID="{052D5612-E29D-48AD-BCE0-DDCA2C6670BF}" presName="spacer" presStyleCnt="0"/>
      <dgm:spPr/>
    </dgm:pt>
    <dgm:pt modelId="{843A84D0-A3BC-42BF-A1CC-8FF700345441}" type="pres">
      <dgm:prSet presAssocID="{D2834E05-B82B-45DF-A0C7-B5387868ADD9}" presName="comp" presStyleCnt="0"/>
      <dgm:spPr/>
    </dgm:pt>
    <dgm:pt modelId="{E09BAD49-DCEE-4B44-81D0-6A6991146977}" type="pres">
      <dgm:prSet presAssocID="{D2834E05-B82B-45DF-A0C7-B5387868ADD9}" presName="box" presStyleLbl="node1" presStyleIdx="2" presStyleCnt="4" custScaleY="115443"/>
      <dgm:spPr/>
    </dgm:pt>
    <dgm:pt modelId="{3E890E64-7D4A-44C4-83FD-C23E9E73C255}" type="pres">
      <dgm:prSet presAssocID="{D2834E05-B82B-45DF-A0C7-B5387868ADD9}" presName="img" presStyleLbl="fgImgPlace1" presStyleIdx="2" presStyleCnt="4"/>
      <dgm:spPr>
        <a:xfrm>
          <a:off x="65551" y="1558296"/>
          <a:ext cx="1144143" cy="524410"/>
        </a:xfrm>
        <a:prstGeom prst="roundRect">
          <a:avLst>
            <a:gd name="adj" fmla="val 10000"/>
          </a:avLst>
        </a:prstGeom>
        <a: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t="-8000" b="-8000"/>
          </a:stretch>
        </a:blipFill>
        <a:ln w="12700">
          <a:solidFill>
            <a:sysClr val="window" lastClr="FFFFFF">
              <a:hueOff val="0"/>
              <a:satOff val="0"/>
              <a:lumOff val="0"/>
              <a:alphaOff val="0"/>
            </a:sysClr>
          </a:solidFill>
          <a:prstDash val="solid"/>
          <a:miter lim="800000"/>
        </a:ln>
        <a:effectLst/>
      </dgm:spPr>
    </dgm:pt>
    <dgm:pt modelId="{A2FC567F-7423-43ED-9AC5-CAA4E33638BD}" type="pres">
      <dgm:prSet presAssocID="{D2834E05-B82B-45DF-A0C7-B5387868ADD9}" presName="text" presStyleLbl="node1" presStyleIdx="2" presStyleCnt="4">
        <dgm:presLayoutVars>
          <dgm:bulletEnabled val="1"/>
        </dgm:presLayoutVars>
      </dgm:prSet>
      <dgm:spPr/>
    </dgm:pt>
    <dgm:pt modelId="{D21655B2-F79F-4C8F-A56F-CB85715B3C1A}" type="pres">
      <dgm:prSet presAssocID="{750214DC-6626-4C14-9711-3CF203BF0EAF}" presName="spacer" presStyleCnt="0"/>
      <dgm:spPr/>
    </dgm:pt>
    <dgm:pt modelId="{47CF9F81-86FB-47A8-BE4D-44A8899AEFD9}" type="pres">
      <dgm:prSet presAssocID="{FFBAA9FB-944A-4299-B912-078854E1938E}" presName="comp" presStyleCnt="0"/>
      <dgm:spPr/>
    </dgm:pt>
    <dgm:pt modelId="{FBACB93D-D3E5-44BE-94C7-B8F610D1533B}" type="pres">
      <dgm:prSet presAssocID="{FFBAA9FB-944A-4299-B912-078854E1938E}" presName="box" presStyleLbl="node1" presStyleIdx="3" presStyleCnt="4"/>
      <dgm:spPr/>
    </dgm:pt>
    <dgm:pt modelId="{F70F3F0F-B085-4C09-82C1-8F08ABEBCEA8}" type="pres">
      <dgm:prSet presAssocID="{FFBAA9FB-944A-4299-B912-078854E1938E}" presName="img" presStyleLbl="fgImgPlace1" presStyleIdx="3" presStyleCnt="4"/>
      <dgm:spPr>
        <a:xfrm>
          <a:off x="65551" y="2329976"/>
          <a:ext cx="1144143" cy="524410"/>
        </a:xfrm>
        <a:prstGeom prst="roundRect">
          <a:avLst>
            <a:gd name="adj" fmla="val 10000"/>
          </a:avLst>
        </a:prstGeom>
        <a: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t="-5000" b="-5000"/>
          </a:stretch>
        </a:blipFill>
        <a:ln w="12700">
          <a:solidFill>
            <a:sysClr val="window" lastClr="FFFFFF">
              <a:hueOff val="0"/>
              <a:satOff val="0"/>
              <a:lumOff val="0"/>
              <a:alphaOff val="0"/>
            </a:sysClr>
          </a:solidFill>
          <a:prstDash val="solid"/>
          <a:miter lim="800000"/>
        </a:ln>
        <a:effectLst/>
      </dgm:spPr>
    </dgm:pt>
    <dgm:pt modelId="{3AB88E5E-39C5-47AD-96A3-04063D122773}" type="pres">
      <dgm:prSet presAssocID="{FFBAA9FB-944A-4299-B912-078854E1938E}" presName="text" presStyleLbl="node1" presStyleIdx="3" presStyleCnt="4">
        <dgm:presLayoutVars>
          <dgm:bulletEnabled val="1"/>
        </dgm:presLayoutVars>
      </dgm:prSet>
      <dgm:spPr/>
    </dgm:pt>
  </dgm:ptLst>
  <dgm:cxnLst>
    <dgm:cxn modelId="{40F31A06-B026-4F85-B907-04D850CA034F}" type="presOf" srcId="{4E1A9EDF-E147-4CF5-BB0D-AF72AF634521}" destId="{8FFA2B87-2A78-4EB7-98E9-1A2241EDA825}" srcOrd="0" destOrd="0" presId="urn:microsoft.com/office/officeart/2005/8/layout/vList4"/>
    <dgm:cxn modelId="{F2B19C1B-5C81-4135-8C1A-7480474B0999}" type="presOf" srcId="{FFBAA9FB-944A-4299-B912-078854E1938E}" destId="{3AB88E5E-39C5-47AD-96A3-04063D122773}" srcOrd="1" destOrd="0" presId="urn:microsoft.com/office/officeart/2005/8/layout/vList4"/>
    <dgm:cxn modelId="{B0589C5F-FAC2-4096-9822-74908DE35837}" type="presOf" srcId="{D2834E05-B82B-45DF-A0C7-B5387868ADD9}" destId="{E09BAD49-DCEE-4B44-81D0-6A6991146977}" srcOrd="0" destOrd="0" presId="urn:microsoft.com/office/officeart/2005/8/layout/vList4"/>
    <dgm:cxn modelId="{6C767461-453E-49D0-B9CE-46DE593A1E87}" srcId="{D954D4A7-A0EE-4372-9251-4FC0E3C36BAC}" destId="{FFBAA9FB-944A-4299-B912-078854E1938E}" srcOrd="3" destOrd="0" parTransId="{37131888-6CAF-4793-A83D-3CC250C11602}" sibTransId="{721A7C24-490F-4C07-9EA6-80BE1D998DD2}"/>
    <dgm:cxn modelId="{5653AA41-05BA-4BAA-BCD5-79E0DBDB55B6}" type="presOf" srcId="{D954D4A7-A0EE-4372-9251-4FC0E3C36BAC}" destId="{09A633C8-544B-4702-8812-22307C6B6B90}" srcOrd="0" destOrd="0" presId="urn:microsoft.com/office/officeart/2005/8/layout/vList4"/>
    <dgm:cxn modelId="{2C37544B-B7A6-48C7-92AB-A2682BAC47A3}" type="presOf" srcId="{4E1A9EDF-E147-4CF5-BB0D-AF72AF634521}" destId="{6CAC999B-7E5C-49D6-9983-B7EE7CBCCA64}" srcOrd="1" destOrd="0" presId="urn:microsoft.com/office/officeart/2005/8/layout/vList4"/>
    <dgm:cxn modelId="{86C50572-30FD-47BB-9AC9-647CF54641BF}" type="presOf" srcId="{CC1BEBC4-204E-4A34-A455-50CF4D270D40}" destId="{ACB893E6-CAE9-4717-84E6-02F4213194D0}" srcOrd="0" destOrd="0" presId="urn:microsoft.com/office/officeart/2005/8/layout/vList4"/>
    <dgm:cxn modelId="{3E596776-E7C5-4519-AFB0-07FFCDA2ADCE}" type="presOf" srcId="{CC1BEBC4-204E-4A34-A455-50CF4D270D40}" destId="{843FF8E7-0B82-48CB-A116-9F5D4BCDAD27}" srcOrd="1" destOrd="0" presId="urn:microsoft.com/office/officeart/2005/8/layout/vList4"/>
    <dgm:cxn modelId="{446CA778-0790-4D5D-9710-C021954448DE}" srcId="{D954D4A7-A0EE-4372-9251-4FC0E3C36BAC}" destId="{CC1BEBC4-204E-4A34-A455-50CF4D270D40}" srcOrd="1" destOrd="0" parTransId="{213522B6-9BAF-477B-A490-03B26DED1304}" sibTransId="{052D5612-E29D-48AD-BCE0-DDCA2C6670BF}"/>
    <dgm:cxn modelId="{4B29698B-B6D1-4B79-8D7C-B5B744B4E241}" type="presOf" srcId="{D2834E05-B82B-45DF-A0C7-B5387868ADD9}" destId="{A2FC567F-7423-43ED-9AC5-CAA4E33638BD}" srcOrd="1" destOrd="0" presId="urn:microsoft.com/office/officeart/2005/8/layout/vList4"/>
    <dgm:cxn modelId="{36DB2AA8-E6C3-4D17-8D64-EA42B66EF02A}" srcId="{D954D4A7-A0EE-4372-9251-4FC0E3C36BAC}" destId="{4E1A9EDF-E147-4CF5-BB0D-AF72AF634521}" srcOrd="0" destOrd="0" parTransId="{E95DE420-AED9-4AD5-A95F-87DFF6F8E35B}" sibTransId="{34D32412-DC7F-44BE-AB11-7592CDBFE250}"/>
    <dgm:cxn modelId="{28C8A1B2-F50C-482B-BCB1-0E9A94ED47FA}" srcId="{D954D4A7-A0EE-4372-9251-4FC0E3C36BAC}" destId="{D2834E05-B82B-45DF-A0C7-B5387868ADD9}" srcOrd="2" destOrd="0" parTransId="{C9907A02-36E7-4686-B736-92FB8F516F0E}" sibTransId="{750214DC-6626-4C14-9711-3CF203BF0EAF}"/>
    <dgm:cxn modelId="{4FE826E2-EEEE-4AD0-9DFA-DE19AF35172C}" type="presOf" srcId="{FFBAA9FB-944A-4299-B912-078854E1938E}" destId="{FBACB93D-D3E5-44BE-94C7-B8F610D1533B}" srcOrd="0" destOrd="0" presId="urn:microsoft.com/office/officeart/2005/8/layout/vList4"/>
    <dgm:cxn modelId="{43270342-E2A8-45AB-B6E4-15918EE93864}" type="presParOf" srcId="{09A633C8-544B-4702-8812-22307C6B6B90}" destId="{A79279F3-0F5D-4B00-ACAA-C8960D473EEB}" srcOrd="0" destOrd="0" presId="urn:microsoft.com/office/officeart/2005/8/layout/vList4"/>
    <dgm:cxn modelId="{60162928-332D-4947-91EF-F4C5519D4EED}" type="presParOf" srcId="{A79279F3-0F5D-4B00-ACAA-C8960D473EEB}" destId="{8FFA2B87-2A78-4EB7-98E9-1A2241EDA825}" srcOrd="0" destOrd="0" presId="urn:microsoft.com/office/officeart/2005/8/layout/vList4"/>
    <dgm:cxn modelId="{FC3922DD-7000-4EAE-8897-B7B437251472}" type="presParOf" srcId="{A79279F3-0F5D-4B00-ACAA-C8960D473EEB}" destId="{450CB8EB-11AF-4C49-9C5A-B8DCFA742A0E}" srcOrd="1" destOrd="0" presId="urn:microsoft.com/office/officeart/2005/8/layout/vList4"/>
    <dgm:cxn modelId="{135176F6-A8EE-40D6-B4E3-38CB4083CDEC}" type="presParOf" srcId="{A79279F3-0F5D-4B00-ACAA-C8960D473EEB}" destId="{6CAC999B-7E5C-49D6-9983-B7EE7CBCCA64}" srcOrd="2" destOrd="0" presId="urn:microsoft.com/office/officeart/2005/8/layout/vList4"/>
    <dgm:cxn modelId="{78F3834E-3C4F-43C0-8ED7-563E61F56C74}" type="presParOf" srcId="{09A633C8-544B-4702-8812-22307C6B6B90}" destId="{9837D7C9-DB16-4AB8-A79D-FE65AE7BFD80}" srcOrd="1" destOrd="0" presId="urn:microsoft.com/office/officeart/2005/8/layout/vList4"/>
    <dgm:cxn modelId="{A3B347BF-EBF0-4A8B-AC03-9D16D2622D4A}" type="presParOf" srcId="{09A633C8-544B-4702-8812-22307C6B6B90}" destId="{A5D499EC-E983-44F9-B4F8-3FDBB9576A33}" srcOrd="2" destOrd="0" presId="urn:microsoft.com/office/officeart/2005/8/layout/vList4"/>
    <dgm:cxn modelId="{B3C24909-AA17-4B1B-B805-BFDB1913A95F}" type="presParOf" srcId="{A5D499EC-E983-44F9-B4F8-3FDBB9576A33}" destId="{ACB893E6-CAE9-4717-84E6-02F4213194D0}" srcOrd="0" destOrd="0" presId="urn:microsoft.com/office/officeart/2005/8/layout/vList4"/>
    <dgm:cxn modelId="{E28B9E2B-8C0B-47BD-9C85-6533B2CC6FCF}" type="presParOf" srcId="{A5D499EC-E983-44F9-B4F8-3FDBB9576A33}" destId="{07A5F62E-4614-49D7-B922-AC3259A460B9}" srcOrd="1" destOrd="0" presId="urn:microsoft.com/office/officeart/2005/8/layout/vList4"/>
    <dgm:cxn modelId="{DD042487-AD1A-4C05-9AFF-237BD2A3D71D}" type="presParOf" srcId="{A5D499EC-E983-44F9-B4F8-3FDBB9576A33}" destId="{843FF8E7-0B82-48CB-A116-9F5D4BCDAD27}" srcOrd="2" destOrd="0" presId="urn:microsoft.com/office/officeart/2005/8/layout/vList4"/>
    <dgm:cxn modelId="{D633BD91-FA6B-4A72-BC71-65A939D53DA5}" type="presParOf" srcId="{09A633C8-544B-4702-8812-22307C6B6B90}" destId="{A56AA60C-3F36-490E-B85A-FB3174ABA7DF}" srcOrd="3" destOrd="0" presId="urn:microsoft.com/office/officeart/2005/8/layout/vList4"/>
    <dgm:cxn modelId="{29578D4E-3892-430B-A586-9BCE431FD5F2}" type="presParOf" srcId="{09A633C8-544B-4702-8812-22307C6B6B90}" destId="{843A84D0-A3BC-42BF-A1CC-8FF700345441}" srcOrd="4" destOrd="0" presId="urn:microsoft.com/office/officeart/2005/8/layout/vList4"/>
    <dgm:cxn modelId="{21F6D668-9C8F-4E9E-9124-AA7AAE057046}" type="presParOf" srcId="{843A84D0-A3BC-42BF-A1CC-8FF700345441}" destId="{E09BAD49-DCEE-4B44-81D0-6A6991146977}" srcOrd="0" destOrd="0" presId="urn:microsoft.com/office/officeart/2005/8/layout/vList4"/>
    <dgm:cxn modelId="{CCABC3EF-F804-46A9-B5D5-84B361734C8B}" type="presParOf" srcId="{843A84D0-A3BC-42BF-A1CC-8FF700345441}" destId="{3E890E64-7D4A-44C4-83FD-C23E9E73C255}" srcOrd="1" destOrd="0" presId="urn:microsoft.com/office/officeart/2005/8/layout/vList4"/>
    <dgm:cxn modelId="{0A9DD4D0-FD28-464D-8C8C-7761CA3F1622}" type="presParOf" srcId="{843A84D0-A3BC-42BF-A1CC-8FF700345441}" destId="{A2FC567F-7423-43ED-9AC5-CAA4E33638BD}" srcOrd="2" destOrd="0" presId="urn:microsoft.com/office/officeart/2005/8/layout/vList4"/>
    <dgm:cxn modelId="{68866D77-78FA-4ACE-A325-8695961FD6AA}" type="presParOf" srcId="{09A633C8-544B-4702-8812-22307C6B6B90}" destId="{D21655B2-F79F-4C8F-A56F-CB85715B3C1A}" srcOrd="5" destOrd="0" presId="urn:microsoft.com/office/officeart/2005/8/layout/vList4"/>
    <dgm:cxn modelId="{ADFC93FF-8CF1-42A6-A628-723F70E053CE}" type="presParOf" srcId="{09A633C8-544B-4702-8812-22307C6B6B90}" destId="{47CF9F81-86FB-47A8-BE4D-44A8899AEFD9}" srcOrd="6" destOrd="0" presId="urn:microsoft.com/office/officeart/2005/8/layout/vList4"/>
    <dgm:cxn modelId="{AAC30BBE-9CFF-49A0-B71E-3888E148A001}" type="presParOf" srcId="{47CF9F81-86FB-47A8-BE4D-44A8899AEFD9}" destId="{FBACB93D-D3E5-44BE-94C7-B8F610D1533B}" srcOrd="0" destOrd="0" presId="urn:microsoft.com/office/officeart/2005/8/layout/vList4"/>
    <dgm:cxn modelId="{9715DC26-78BE-4F41-99C1-5AF5045A8E78}" type="presParOf" srcId="{47CF9F81-86FB-47A8-BE4D-44A8899AEFD9}" destId="{F70F3F0F-B085-4C09-82C1-8F08ABEBCEA8}" srcOrd="1" destOrd="0" presId="urn:microsoft.com/office/officeart/2005/8/layout/vList4"/>
    <dgm:cxn modelId="{52F5F601-8668-46C6-8B7D-36C7ED88367D}" type="presParOf" srcId="{47CF9F81-86FB-47A8-BE4D-44A8899AEFD9}" destId="{3AB88E5E-39C5-47AD-96A3-04063D122773}" srcOrd="2" destOrd="0" presId="urn:microsoft.com/office/officeart/2005/8/layout/vList4"/>
  </dgm:cxnLst>
  <dgm:bg/>
  <dgm:whole/>
  <dgm:extLst>
    <a:ext xmlns:a="http://schemas.openxmlformats.org/drawingml/2006/main" uri="http://schemas.microsoft.com/office/drawing/2008/diagram">
      <dsp:dataModelExt xmlns:dsp="http://schemas.microsoft.com/office/drawing/2008/diagram" minVer="http://schemas.openxmlformats.org/drawingml/2006/diagram" relId="rId19"/>
    </a:ext>
  </dgm:extLst>
</dgm:dataModel>
</file>

<file path=word/diagrams/data3.xml><?xml version="1.0" encoding="utf-8"?>
<dgm:dataModel xmlns:dgm="http://schemas.openxmlformats.org/drawingml/2006/diagram" xmlns:a="http://schemas.openxmlformats.org/drawingml/2006/main">
  <dgm:ptLst>
    <dgm:pt modelId="{6E2BA570-6D6B-4C57-B428-68C647366F71}" type="doc">
      <dgm:prSet loTypeId="urn:microsoft.com/office/officeart/2008/layout/HorizontalMultiLevelHierarchy#1" loCatId="hierarchy" qsTypeId="urn:microsoft.com/office/officeart/2005/8/quickstyle/3d2#1" qsCatId="3D" csTypeId="urn:microsoft.com/office/officeart/2005/8/colors/accent1_2" csCatId="accent1" phldr="1"/>
      <dgm:spPr/>
      <dgm:t>
        <a:bodyPr/>
        <a:lstStyle/>
        <a:p>
          <a:endParaRPr lang="uk-UA"/>
        </a:p>
      </dgm:t>
    </dgm:pt>
    <dgm:pt modelId="{344A8C31-F15A-4C3D-9D49-B9F5454CFA48}">
      <dgm:prSet phldrT="[Текст]" custT="1"/>
      <dgm:spPr>
        <a:xfrm rot="16200000">
          <a:off x="-1136359" y="1361621"/>
          <a:ext cx="2862273" cy="543832"/>
        </a:xfrm>
        <a:prstGeom prst="rect">
          <a:avLst/>
        </a:prstGeom>
        <a:solidFill>
          <a:srgbClr val="0070C0"/>
        </a:solidFill>
        <a:ln>
          <a:noFill/>
        </a:ln>
        <a:effectLst/>
        <a:scene3d>
          <a:camera prst="orthographicFront"/>
          <a:lightRig rig="threePt" dir="t">
            <a:rot lat="0" lon="0" rev="7500000"/>
          </a:lightRig>
        </a:scene3d>
        <a:sp3d prstMaterial="plastic">
          <a:bevelT w="127000" h="25400" prst="relaxedInset"/>
        </a:sp3d>
      </dgm:spPr>
      <dgm:t>
        <a:bodyPr/>
        <a:lstStyle/>
        <a:p>
          <a:pPr>
            <a:buNone/>
          </a:pPr>
          <a:r>
            <a:rPr lang="uk-UA" sz="1400">
              <a:solidFill>
                <a:sysClr val="window" lastClr="FFFFFF"/>
              </a:solidFill>
              <a:latin typeface="Calibri" panose="020F0502020204030204"/>
              <a:ea typeface="+mn-ea"/>
              <a:cs typeface="+mn-cs"/>
            </a:rPr>
            <a:t>У звітному періоді роботодавці громади отримали компенсації: </a:t>
          </a:r>
        </a:p>
      </dgm:t>
    </dgm:pt>
    <dgm:pt modelId="{E1FB6327-CDBC-4F15-A87C-1877CEB9E5B4}" type="parTrans" cxnId="{6431325F-FE04-47A5-9144-BA39449CBD21}">
      <dgm:prSet/>
      <dgm:spPr/>
      <dgm:t>
        <a:bodyPr/>
        <a:lstStyle/>
        <a:p>
          <a:endParaRPr lang="uk-UA"/>
        </a:p>
      </dgm:t>
    </dgm:pt>
    <dgm:pt modelId="{82A05E14-2ED7-4198-A43E-E63339A2E56B}" type="sibTrans" cxnId="{6431325F-FE04-47A5-9144-BA39449CBD21}">
      <dgm:prSet/>
      <dgm:spPr/>
      <dgm:t>
        <a:bodyPr/>
        <a:lstStyle/>
        <a:p>
          <a:endParaRPr lang="uk-UA"/>
        </a:p>
      </dgm:t>
    </dgm:pt>
    <dgm:pt modelId="{998AC945-A458-4382-8E1C-9A79F05015C5}">
      <dgm:prSet phldrT="[Текст]" custT="1"/>
      <dgm:spPr>
        <a:xfrm>
          <a:off x="923447" y="2041"/>
          <a:ext cx="4649839" cy="543832"/>
        </a:xfrm>
        <a:prstGeom prst="rect">
          <a:avLst/>
        </a:prstGeom>
        <a:solidFill>
          <a:srgbClr val="70AD47"/>
        </a:solidFill>
        <a:ln>
          <a:noFill/>
        </a:ln>
        <a:effectLst/>
        <a:scene3d>
          <a:camera prst="orthographicFront"/>
          <a:lightRig rig="threePt" dir="t">
            <a:rot lat="0" lon="0" rev="7500000"/>
          </a:lightRig>
        </a:scene3d>
        <a:sp3d prstMaterial="plastic">
          <a:bevelT w="127000" h="25400" prst="relaxedInset"/>
        </a:sp3d>
      </dgm:spPr>
      <dgm:t>
        <a:bodyPr/>
        <a:lstStyle/>
        <a:p>
          <a:pPr>
            <a:buNone/>
          </a:pPr>
          <a:r>
            <a:rPr lang="ru-RU" sz="1100">
              <a:solidFill>
                <a:sysClr val="window" lastClr="FFFFFF"/>
              </a:solidFill>
              <a:latin typeface="Calibri" panose="020F0502020204030204"/>
              <a:ea typeface="+mn-ea"/>
              <a:cs typeface="+mn-cs"/>
            </a:rPr>
            <a:t>17 роботодавців отримали компенсацію витрат на оплату праці за працевлаштування 23 ВПО внаслідок проведення бойових дій під час воєнного стану в Україні (відповідно до Постанови КМУ від 20.03.2023 №331)</a:t>
          </a:r>
          <a:endParaRPr lang="uk-UA" sz="1100">
            <a:solidFill>
              <a:sysClr val="window" lastClr="FFFFFF"/>
            </a:solidFill>
            <a:latin typeface="Calibri" panose="020F0502020204030204"/>
            <a:ea typeface="+mn-ea"/>
            <a:cs typeface="+mn-cs"/>
          </a:endParaRPr>
        </a:p>
      </dgm:t>
    </dgm:pt>
    <dgm:pt modelId="{89A4980D-7097-4737-8ECE-66056A07D043}" type="parTrans" cxnId="{736DA46C-6F3A-4115-9856-9DFE6B2E7859}">
      <dgm:prSet/>
      <dgm:spPr>
        <a:xfrm>
          <a:off x="566693" y="273957"/>
          <a:ext cx="356753" cy="1359580"/>
        </a:xfrm>
        <a:custGeom>
          <a:avLst/>
          <a:gdLst/>
          <a:rect l="0" t="0" r="0" b="0"/>
          <a:pathLst>
            <a:path fill="norm" stroke="1">
              <a:moveTo>
                <a:pt x="0" y="1437174"/>
              </a:moveTo>
              <a:lnTo>
                <a:pt x="188557" y="1437174"/>
              </a:lnTo>
              <a:lnTo>
                <a:pt x="188557" y="0"/>
              </a:lnTo>
              <a:lnTo>
                <a:pt x="377114" y="0"/>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gm:spPr>
      <dgm:t>
        <a:bodyPr/>
        <a:lstStyle/>
        <a:p>
          <a:pPr>
            <a:buNone/>
          </a:pPr>
          <a:endParaRPr lang="uk-UA">
            <a:solidFill>
              <a:sysClr val="windowText" lastClr="000000">
                <a:hueOff val="0"/>
                <a:satOff val="0"/>
                <a:lumOff val="0"/>
                <a:alphaOff val="0"/>
              </a:sysClr>
            </a:solidFill>
            <a:latin typeface="Calibri" panose="020F0502020204030204"/>
            <a:ea typeface="+mn-ea"/>
            <a:cs typeface="+mn-cs"/>
          </a:endParaRPr>
        </a:p>
      </dgm:t>
    </dgm:pt>
    <dgm:pt modelId="{C44BED18-88BE-4861-AD70-CD019307E3A6}" type="sibTrans" cxnId="{736DA46C-6F3A-4115-9856-9DFE6B2E7859}">
      <dgm:prSet/>
      <dgm:spPr/>
      <dgm:t>
        <a:bodyPr/>
        <a:lstStyle/>
        <a:p>
          <a:endParaRPr lang="uk-UA"/>
        </a:p>
      </dgm:t>
    </dgm:pt>
    <dgm:pt modelId="{50CF06D1-FC8B-4807-B15A-3C93015C109A}">
      <dgm:prSet custT="1"/>
      <dgm:spPr>
        <a:xfrm>
          <a:off x="923447" y="681831"/>
          <a:ext cx="4675936" cy="543832"/>
        </a:xfrm>
        <a:prstGeom prst="rect">
          <a:avLst/>
        </a:prstGeom>
        <a:solidFill>
          <a:srgbClr val="FFC000"/>
        </a:solidFill>
        <a:ln>
          <a:noFill/>
        </a:ln>
        <a:effectLst/>
        <a:scene3d>
          <a:camera prst="orthographicFront"/>
          <a:lightRig rig="threePt" dir="t">
            <a:rot lat="0" lon="0" rev="7500000"/>
          </a:lightRig>
        </a:scene3d>
        <a:sp3d prstMaterial="plastic">
          <a:bevelT w="127000" h="25400" prst="relaxedInset"/>
        </a:sp3d>
      </dgm:spPr>
      <dgm:t>
        <a:bodyPr/>
        <a:lstStyle/>
        <a:p>
          <a:pPr>
            <a:buNone/>
          </a:pPr>
          <a:r>
            <a:rPr lang="uk-UA" sz="1100">
              <a:solidFill>
                <a:sysClr val="window" lastClr="FFFFFF"/>
              </a:solidFill>
              <a:latin typeface="Calibri" panose="020F0502020204030204"/>
              <a:ea typeface="+mn-ea"/>
              <a:cs typeface="+mn-cs"/>
            </a:rPr>
            <a:t>1 роботодавець отримав компенсацію за працевлаштування одного зареєстрованого безробітного</a:t>
          </a:r>
        </a:p>
      </dgm:t>
    </dgm:pt>
    <dgm:pt modelId="{82EC5498-3851-4F0C-8720-DFBDF8B106A2}" type="parTrans" cxnId="{F9251140-0D4A-4BF8-87DE-12FAD769F55A}">
      <dgm:prSet/>
      <dgm:spPr>
        <a:xfrm>
          <a:off x="566693" y="953747"/>
          <a:ext cx="356753" cy="679790"/>
        </a:xfrm>
        <a:custGeom>
          <a:avLst/>
          <a:gdLst/>
          <a:rect l="0" t="0" r="0" b="0"/>
          <a:pathLst>
            <a:path fill="norm" stroke="1">
              <a:moveTo>
                <a:pt x="0" y="718587"/>
              </a:moveTo>
              <a:lnTo>
                <a:pt x="188557" y="718587"/>
              </a:lnTo>
              <a:lnTo>
                <a:pt x="188557" y="0"/>
              </a:lnTo>
              <a:lnTo>
                <a:pt x="377114" y="0"/>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gm:spPr>
      <dgm:t>
        <a:bodyPr/>
        <a:lstStyle/>
        <a:p>
          <a:pPr>
            <a:buNone/>
          </a:pPr>
          <a:endParaRPr lang="uk-UA">
            <a:solidFill>
              <a:sysClr val="windowText" lastClr="000000">
                <a:hueOff val="0"/>
                <a:satOff val="0"/>
                <a:lumOff val="0"/>
                <a:alphaOff val="0"/>
              </a:sysClr>
            </a:solidFill>
            <a:latin typeface="Calibri" panose="020F0502020204030204"/>
            <a:ea typeface="+mn-ea"/>
            <a:cs typeface="+mn-cs"/>
          </a:endParaRPr>
        </a:p>
      </dgm:t>
    </dgm:pt>
    <dgm:pt modelId="{5FC644BB-89C3-4615-82E3-3FBBB49BB0FE}" type="sibTrans" cxnId="{F9251140-0D4A-4BF8-87DE-12FAD769F55A}">
      <dgm:prSet/>
      <dgm:spPr/>
      <dgm:t>
        <a:bodyPr/>
        <a:lstStyle/>
        <a:p>
          <a:endParaRPr lang="uk-UA"/>
        </a:p>
      </dgm:t>
    </dgm:pt>
    <dgm:pt modelId="{7BB2C04F-5DC4-428C-859D-16E4FFAD9AAC}">
      <dgm:prSet custT="1"/>
      <dgm:spPr>
        <a:xfrm>
          <a:off x="923447" y="1361621"/>
          <a:ext cx="4721065" cy="543832"/>
        </a:xfrm>
        <a:prstGeom prst="rect">
          <a:avLst/>
        </a:prstGeom>
        <a:solidFill>
          <a:srgbClr val="00B0F0"/>
        </a:solidFill>
        <a:ln>
          <a:noFill/>
        </a:ln>
        <a:effectLst/>
        <a:scene3d>
          <a:camera prst="orthographicFront"/>
          <a:lightRig rig="threePt" dir="t">
            <a:rot lat="0" lon="0" rev="7500000"/>
          </a:lightRig>
        </a:scene3d>
        <a:sp3d prstMaterial="plastic">
          <a:bevelT w="127000" h="25400" prst="relaxedInset"/>
        </a:sp3d>
      </dgm:spPr>
      <dgm:t>
        <a:bodyPr/>
        <a:lstStyle/>
        <a:p>
          <a:pPr>
            <a:buNone/>
          </a:pPr>
          <a:r>
            <a:rPr lang="uk-UA" sz="1100">
              <a:solidFill>
                <a:sysClr val="window" lastClr="FFFFFF"/>
              </a:solidFill>
              <a:latin typeface="Calibri" panose="020F0502020204030204"/>
              <a:ea typeface="+mn-ea"/>
              <a:cs typeface="+mn-cs"/>
            </a:rPr>
            <a:t>3 роботодавця отримали компенсацію фактичних витрат за облаштування робочих місць працевлаштованих трьох осіб з інвалідністю</a:t>
          </a:r>
        </a:p>
      </dgm:t>
    </dgm:pt>
    <dgm:pt modelId="{1CF4F7A3-9C39-479F-932A-B3E23115CEB6}" type="parTrans" cxnId="{01445559-4AE9-418E-AB3F-A2F24D68D49E}">
      <dgm:prSet/>
      <dgm:spPr>
        <a:xfrm>
          <a:off x="566693" y="1587817"/>
          <a:ext cx="356753" cy="91440"/>
        </a:xfrm>
        <a:custGeom>
          <a:avLst/>
          <a:gdLst/>
          <a:rect l="0" t="0" r="0" b="0"/>
          <a:pathLst>
            <a:path fill="norm" stroke="1">
              <a:moveTo>
                <a:pt x="0" y="45720"/>
              </a:moveTo>
              <a:lnTo>
                <a:pt x="377114" y="45720"/>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gm:spPr>
      <dgm:t>
        <a:bodyPr/>
        <a:lstStyle/>
        <a:p>
          <a:pPr>
            <a:buNone/>
          </a:pPr>
          <a:endParaRPr lang="uk-UA">
            <a:solidFill>
              <a:sysClr val="windowText" lastClr="000000">
                <a:hueOff val="0"/>
                <a:satOff val="0"/>
                <a:lumOff val="0"/>
                <a:alphaOff val="0"/>
              </a:sysClr>
            </a:solidFill>
            <a:latin typeface="Calibri" panose="020F0502020204030204"/>
            <a:ea typeface="+mn-ea"/>
            <a:cs typeface="+mn-cs"/>
          </a:endParaRPr>
        </a:p>
      </dgm:t>
    </dgm:pt>
    <dgm:pt modelId="{9D28D35B-B2A0-450F-947D-E361837C7F36}" type="sibTrans" cxnId="{01445559-4AE9-418E-AB3F-A2F24D68D49E}">
      <dgm:prSet/>
      <dgm:spPr/>
      <dgm:t>
        <a:bodyPr/>
        <a:lstStyle/>
        <a:p>
          <a:endParaRPr lang="uk-UA"/>
        </a:p>
      </dgm:t>
    </dgm:pt>
    <dgm:pt modelId="{24891143-556F-4058-BF1F-2504085431E7}">
      <dgm:prSet phldrT="[Текст]" custT="1"/>
      <dgm:spPr>
        <a:xfrm>
          <a:off x="923447" y="2041411"/>
          <a:ext cx="4710202" cy="543832"/>
        </a:xfrm>
        <a:prstGeom prst="rect">
          <a:avLst/>
        </a:prstGeom>
        <a:solidFill>
          <a:srgbClr val="ED7D31">
            <a:lumMod val="60000"/>
            <a:lumOff val="40000"/>
          </a:srgbClr>
        </a:solidFill>
        <a:ln>
          <a:noFill/>
        </a:ln>
        <a:effectLst/>
        <a:scene3d>
          <a:camera prst="orthographicFront"/>
          <a:lightRig rig="threePt" dir="t">
            <a:rot lat="0" lon="0" rev="7500000"/>
          </a:lightRig>
        </a:scene3d>
        <a:sp3d prstMaterial="plastic">
          <a:bevelT w="127000" h="25400" prst="relaxedInset"/>
        </a:sp3d>
      </dgm:spPr>
      <dgm:t>
        <a:bodyPr/>
        <a:lstStyle/>
        <a:p>
          <a:pPr>
            <a:buNone/>
          </a:pPr>
          <a:r>
            <a:rPr lang="ru-RU" sz="1100">
              <a:solidFill>
                <a:sysClr val="window" lastClr="FFFFFF"/>
              </a:solidFill>
              <a:latin typeface="Calibri" panose="020F0502020204030204"/>
              <a:ea typeface="+mn-ea"/>
              <a:cs typeface="+mn-cs"/>
            </a:rPr>
            <a:t>13 роботодавців отримали компенсацію частини фактичних витрат, пов’язаних із сплатою єдиного внеску на загальнообов’язкове державне соціальне страхування за працевлаштування 18 безробітних на нові робочі місця</a:t>
          </a:r>
          <a:endParaRPr lang="uk-UA" sz="1100">
            <a:solidFill>
              <a:sysClr val="window" lastClr="FFFFFF"/>
            </a:solidFill>
            <a:latin typeface="Calibri" panose="020F0502020204030204"/>
            <a:ea typeface="+mn-ea"/>
            <a:cs typeface="+mn-cs"/>
          </a:endParaRPr>
        </a:p>
      </dgm:t>
    </dgm:pt>
    <dgm:pt modelId="{9383417C-494F-455D-8AF7-2B651D9878E1}" type="sibTrans" cxnId="{3CF20D26-413B-4FAF-BBAC-6B897F9B1E05}">
      <dgm:prSet/>
      <dgm:spPr/>
      <dgm:t>
        <a:bodyPr/>
        <a:lstStyle/>
        <a:p>
          <a:endParaRPr lang="uk-UA"/>
        </a:p>
      </dgm:t>
    </dgm:pt>
    <dgm:pt modelId="{8EEC222A-221A-46FF-9902-70F8F2AC72B2}" type="parTrans" cxnId="{3CF20D26-413B-4FAF-BBAC-6B897F9B1E05}">
      <dgm:prSet/>
      <dgm:spPr>
        <a:xfrm>
          <a:off x="566693" y="1633537"/>
          <a:ext cx="356753" cy="679790"/>
        </a:xfrm>
        <a:custGeom>
          <a:avLst/>
          <a:gdLst/>
          <a:rect l="0" t="0" r="0" b="0"/>
          <a:pathLst>
            <a:path fill="norm" stroke="1">
              <a:moveTo>
                <a:pt x="0" y="0"/>
              </a:moveTo>
              <a:lnTo>
                <a:pt x="188557" y="0"/>
              </a:lnTo>
              <a:lnTo>
                <a:pt x="188557" y="718587"/>
              </a:lnTo>
              <a:lnTo>
                <a:pt x="377114" y="718587"/>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gm:spPr>
      <dgm:t>
        <a:bodyPr/>
        <a:lstStyle/>
        <a:p>
          <a:pPr>
            <a:buNone/>
          </a:pPr>
          <a:endParaRPr lang="uk-UA">
            <a:solidFill>
              <a:sysClr val="windowText" lastClr="000000">
                <a:hueOff val="0"/>
                <a:satOff val="0"/>
                <a:lumOff val="0"/>
                <a:alphaOff val="0"/>
              </a:sysClr>
            </a:solidFill>
            <a:latin typeface="Calibri" panose="020F0502020204030204"/>
            <a:ea typeface="+mn-ea"/>
            <a:cs typeface="+mn-cs"/>
          </a:endParaRPr>
        </a:p>
      </dgm:t>
    </dgm:pt>
    <dgm:pt modelId="{9DA4A4CA-3556-4B93-8507-F6EBEFC62E70}">
      <dgm:prSet custT="1"/>
      <dgm:spPr>
        <a:xfrm>
          <a:off x="923447" y="2721201"/>
          <a:ext cx="4702996" cy="543832"/>
        </a:xfrm>
        <a:prstGeom prst="rect">
          <a:avLst/>
        </a:prstGeom>
        <a:solidFill>
          <a:srgbClr val="70AD47">
            <a:lumMod val="75000"/>
          </a:srgbClr>
        </a:solidFill>
        <a:ln>
          <a:noFill/>
        </a:ln>
        <a:effectLst/>
        <a:scene3d>
          <a:camera prst="orthographicFront"/>
          <a:lightRig rig="threePt" dir="t">
            <a:rot lat="0" lon="0" rev="7500000"/>
          </a:lightRig>
        </a:scene3d>
        <a:sp3d prstMaterial="plastic">
          <a:bevelT w="127000" h="25400" prst="relaxedInset"/>
        </a:sp3d>
      </dgm:spPr>
      <dgm:t>
        <a:bodyPr/>
        <a:lstStyle/>
        <a:p>
          <a:pPr>
            <a:buFont typeface="Times New Roman" panose="02020603050405020304" pitchFamily="18" charset="0"/>
            <a:buNone/>
          </a:pPr>
          <a:r>
            <a:rPr lang="uk-UA" sz="1100">
              <a:solidFill>
                <a:sysClr val="window" lastClr="FFFFFF"/>
              </a:solidFill>
              <a:latin typeface="Calibri" panose="020F0502020204030204"/>
              <a:ea typeface="+mn-ea"/>
              <a:cs typeface="+mn-cs"/>
            </a:rPr>
            <a:t>2 роботодавця отримали компенсацію витрат на оплату праці за працевлаштування на умовах строкового договору зареєстрованого двох безробітних з числа ВПО</a:t>
          </a:r>
          <a:endParaRPr lang="uk-UA" sz="1200">
            <a:solidFill>
              <a:sysClr val="window" lastClr="FFFFFF"/>
            </a:solidFill>
            <a:latin typeface="Calibri" panose="020F0502020204030204"/>
            <a:ea typeface="+mn-ea"/>
            <a:cs typeface="+mn-cs"/>
          </a:endParaRPr>
        </a:p>
      </dgm:t>
    </dgm:pt>
    <dgm:pt modelId="{72A74EA1-B4B2-4B71-88FD-ACF4379CDF00}" type="parTrans" cxnId="{EE97CDEF-81FD-4395-B080-D61EAEB3DD9D}">
      <dgm:prSet/>
      <dgm:spPr>
        <a:xfrm>
          <a:off x="566693" y="1633537"/>
          <a:ext cx="356753" cy="1359580"/>
        </a:xfrm>
        <a:custGeom>
          <a:avLst/>
          <a:gdLst/>
          <a:rect l="0" t="0" r="0" b="0"/>
          <a:pathLst>
            <a:path fill="norm" stroke="1">
              <a:moveTo>
                <a:pt x="0" y="0"/>
              </a:moveTo>
              <a:lnTo>
                <a:pt x="188557" y="0"/>
              </a:lnTo>
              <a:lnTo>
                <a:pt x="188557" y="1437174"/>
              </a:lnTo>
              <a:lnTo>
                <a:pt x="377114" y="1437174"/>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gm:spPr>
      <dgm:t>
        <a:bodyPr/>
        <a:lstStyle/>
        <a:p>
          <a:pPr>
            <a:buNone/>
          </a:pPr>
          <a:endParaRPr lang="uk-UA">
            <a:solidFill>
              <a:sysClr val="windowText" lastClr="000000">
                <a:hueOff val="0"/>
                <a:satOff val="0"/>
                <a:lumOff val="0"/>
                <a:alphaOff val="0"/>
              </a:sysClr>
            </a:solidFill>
            <a:latin typeface="Calibri" panose="020F0502020204030204"/>
            <a:ea typeface="+mn-ea"/>
            <a:cs typeface="+mn-cs"/>
          </a:endParaRPr>
        </a:p>
      </dgm:t>
    </dgm:pt>
    <dgm:pt modelId="{BB5FFEBB-4A06-45C3-8E20-27B3093FCD6B}" type="sibTrans" cxnId="{EE97CDEF-81FD-4395-B080-D61EAEB3DD9D}">
      <dgm:prSet/>
      <dgm:spPr/>
      <dgm:t>
        <a:bodyPr/>
        <a:lstStyle/>
        <a:p>
          <a:endParaRPr lang="uk-UA"/>
        </a:p>
      </dgm:t>
    </dgm:pt>
    <dgm:pt modelId="{9DFF836B-7A9D-463D-AAF0-BFDD378B09A1}" type="pres">
      <dgm:prSet presAssocID="{6E2BA570-6D6B-4C57-B428-68C647366F71}" presName="Name0" presStyleCnt="0">
        <dgm:presLayoutVars>
          <dgm:chPref val="1"/>
          <dgm:dir val="norm"/>
          <dgm:animOne val="branch"/>
          <dgm:animLvl val="lvl"/>
          <dgm:resizeHandles val="exact"/>
        </dgm:presLayoutVars>
      </dgm:prSet>
      <dgm:spPr/>
    </dgm:pt>
    <dgm:pt modelId="{FA979BF6-5C38-4D1A-9F98-D9690D29CADD}" type="pres">
      <dgm:prSet presAssocID="{344A8C31-F15A-4C3D-9D49-B9F5454CFA48}" presName="root1" presStyleCnt="0"/>
      <dgm:spPr/>
    </dgm:pt>
    <dgm:pt modelId="{2CB7DE88-6CCA-4CF6-B2B4-037A1A8C81FF}" type="pres">
      <dgm:prSet presAssocID="{344A8C31-F15A-4C3D-9D49-B9F5454CFA48}" presName="LevelOneTextNode" presStyleLbl="node0" presStyleIdx="0" presStyleCnt="1">
        <dgm:presLayoutVars>
          <dgm:chPref val="3"/>
        </dgm:presLayoutVars>
      </dgm:prSet>
      <dgm:spPr/>
    </dgm:pt>
    <dgm:pt modelId="{3FF60B04-FB05-4E21-B264-3310FF1CA820}" type="pres">
      <dgm:prSet presAssocID="{344A8C31-F15A-4C3D-9D49-B9F5454CFA48}" presName="level2hierChild" presStyleCnt="0"/>
      <dgm:spPr/>
    </dgm:pt>
    <dgm:pt modelId="{5E57A0E2-BFB6-4836-AD24-2F578ABF9A5B}" type="pres">
      <dgm:prSet presAssocID="{89A4980D-7097-4737-8ECE-66056A07D043}" presName="conn2-1" presStyleLbl="parChTrans1D2" presStyleIdx="0" presStyleCnt="5"/>
      <dgm:spPr/>
    </dgm:pt>
    <dgm:pt modelId="{3F9C7875-D1AA-4A98-8428-779CF7E110AC}" type="pres">
      <dgm:prSet presAssocID="{89A4980D-7097-4737-8ECE-66056A07D043}" presName="connTx" presStyleLbl="parChTrans1D2" presStyleIdx="0" presStyleCnt="5"/>
      <dgm:spPr/>
    </dgm:pt>
    <dgm:pt modelId="{BA22950D-D8CA-4D52-B189-9897886EF348}" type="pres">
      <dgm:prSet presAssocID="{998AC945-A458-4382-8E1C-9A79F05015C5}" presName="root2" presStyleCnt="0"/>
      <dgm:spPr/>
    </dgm:pt>
    <dgm:pt modelId="{B7921CE5-6770-4DCC-B74E-2BD50EF24736}" type="pres">
      <dgm:prSet presAssocID="{998AC945-A458-4382-8E1C-9A79F05015C5}" presName="LevelTwoTextNode" presStyleLbl="node2" presStyleIdx="0" presStyleCnt="5" custScaleX="260675">
        <dgm:presLayoutVars>
          <dgm:chPref val="3"/>
        </dgm:presLayoutVars>
      </dgm:prSet>
      <dgm:spPr/>
    </dgm:pt>
    <dgm:pt modelId="{E99BBF12-ECAD-4F7C-95B9-B0ADA8631045}" type="pres">
      <dgm:prSet presAssocID="{998AC945-A458-4382-8E1C-9A79F05015C5}" presName="level3hierChild" presStyleCnt="0"/>
      <dgm:spPr/>
    </dgm:pt>
    <dgm:pt modelId="{B7631637-3C11-4702-9351-A7C3E2501B6A}" type="pres">
      <dgm:prSet presAssocID="{82EC5498-3851-4F0C-8720-DFBDF8B106A2}" presName="conn2-1" presStyleLbl="parChTrans1D2" presStyleIdx="1" presStyleCnt="5"/>
      <dgm:spPr/>
    </dgm:pt>
    <dgm:pt modelId="{A3A370EF-F933-4B43-8CD2-495E6FCCE4D5}" type="pres">
      <dgm:prSet presAssocID="{82EC5498-3851-4F0C-8720-DFBDF8B106A2}" presName="connTx" presStyleLbl="parChTrans1D2" presStyleIdx="1" presStyleCnt="5"/>
      <dgm:spPr/>
    </dgm:pt>
    <dgm:pt modelId="{3B4B37A6-F88F-47B1-B05F-1D023B1AE5F6}" type="pres">
      <dgm:prSet presAssocID="{50CF06D1-FC8B-4807-B15A-3C93015C109A}" presName="root2" presStyleCnt="0"/>
      <dgm:spPr/>
    </dgm:pt>
    <dgm:pt modelId="{B312D989-FB27-4E76-8918-116749630D0E}" type="pres">
      <dgm:prSet presAssocID="{50CF06D1-FC8B-4807-B15A-3C93015C109A}" presName="LevelTwoTextNode" presStyleLbl="node2" presStyleIdx="1" presStyleCnt="5" custScaleX="262138">
        <dgm:presLayoutVars>
          <dgm:chPref val="3"/>
        </dgm:presLayoutVars>
      </dgm:prSet>
      <dgm:spPr/>
    </dgm:pt>
    <dgm:pt modelId="{CAC4BD6C-3983-44BC-876C-2A435C59CA43}" type="pres">
      <dgm:prSet presAssocID="{50CF06D1-FC8B-4807-B15A-3C93015C109A}" presName="level3hierChild" presStyleCnt="0"/>
      <dgm:spPr/>
    </dgm:pt>
    <dgm:pt modelId="{DF093DE0-9148-460A-B9F7-F8F169DECAFE}" type="pres">
      <dgm:prSet presAssocID="{1CF4F7A3-9C39-479F-932A-B3E23115CEB6}" presName="conn2-1" presStyleLbl="parChTrans1D2" presStyleIdx="2" presStyleCnt="5"/>
      <dgm:spPr/>
    </dgm:pt>
    <dgm:pt modelId="{D8AC1870-D2DC-4231-B786-778C8002A834}" type="pres">
      <dgm:prSet presAssocID="{1CF4F7A3-9C39-479F-932A-B3E23115CEB6}" presName="connTx" presStyleLbl="parChTrans1D2" presStyleIdx="2" presStyleCnt="5"/>
      <dgm:spPr/>
    </dgm:pt>
    <dgm:pt modelId="{D688A68A-5EFB-4A2D-AB5A-D8D9B297F028}" type="pres">
      <dgm:prSet presAssocID="{7BB2C04F-5DC4-428C-859D-16E4FFAD9AAC}" presName="root2" presStyleCnt="0"/>
      <dgm:spPr/>
    </dgm:pt>
    <dgm:pt modelId="{49F122FE-7E91-4CB1-9443-7C92850FB249}" type="pres">
      <dgm:prSet presAssocID="{7BB2C04F-5DC4-428C-859D-16E4FFAD9AAC}" presName="LevelTwoTextNode" presStyleLbl="node2" presStyleIdx="2" presStyleCnt="5" custScaleX="264668">
        <dgm:presLayoutVars>
          <dgm:chPref val="3"/>
        </dgm:presLayoutVars>
      </dgm:prSet>
      <dgm:spPr/>
    </dgm:pt>
    <dgm:pt modelId="{B65AE10C-27E8-4C4B-B8DE-84E315B65B58}" type="pres">
      <dgm:prSet presAssocID="{7BB2C04F-5DC4-428C-859D-16E4FFAD9AAC}" presName="level3hierChild" presStyleCnt="0"/>
      <dgm:spPr/>
    </dgm:pt>
    <dgm:pt modelId="{CBA52D8E-194E-45B8-98CF-300D55A054A3}" type="pres">
      <dgm:prSet presAssocID="{8EEC222A-221A-46FF-9902-70F8F2AC72B2}" presName="conn2-1" presStyleLbl="parChTrans1D2" presStyleIdx="3" presStyleCnt="5"/>
      <dgm:spPr/>
    </dgm:pt>
    <dgm:pt modelId="{AA50E3A4-0966-4CFE-ACA2-F4A802CF7E02}" type="pres">
      <dgm:prSet presAssocID="{8EEC222A-221A-46FF-9902-70F8F2AC72B2}" presName="connTx" presStyleLbl="parChTrans1D2" presStyleIdx="3" presStyleCnt="5"/>
      <dgm:spPr/>
    </dgm:pt>
    <dgm:pt modelId="{9AF0CD05-79D6-4500-85D4-1A9DDE4E5083}" type="pres">
      <dgm:prSet presAssocID="{24891143-556F-4058-BF1F-2504085431E7}" presName="root2" presStyleCnt="0"/>
      <dgm:spPr/>
    </dgm:pt>
    <dgm:pt modelId="{CF425BBA-19C2-4AFD-9ED4-C2DDE2DD66C0}" type="pres">
      <dgm:prSet presAssocID="{24891143-556F-4058-BF1F-2504085431E7}" presName="LevelTwoTextNode" presStyleLbl="node2" presStyleIdx="3" presStyleCnt="5" custScaleX="264059">
        <dgm:presLayoutVars>
          <dgm:chPref val="3"/>
        </dgm:presLayoutVars>
      </dgm:prSet>
      <dgm:spPr/>
    </dgm:pt>
    <dgm:pt modelId="{720BC4DD-CFAF-4B65-8D45-CF14B9DF3E89}" type="pres">
      <dgm:prSet presAssocID="{24891143-556F-4058-BF1F-2504085431E7}" presName="level3hierChild" presStyleCnt="0"/>
      <dgm:spPr/>
    </dgm:pt>
    <dgm:pt modelId="{9BC48C0B-BD2B-429D-BA0B-C5AC0CC1D41E}" type="pres">
      <dgm:prSet presAssocID="{72A74EA1-B4B2-4B71-88FD-ACF4379CDF00}" presName="conn2-1" presStyleLbl="parChTrans1D2" presStyleIdx="4" presStyleCnt="5"/>
      <dgm:spPr/>
    </dgm:pt>
    <dgm:pt modelId="{DD73C2B6-F4F9-4DFA-9193-7B7801D568DD}" type="pres">
      <dgm:prSet presAssocID="{72A74EA1-B4B2-4B71-88FD-ACF4379CDF00}" presName="connTx" presStyleLbl="parChTrans1D2" presStyleIdx="4" presStyleCnt="5"/>
      <dgm:spPr/>
    </dgm:pt>
    <dgm:pt modelId="{9D07D694-0743-4419-9906-EE72C373967C}" type="pres">
      <dgm:prSet presAssocID="{9DA4A4CA-3556-4B93-8507-F6EBEFC62E70}" presName="root2" presStyleCnt="0"/>
      <dgm:spPr/>
    </dgm:pt>
    <dgm:pt modelId="{F026E951-9D88-484D-AED7-5A465E41BE65}" type="pres">
      <dgm:prSet presAssocID="{9DA4A4CA-3556-4B93-8507-F6EBEFC62E70}" presName="LevelTwoTextNode" presStyleLbl="node2" presStyleIdx="4" presStyleCnt="5" custScaleX="263655">
        <dgm:presLayoutVars>
          <dgm:chPref val="3"/>
        </dgm:presLayoutVars>
      </dgm:prSet>
      <dgm:spPr/>
    </dgm:pt>
    <dgm:pt modelId="{F99031BB-0BA0-420B-AA69-A1284D0517CF}" type="pres">
      <dgm:prSet presAssocID="{9DA4A4CA-3556-4B93-8507-F6EBEFC62E70}" presName="level3hierChild" presStyleCnt="0"/>
      <dgm:spPr/>
    </dgm:pt>
  </dgm:ptLst>
  <dgm:cxnLst>
    <dgm:cxn modelId="{D8A6280B-DFBA-4780-B3B8-E3EAC9CA2DA9}" type="presOf" srcId="{1CF4F7A3-9C39-479F-932A-B3E23115CEB6}" destId="{DF093DE0-9148-460A-B9F7-F8F169DECAFE}" srcOrd="0" destOrd="0" presId="urn:microsoft.com/office/officeart/2008/layout/HorizontalMultiLevelHierarchy#1"/>
    <dgm:cxn modelId="{95F8ED0E-8BEB-46F3-A74A-82E12F3238D2}" type="presOf" srcId="{8EEC222A-221A-46FF-9902-70F8F2AC72B2}" destId="{AA50E3A4-0966-4CFE-ACA2-F4A802CF7E02}" srcOrd="1" destOrd="0" presId="urn:microsoft.com/office/officeart/2008/layout/HorizontalMultiLevelHierarchy#1"/>
    <dgm:cxn modelId="{70163616-A623-422C-9E59-024C0BDCC0EE}" type="presOf" srcId="{72A74EA1-B4B2-4B71-88FD-ACF4379CDF00}" destId="{9BC48C0B-BD2B-429D-BA0B-C5AC0CC1D41E}" srcOrd="0" destOrd="0" presId="urn:microsoft.com/office/officeart/2008/layout/HorizontalMultiLevelHierarchy#1"/>
    <dgm:cxn modelId="{57996417-D4CE-4C82-A946-6415058377DC}" type="presOf" srcId="{9DA4A4CA-3556-4B93-8507-F6EBEFC62E70}" destId="{F026E951-9D88-484D-AED7-5A465E41BE65}" srcOrd="0" destOrd="0" presId="urn:microsoft.com/office/officeart/2008/layout/HorizontalMultiLevelHierarchy#1"/>
    <dgm:cxn modelId="{F62DD41B-C035-4F7E-B51D-7E03853DA8ED}" type="presOf" srcId="{72A74EA1-B4B2-4B71-88FD-ACF4379CDF00}" destId="{DD73C2B6-F4F9-4DFA-9193-7B7801D568DD}" srcOrd="1" destOrd="0" presId="urn:microsoft.com/office/officeart/2008/layout/HorizontalMultiLevelHierarchy#1"/>
    <dgm:cxn modelId="{91B5BF20-8C4F-4720-8F61-6CDBEB9299E1}" type="presOf" srcId="{8EEC222A-221A-46FF-9902-70F8F2AC72B2}" destId="{CBA52D8E-194E-45B8-98CF-300D55A054A3}" srcOrd="0" destOrd="0" presId="urn:microsoft.com/office/officeart/2008/layout/HorizontalMultiLevelHierarchy#1"/>
    <dgm:cxn modelId="{3CF20D26-413B-4FAF-BBAC-6B897F9B1E05}" srcId="{344A8C31-F15A-4C3D-9D49-B9F5454CFA48}" destId="{24891143-556F-4058-BF1F-2504085431E7}" srcOrd="3" destOrd="0" parTransId="{8EEC222A-221A-46FF-9902-70F8F2AC72B2}" sibTransId="{9383417C-494F-455D-8AF7-2B651D9878E1}"/>
    <dgm:cxn modelId="{91AB132C-36E8-4A35-9E29-EA8318AE7034}" type="presOf" srcId="{344A8C31-F15A-4C3D-9D49-B9F5454CFA48}" destId="{2CB7DE88-6CCA-4CF6-B2B4-037A1A8C81FF}" srcOrd="0" destOrd="0" presId="urn:microsoft.com/office/officeart/2008/layout/HorizontalMultiLevelHierarchy#1"/>
    <dgm:cxn modelId="{F9251140-0D4A-4BF8-87DE-12FAD769F55A}" srcId="{344A8C31-F15A-4C3D-9D49-B9F5454CFA48}" destId="{50CF06D1-FC8B-4807-B15A-3C93015C109A}" srcOrd="1" destOrd="0" parTransId="{82EC5498-3851-4F0C-8720-DFBDF8B106A2}" sibTransId="{5FC644BB-89C3-4615-82E3-3FBBB49BB0FE}"/>
    <dgm:cxn modelId="{7888C65C-D157-4124-A2EF-B33586000DB1}" type="presOf" srcId="{82EC5498-3851-4F0C-8720-DFBDF8B106A2}" destId="{B7631637-3C11-4702-9351-A7C3E2501B6A}" srcOrd="0" destOrd="0" presId="urn:microsoft.com/office/officeart/2008/layout/HorizontalMultiLevelHierarchy#1"/>
    <dgm:cxn modelId="{6431325F-FE04-47A5-9144-BA39449CBD21}" srcId="{6E2BA570-6D6B-4C57-B428-68C647366F71}" destId="{344A8C31-F15A-4C3D-9D49-B9F5454CFA48}" srcOrd="0" destOrd="0" parTransId="{E1FB6327-CDBC-4F15-A87C-1877CEB9E5B4}" sibTransId="{82A05E14-2ED7-4198-A43E-E63339A2E56B}"/>
    <dgm:cxn modelId="{736DA46C-6F3A-4115-9856-9DFE6B2E7859}" srcId="{344A8C31-F15A-4C3D-9D49-B9F5454CFA48}" destId="{998AC945-A458-4382-8E1C-9A79F05015C5}" srcOrd="0" destOrd="0" parTransId="{89A4980D-7097-4737-8ECE-66056A07D043}" sibTransId="{C44BED18-88BE-4861-AD70-CD019307E3A6}"/>
    <dgm:cxn modelId="{1C753A59-405C-4B21-BC0B-A21537A07C61}" type="presOf" srcId="{24891143-556F-4058-BF1F-2504085431E7}" destId="{CF425BBA-19C2-4AFD-9ED4-C2DDE2DD66C0}" srcOrd="0" destOrd="0" presId="urn:microsoft.com/office/officeart/2008/layout/HorizontalMultiLevelHierarchy#1"/>
    <dgm:cxn modelId="{01445559-4AE9-418E-AB3F-A2F24D68D49E}" srcId="{344A8C31-F15A-4C3D-9D49-B9F5454CFA48}" destId="{7BB2C04F-5DC4-428C-859D-16E4FFAD9AAC}" srcOrd="2" destOrd="0" parTransId="{1CF4F7A3-9C39-479F-932A-B3E23115CEB6}" sibTransId="{9D28D35B-B2A0-450F-947D-E361837C7F36}"/>
    <dgm:cxn modelId="{6C29F682-5AE5-4B02-B9A9-351651299BE6}" type="presOf" srcId="{82EC5498-3851-4F0C-8720-DFBDF8B106A2}" destId="{A3A370EF-F933-4B43-8CD2-495E6FCCE4D5}" srcOrd="1" destOrd="0" presId="urn:microsoft.com/office/officeart/2008/layout/HorizontalMultiLevelHierarchy#1"/>
    <dgm:cxn modelId="{4B41798B-2775-48DC-8F7F-9214CA0FCE37}" type="presOf" srcId="{89A4980D-7097-4737-8ECE-66056A07D043}" destId="{3F9C7875-D1AA-4A98-8428-779CF7E110AC}" srcOrd="1" destOrd="0" presId="urn:microsoft.com/office/officeart/2008/layout/HorizontalMultiLevelHierarchy#1"/>
    <dgm:cxn modelId="{B6B44C96-8005-40CE-BC97-FA76862A74A0}" type="presOf" srcId="{1CF4F7A3-9C39-479F-932A-B3E23115CEB6}" destId="{D8AC1870-D2DC-4231-B786-778C8002A834}" srcOrd="1" destOrd="0" presId="urn:microsoft.com/office/officeart/2008/layout/HorizontalMultiLevelHierarchy#1"/>
    <dgm:cxn modelId="{F31F74C6-A18D-4CEA-B7B6-E58B852F0FF5}" type="presOf" srcId="{50CF06D1-FC8B-4807-B15A-3C93015C109A}" destId="{B312D989-FB27-4E76-8918-116749630D0E}" srcOrd="0" destOrd="0" presId="urn:microsoft.com/office/officeart/2008/layout/HorizontalMultiLevelHierarchy#1"/>
    <dgm:cxn modelId="{670982C9-5817-4444-8FB4-DB582281B50A}" type="presOf" srcId="{7BB2C04F-5DC4-428C-859D-16E4FFAD9AAC}" destId="{49F122FE-7E91-4CB1-9443-7C92850FB249}" srcOrd="0" destOrd="0" presId="urn:microsoft.com/office/officeart/2008/layout/HorizontalMultiLevelHierarchy#1"/>
    <dgm:cxn modelId="{B66835E4-DC98-4453-A7C7-66856501E1A2}" type="presOf" srcId="{998AC945-A458-4382-8E1C-9A79F05015C5}" destId="{B7921CE5-6770-4DCC-B74E-2BD50EF24736}" srcOrd="0" destOrd="0" presId="urn:microsoft.com/office/officeart/2008/layout/HorizontalMultiLevelHierarchy#1"/>
    <dgm:cxn modelId="{EE97CDEF-81FD-4395-B080-D61EAEB3DD9D}" srcId="{344A8C31-F15A-4C3D-9D49-B9F5454CFA48}" destId="{9DA4A4CA-3556-4B93-8507-F6EBEFC62E70}" srcOrd="4" destOrd="0" parTransId="{72A74EA1-B4B2-4B71-88FD-ACF4379CDF00}" sibTransId="{BB5FFEBB-4A06-45C3-8E20-27B3093FCD6B}"/>
    <dgm:cxn modelId="{98BC87F5-297C-4EEE-9EF7-02BEDE9E3E4D}" type="presOf" srcId="{89A4980D-7097-4737-8ECE-66056A07D043}" destId="{5E57A0E2-BFB6-4836-AD24-2F578ABF9A5B}" srcOrd="0" destOrd="0" presId="urn:microsoft.com/office/officeart/2008/layout/HorizontalMultiLevelHierarchy#1"/>
    <dgm:cxn modelId="{2D10E7F8-F56A-4CC4-A8A2-D47077C648DB}" type="presOf" srcId="{6E2BA570-6D6B-4C57-B428-68C647366F71}" destId="{9DFF836B-7A9D-463D-AAF0-BFDD378B09A1}" srcOrd="0" destOrd="0" presId="urn:microsoft.com/office/officeart/2008/layout/HorizontalMultiLevelHierarchy#1"/>
    <dgm:cxn modelId="{1BCF1B80-9C51-4349-88AB-6D64D3944733}" type="presParOf" srcId="{9DFF836B-7A9D-463D-AAF0-BFDD378B09A1}" destId="{FA979BF6-5C38-4D1A-9F98-D9690D29CADD}" srcOrd="0" destOrd="0" presId="urn:microsoft.com/office/officeart/2008/layout/HorizontalMultiLevelHierarchy#1"/>
    <dgm:cxn modelId="{BED0F9E2-AFAD-4A9D-B873-D77484451C7A}" type="presParOf" srcId="{FA979BF6-5C38-4D1A-9F98-D9690D29CADD}" destId="{2CB7DE88-6CCA-4CF6-B2B4-037A1A8C81FF}" srcOrd="0" destOrd="0" presId="urn:microsoft.com/office/officeart/2008/layout/HorizontalMultiLevelHierarchy#1"/>
    <dgm:cxn modelId="{C5C12797-59CC-4F58-9131-55ED2FA33E30}" type="presParOf" srcId="{FA979BF6-5C38-4D1A-9F98-D9690D29CADD}" destId="{3FF60B04-FB05-4E21-B264-3310FF1CA820}" srcOrd="1" destOrd="0" presId="urn:microsoft.com/office/officeart/2008/layout/HorizontalMultiLevelHierarchy#1"/>
    <dgm:cxn modelId="{BD364F68-8CD5-43E4-9816-8631A7B5DE29}" type="presParOf" srcId="{3FF60B04-FB05-4E21-B264-3310FF1CA820}" destId="{5E57A0E2-BFB6-4836-AD24-2F578ABF9A5B}" srcOrd="0" destOrd="0" presId="urn:microsoft.com/office/officeart/2008/layout/HorizontalMultiLevelHierarchy#1"/>
    <dgm:cxn modelId="{67E0DFD5-5CEF-42BB-A953-0AD813CF4024}" type="presParOf" srcId="{5E57A0E2-BFB6-4836-AD24-2F578ABF9A5B}" destId="{3F9C7875-D1AA-4A98-8428-779CF7E110AC}" srcOrd="0" destOrd="0" presId="urn:microsoft.com/office/officeart/2008/layout/HorizontalMultiLevelHierarchy#1"/>
    <dgm:cxn modelId="{EF91CE25-E0D8-44C8-AB2A-B92F95A76C85}" type="presParOf" srcId="{3FF60B04-FB05-4E21-B264-3310FF1CA820}" destId="{BA22950D-D8CA-4D52-B189-9897886EF348}" srcOrd="1" destOrd="0" presId="urn:microsoft.com/office/officeart/2008/layout/HorizontalMultiLevelHierarchy#1"/>
    <dgm:cxn modelId="{D28CD0BA-37B8-49F2-B658-CCF3803FC3AE}" type="presParOf" srcId="{BA22950D-D8CA-4D52-B189-9897886EF348}" destId="{B7921CE5-6770-4DCC-B74E-2BD50EF24736}" srcOrd="0" destOrd="0" presId="urn:microsoft.com/office/officeart/2008/layout/HorizontalMultiLevelHierarchy#1"/>
    <dgm:cxn modelId="{AFE51271-17DF-420D-911E-90194F04AFD6}" type="presParOf" srcId="{BA22950D-D8CA-4D52-B189-9897886EF348}" destId="{E99BBF12-ECAD-4F7C-95B9-B0ADA8631045}" srcOrd="1" destOrd="0" presId="urn:microsoft.com/office/officeart/2008/layout/HorizontalMultiLevelHierarchy#1"/>
    <dgm:cxn modelId="{7DE12124-DA35-4174-89CA-29F62A514732}" type="presParOf" srcId="{3FF60B04-FB05-4E21-B264-3310FF1CA820}" destId="{B7631637-3C11-4702-9351-A7C3E2501B6A}" srcOrd="2" destOrd="0" presId="urn:microsoft.com/office/officeart/2008/layout/HorizontalMultiLevelHierarchy#1"/>
    <dgm:cxn modelId="{F9B464AA-A460-4E72-8490-D20463665178}" type="presParOf" srcId="{B7631637-3C11-4702-9351-A7C3E2501B6A}" destId="{A3A370EF-F933-4B43-8CD2-495E6FCCE4D5}" srcOrd="0" destOrd="0" presId="urn:microsoft.com/office/officeart/2008/layout/HorizontalMultiLevelHierarchy#1"/>
    <dgm:cxn modelId="{64C3726E-638F-4F21-9134-59267B6C66AB}" type="presParOf" srcId="{3FF60B04-FB05-4E21-B264-3310FF1CA820}" destId="{3B4B37A6-F88F-47B1-B05F-1D023B1AE5F6}" srcOrd="3" destOrd="0" presId="urn:microsoft.com/office/officeart/2008/layout/HorizontalMultiLevelHierarchy#1"/>
    <dgm:cxn modelId="{DE75DA2D-B444-40D2-82D1-E9CD7C70FE81}" type="presParOf" srcId="{3B4B37A6-F88F-47B1-B05F-1D023B1AE5F6}" destId="{B312D989-FB27-4E76-8918-116749630D0E}" srcOrd="0" destOrd="0" presId="urn:microsoft.com/office/officeart/2008/layout/HorizontalMultiLevelHierarchy#1"/>
    <dgm:cxn modelId="{339EE201-AB70-457B-BA9A-3A5694E16092}" type="presParOf" srcId="{3B4B37A6-F88F-47B1-B05F-1D023B1AE5F6}" destId="{CAC4BD6C-3983-44BC-876C-2A435C59CA43}" srcOrd="1" destOrd="0" presId="urn:microsoft.com/office/officeart/2008/layout/HorizontalMultiLevelHierarchy#1"/>
    <dgm:cxn modelId="{9DCD456B-A51F-432E-80AB-79F2A892577C}" type="presParOf" srcId="{3FF60B04-FB05-4E21-B264-3310FF1CA820}" destId="{DF093DE0-9148-460A-B9F7-F8F169DECAFE}" srcOrd="4" destOrd="0" presId="urn:microsoft.com/office/officeart/2008/layout/HorizontalMultiLevelHierarchy#1"/>
    <dgm:cxn modelId="{B7EC5BC7-509C-47C6-B19C-6CD7CF9D7CFA}" type="presParOf" srcId="{DF093DE0-9148-460A-B9F7-F8F169DECAFE}" destId="{D8AC1870-D2DC-4231-B786-778C8002A834}" srcOrd="0" destOrd="0" presId="urn:microsoft.com/office/officeart/2008/layout/HorizontalMultiLevelHierarchy#1"/>
    <dgm:cxn modelId="{8FE8831F-7778-46DF-88CA-8B8963F47D0C}" type="presParOf" srcId="{3FF60B04-FB05-4E21-B264-3310FF1CA820}" destId="{D688A68A-5EFB-4A2D-AB5A-D8D9B297F028}" srcOrd="5" destOrd="0" presId="urn:microsoft.com/office/officeart/2008/layout/HorizontalMultiLevelHierarchy#1"/>
    <dgm:cxn modelId="{43F1D387-6113-465B-880F-900D4CEF603B}" type="presParOf" srcId="{D688A68A-5EFB-4A2D-AB5A-D8D9B297F028}" destId="{49F122FE-7E91-4CB1-9443-7C92850FB249}" srcOrd="0" destOrd="0" presId="urn:microsoft.com/office/officeart/2008/layout/HorizontalMultiLevelHierarchy#1"/>
    <dgm:cxn modelId="{CEA940B9-6973-417D-B7C6-6E0766F1AACD}" type="presParOf" srcId="{D688A68A-5EFB-4A2D-AB5A-D8D9B297F028}" destId="{B65AE10C-27E8-4C4B-B8DE-84E315B65B58}" srcOrd="1" destOrd="0" presId="urn:microsoft.com/office/officeart/2008/layout/HorizontalMultiLevelHierarchy#1"/>
    <dgm:cxn modelId="{B1139ED1-F252-4EE4-B23B-8AF0CD5506AD}" type="presParOf" srcId="{3FF60B04-FB05-4E21-B264-3310FF1CA820}" destId="{CBA52D8E-194E-45B8-98CF-300D55A054A3}" srcOrd="6" destOrd="0" presId="urn:microsoft.com/office/officeart/2008/layout/HorizontalMultiLevelHierarchy#1"/>
    <dgm:cxn modelId="{D5C72CAB-672A-453C-91BC-D1B8E81957B8}" type="presParOf" srcId="{CBA52D8E-194E-45B8-98CF-300D55A054A3}" destId="{AA50E3A4-0966-4CFE-ACA2-F4A802CF7E02}" srcOrd="0" destOrd="0" presId="urn:microsoft.com/office/officeart/2008/layout/HorizontalMultiLevelHierarchy#1"/>
    <dgm:cxn modelId="{49577362-4417-4478-8A7E-B58BE08E4054}" type="presParOf" srcId="{3FF60B04-FB05-4E21-B264-3310FF1CA820}" destId="{9AF0CD05-79D6-4500-85D4-1A9DDE4E5083}" srcOrd="7" destOrd="0" presId="urn:microsoft.com/office/officeart/2008/layout/HorizontalMultiLevelHierarchy#1"/>
    <dgm:cxn modelId="{978EAE08-C82A-4F84-AED3-4F5CF5C24856}" type="presParOf" srcId="{9AF0CD05-79D6-4500-85D4-1A9DDE4E5083}" destId="{CF425BBA-19C2-4AFD-9ED4-C2DDE2DD66C0}" srcOrd="0" destOrd="0" presId="urn:microsoft.com/office/officeart/2008/layout/HorizontalMultiLevelHierarchy#1"/>
    <dgm:cxn modelId="{0BB91C6A-20F2-40F7-9D38-CAA6A40C83DB}" type="presParOf" srcId="{9AF0CD05-79D6-4500-85D4-1A9DDE4E5083}" destId="{720BC4DD-CFAF-4B65-8D45-CF14B9DF3E89}" srcOrd="1" destOrd="0" presId="urn:microsoft.com/office/officeart/2008/layout/HorizontalMultiLevelHierarchy#1"/>
    <dgm:cxn modelId="{DA350C2D-42B8-4779-A2A5-664265C10DE2}" type="presParOf" srcId="{3FF60B04-FB05-4E21-B264-3310FF1CA820}" destId="{9BC48C0B-BD2B-429D-BA0B-C5AC0CC1D41E}" srcOrd="8" destOrd="0" presId="urn:microsoft.com/office/officeart/2008/layout/HorizontalMultiLevelHierarchy#1"/>
    <dgm:cxn modelId="{69A74192-D365-4CAF-A2CB-9E426C559E9B}" type="presParOf" srcId="{9BC48C0B-BD2B-429D-BA0B-C5AC0CC1D41E}" destId="{DD73C2B6-F4F9-4DFA-9193-7B7801D568DD}" srcOrd="0" destOrd="0" presId="urn:microsoft.com/office/officeart/2008/layout/HorizontalMultiLevelHierarchy#1"/>
    <dgm:cxn modelId="{7DB42A54-5FAE-443F-902E-70B638A5F9D6}" type="presParOf" srcId="{3FF60B04-FB05-4E21-B264-3310FF1CA820}" destId="{9D07D694-0743-4419-9906-EE72C373967C}" srcOrd="9" destOrd="0" presId="urn:microsoft.com/office/officeart/2008/layout/HorizontalMultiLevelHierarchy#1"/>
    <dgm:cxn modelId="{0EB83E04-236B-4738-8950-64AEDE95311E}" type="presParOf" srcId="{9D07D694-0743-4419-9906-EE72C373967C}" destId="{F026E951-9D88-484D-AED7-5A465E41BE65}" srcOrd="0" destOrd="0" presId="urn:microsoft.com/office/officeart/2008/layout/HorizontalMultiLevelHierarchy#1"/>
    <dgm:cxn modelId="{5E41DBB3-37B6-48FC-874C-BC9AC9A0BE0C}" type="presParOf" srcId="{9D07D694-0743-4419-9906-EE72C373967C}" destId="{F99031BB-0BA0-420B-AA69-A1284D0517CF}" srcOrd="1" destOrd="0" presId="urn:microsoft.com/office/officeart/2008/layout/HorizontalMultiLevelHierarchy#1"/>
  </dgm:cxnLst>
  <dgm:bg/>
  <dgm:whole/>
  <dgm:extLst>
    <a:ext xmlns:a="http://schemas.openxmlformats.org/drawingml/2006/main" uri="http://schemas.microsoft.com/office/drawing/2008/diagram">
      <dsp:dataModelExt xmlns:dsp="http://schemas.microsoft.com/office/drawing/2008/diagram" minVer="http://schemas.openxmlformats.org/drawingml/2006/diagram" relId="rId28"/>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C671FD-B868-4561-9DF7-EC7AB33D581B}">
      <dsp:nvSpPr>
        <dsp:cNvPr id="0" name=""/>
        <dsp:cNvSpPr/>
      </dsp:nvSpPr>
      <dsp:spPr>
        <a:xfrm>
          <a:off x="1591818" y="194159"/>
          <a:ext cx="2658314" cy="516117"/>
        </a:xfrm>
        <a:prstGeom prst="roundRect">
          <a:avLst>
            <a:gd name="adj" fmla="val 10000"/>
          </a:avLst>
        </a:prstGeom>
        <a:solidFill>
          <a:srgbClr val="FFC000">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lstStyle/>
        <a:p>
          <a:pPr marL="0" lvl="0" indent="0" algn="ctr" defTabSz="711200">
            <a:lnSpc>
              <a:spcPct val="90000"/>
            </a:lnSpc>
            <a:spcBef>
              <a:spcPct val="0"/>
            </a:spcBef>
            <a:spcAft>
              <a:spcPct val="35000"/>
            </a:spcAft>
            <a:buNone/>
          </a:pPr>
          <a:r>
            <a:rPr lang="uk-UA" sz="1600" b="1" kern="1200">
              <a:solidFill>
                <a:sysClr val="window" lastClr="FFFFFF"/>
              </a:solidFill>
              <a:latin typeface="Calibri" panose="020F0502020204030204"/>
              <a:ea typeface="+mn-ea"/>
              <a:cs typeface="+mn-cs"/>
            </a:rPr>
            <a:t>Заклади освіти</a:t>
          </a:r>
        </a:p>
      </dsp:txBody>
      <dsp:txXfrm>
        <a:off x="1606935" y="209276"/>
        <a:ext cx="2628080" cy="485883"/>
      </dsp:txXfrm>
    </dsp:sp>
    <dsp:sp modelId="{ED9BA23E-8E5B-43FA-913B-AC5AA7AAFD88}">
      <dsp:nvSpPr>
        <dsp:cNvPr id="0" name=""/>
        <dsp:cNvSpPr/>
      </dsp:nvSpPr>
      <dsp:spPr>
        <a:xfrm>
          <a:off x="891007" y="710277"/>
          <a:ext cx="2029968" cy="206446"/>
        </a:xfrm>
        <a:custGeom>
          <a:avLst/>
          <a:gdLst/>
          <a:rect l="0" t="0" r="0" b="0"/>
          <a:pathLst>
            <a:path fill="norm" stroke="1">
              <a:moveTo>
                <a:pt x="2029968" y="0"/>
              </a:moveTo>
              <a:lnTo>
                <a:pt x="2029968" y="103222"/>
              </a:lnTo>
              <a:lnTo>
                <a:pt x="0" y="103222"/>
              </a:lnTo>
              <a:lnTo>
                <a:pt x="0" y="206445"/>
              </a:lnTo>
            </a:path>
          </a:pathLst>
        </a:custGeom>
        <a:noFill/>
        <a:ln w="12700">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205DE16-EDAF-4F06-A20E-9EE4BD9EF102}">
      <dsp:nvSpPr>
        <dsp:cNvPr id="0" name=""/>
        <dsp:cNvSpPr/>
      </dsp:nvSpPr>
      <dsp:spPr>
        <a:xfrm>
          <a:off x="311659" y="916724"/>
          <a:ext cx="1158695" cy="516117"/>
        </a:xfrm>
        <a:prstGeom prst="roundRect">
          <a:avLst>
            <a:gd name="adj" fmla="val 10000"/>
          </a:avLst>
        </a:prstGeom>
        <a:solidFill>
          <a:srgbClr val="70AD47">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lstStyle/>
        <a:p>
          <a:pPr marL="0" lvl="0" indent="0" algn="ctr" defTabSz="622300">
            <a:lnSpc>
              <a:spcPct val="90000"/>
            </a:lnSpc>
            <a:spcBef>
              <a:spcPct val="0"/>
            </a:spcBef>
            <a:spcAft>
              <a:spcPct val="35000"/>
            </a:spcAft>
            <a:buNone/>
          </a:pPr>
          <a:r>
            <a:rPr lang="uk-UA" sz="1400" b="1" kern="1200">
              <a:solidFill>
                <a:sysClr val="window" lastClr="FFFFFF"/>
              </a:solidFill>
              <a:latin typeface="Calibri" panose="020F0502020204030204"/>
              <a:ea typeface="+mn-ea"/>
              <a:cs typeface="+mn-cs"/>
            </a:rPr>
            <a:t>Дошкільна освіта</a:t>
          </a:r>
        </a:p>
      </dsp:txBody>
      <dsp:txXfrm>
        <a:off x="326776" y="931841"/>
        <a:ext cx="1128461" cy="485883"/>
      </dsp:txXfrm>
    </dsp:sp>
    <dsp:sp modelId="{F3EAFFAE-DB68-4AD6-92D7-6DEF46FEAAF3}">
      <dsp:nvSpPr>
        <dsp:cNvPr id="0" name=""/>
        <dsp:cNvSpPr/>
      </dsp:nvSpPr>
      <dsp:spPr>
        <a:xfrm>
          <a:off x="387795" y="1432841"/>
          <a:ext cx="503211" cy="206446"/>
        </a:xfrm>
        <a:custGeom>
          <a:avLst/>
          <a:gdLst/>
          <a:rect l="0" t="0" r="0" b="0"/>
          <a:pathLst>
            <a:path fill="norm" stroke="1">
              <a:moveTo>
                <a:pt x="503211" y="0"/>
              </a:moveTo>
              <a:lnTo>
                <a:pt x="503211" y="103222"/>
              </a:lnTo>
              <a:lnTo>
                <a:pt x="0" y="103222"/>
              </a:lnTo>
              <a:lnTo>
                <a:pt x="0" y="206445"/>
              </a:lnTo>
            </a:path>
          </a:pathLst>
        </a:custGeom>
        <a:noFill/>
        <a:ln w="12700">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9C1231C-DC29-458E-8D53-902B98AE3F04}">
      <dsp:nvSpPr>
        <dsp:cNvPr id="0" name=""/>
        <dsp:cNvSpPr/>
      </dsp:nvSpPr>
      <dsp:spPr>
        <a:xfrm>
          <a:off x="708"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b="1" kern="1200">
              <a:solidFill>
                <a:sysClr val="window" lastClr="FFFFFF"/>
              </a:solidFill>
              <a:latin typeface="Calibri" panose="020F0502020204030204"/>
              <a:ea typeface="+mn-ea"/>
              <a:cs typeface="+mn-cs"/>
            </a:rPr>
            <a:t>23 комунальні заклади</a:t>
          </a:r>
        </a:p>
      </dsp:txBody>
      <dsp:txXfrm>
        <a:off x="15825" y="1654405"/>
        <a:ext cx="743938" cy="485883"/>
      </dsp:txXfrm>
    </dsp:sp>
    <dsp:sp modelId="{27ACFFBC-5BFA-4EB5-884F-69E7EA65B693}">
      <dsp:nvSpPr>
        <dsp:cNvPr id="0" name=""/>
        <dsp:cNvSpPr/>
      </dsp:nvSpPr>
      <dsp:spPr>
        <a:xfrm>
          <a:off x="342075"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A7B5092-F876-4398-A395-81041FF606EA}">
      <dsp:nvSpPr>
        <dsp:cNvPr id="0" name=""/>
        <dsp:cNvSpPr/>
      </dsp:nvSpPr>
      <dsp:spPr>
        <a:xfrm>
          <a:off x="708"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lstStyle/>
        <a:p>
          <a:pPr marL="0" lvl="0" indent="0" algn="ctr" defTabSz="444500">
            <a:lnSpc>
              <a:spcPct val="90000"/>
            </a:lnSpc>
            <a:spcBef>
              <a:spcPct val="0"/>
            </a:spcBef>
            <a:spcAft>
              <a:spcPct val="35000"/>
            </a:spcAft>
            <a:buNone/>
          </a:pPr>
          <a:r>
            <a:rPr lang="uk-UA" sz="1000" b="0" kern="1200">
              <a:solidFill>
                <a:sysClr val="window" lastClr="FFFFFF"/>
              </a:solidFill>
              <a:latin typeface="Calibri" panose="020F0502020204030204"/>
              <a:ea typeface="+mn-ea"/>
              <a:cs typeface="+mn-cs"/>
            </a:rPr>
            <a:t>3993 дитини</a:t>
          </a:r>
        </a:p>
      </dsp:txBody>
      <dsp:txXfrm>
        <a:off x="15825" y="2376969"/>
        <a:ext cx="743938" cy="485883"/>
      </dsp:txXfrm>
    </dsp:sp>
    <dsp:sp modelId="{85470E41-AEAA-428E-9604-5940DDCF868E}">
      <dsp:nvSpPr>
        <dsp:cNvPr id="0" name=""/>
        <dsp:cNvSpPr/>
      </dsp:nvSpPr>
      <dsp:spPr>
        <a:xfrm>
          <a:off x="891007" y="1432841"/>
          <a:ext cx="503211" cy="206446"/>
        </a:xfrm>
        <a:custGeom>
          <a:avLst/>
          <a:gdLst/>
          <a:rect l="0" t="0" r="0" b="0"/>
          <a:pathLst>
            <a:path fill="norm" stroke="1">
              <a:moveTo>
                <a:pt x="0" y="0"/>
              </a:moveTo>
              <a:lnTo>
                <a:pt x="0" y="103222"/>
              </a:lnTo>
              <a:lnTo>
                <a:pt x="503211" y="103222"/>
              </a:lnTo>
              <a:lnTo>
                <a:pt x="503211" y="206445"/>
              </a:lnTo>
            </a:path>
          </a:pathLst>
        </a:custGeom>
        <a:noFill/>
        <a:ln w="12700">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57A2C85-5725-4C77-A68C-BEB11E95B05B}">
      <dsp:nvSpPr>
        <dsp:cNvPr id="0" name=""/>
        <dsp:cNvSpPr/>
      </dsp:nvSpPr>
      <dsp:spPr>
        <a:xfrm>
          <a:off x="1007132"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b="1" kern="1200">
              <a:solidFill>
                <a:sysClr val="window" lastClr="FFFFFF"/>
              </a:solidFill>
              <a:latin typeface="Calibri" panose="020F0502020204030204"/>
              <a:ea typeface="+mn-ea"/>
              <a:cs typeface="+mn-cs"/>
            </a:rPr>
            <a:t>9</a:t>
          </a:r>
        </a:p>
        <a:p>
          <a:pPr marL="0" lvl="0" indent="0" algn="ctr" defTabSz="400050">
            <a:lnSpc>
              <a:spcPct val="90000"/>
            </a:lnSpc>
            <a:spcBef>
              <a:spcPct val="0"/>
            </a:spcBef>
            <a:spcAft>
              <a:spcPct val="35000"/>
            </a:spcAft>
            <a:buNone/>
          </a:pPr>
          <a:r>
            <a:rPr lang="uk-UA" sz="900" b="1" kern="1200">
              <a:solidFill>
                <a:sysClr val="window" lastClr="FFFFFF"/>
              </a:solidFill>
              <a:latin typeface="Calibri" panose="020F0502020204030204"/>
              <a:ea typeface="+mn-ea"/>
              <a:cs typeface="+mn-cs"/>
            </a:rPr>
            <a:t> приватних закладів</a:t>
          </a:r>
        </a:p>
      </dsp:txBody>
      <dsp:txXfrm>
        <a:off x="1022249" y="1654405"/>
        <a:ext cx="743938" cy="485883"/>
      </dsp:txXfrm>
    </dsp:sp>
    <dsp:sp modelId="{5FA43B5F-3FDA-4434-8F0B-5D24C2E5536F}">
      <dsp:nvSpPr>
        <dsp:cNvPr id="0" name=""/>
        <dsp:cNvSpPr/>
      </dsp:nvSpPr>
      <dsp:spPr>
        <a:xfrm>
          <a:off x="1348499"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A892EA7-CF46-452B-A320-158C3D5548B7}">
      <dsp:nvSpPr>
        <dsp:cNvPr id="0" name=""/>
        <dsp:cNvSpPr/>
      </dsp:nvSpPr>
      <dsp:spPr>
        <a:xfrm>
          <a:off x="1007132"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lstStyle/>
        <a:p>
          <a:pPr marL="0" lvl="0" indent="0" algn="ctr" defTabSz="444500">
            <a:lnSpc>
              <a:spcPct val="90000"/>
            </a:lnSpc>
            <a:spcBef>
              <a:spcPct val="0"/>
            </a:spcBef>
            <a:spcAft>
              <a:spcPct val="35000"/>
            </a:spcAft>
            <a:buNone/>
          </a:pPr>
          <a:r>
            <a:rPr lang="uk-UA" sz="1000" b="0" kern="1200">
              <a:solidFill>
                <a:sysClr val="window" lastClr="FFFFFF"/>
              </a:solidFill>
              <a:latin typeface="Calibri" panose="020F0502020204030204"/>
              <a:ea typeface="+mn-ea"/>
              <a:cs typeface="+mn-cs"/>
            </a:rPr>
            <a:t>306 дітей</a:t>
          </a:r>
        </a:p>
      </dsp:txBody>
      <dsp:txXfrm>
        <a:off x="1022249" y="2376969"/>
        <a:ext cx="743938" cy="485883"/>
      </dsp:txXfrm>
    </dsp:sp>
    <dsp:sp modelId="{785F9DA6-6EB8-4D80-9B44-7139DC31AAF6}">
      <dsp:nvSpPr>
        <dsp:cNvPr id="0" name=""/>
        <dsp:cNvSpPr/>
      </dsp:nvSpPr>
      <dsp:spPr>
        <a:xfrm>
          <a:off x="2858134" y="710277"/>
          <a:ext cx="91440" cy="206446"/>
        </a:xfrm>
        <a:custGeom>
          <a:avLst/>
          <a:gdLst/>
          <a:rect l="0" t="0" r="0" b="0"/>
          <a:pathLst>
            <a:path fill="norm" stroke="1">
              <a:moveTo>
                <a:pt x="62840" y="0"/>
              </a:moveTo>
              <a:lnTo>
                <a:pt x="62840" y="103222"/>
              </a:lnTo>
              <a:lnTo>
                <a:pt x="45720" y="103222"/>
              </a:lnTo>
              <a:lnTo>
                <a:pt x="45720" y="206445"/>
              </a:lnTo>
            </a:path>
          </a:pathLst>
        </a:custGeom>
        <a:noFill/>
        <a:ln w="12700">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CC567F-E25F-4AC8-9BE7-77C45149F862}">
      <dsp:nvSpPr>
        <dsp:cNvPr id="0" name=""/>
        <dsp:cNvSpPr/>
      </dsp:nvSpPr>
      <dsp:spPr>
        <a:xfrm>
          <a:off x="2135477" y="916724"/>
          <a:ext cx="1536755" cy="516117"/>
        </a:xfrm>
        <a:prstGeom prst="roundRect">
          <a:avLst>
            <a:gd name="adj" fmla="val 10000"/>
          </a:avLst>
        </a:prstGeom>
        <a:solidFill>
          <a:srgbClr val="70AD47">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lstStyle/>
        <a:p>
          <a:pPr marL="0" lvl="0" indent="0" algn="ctr" defTabSz="622300">
            <a:lnSpc>
              <a:spcPct val="90000"/>
            </a:lnSpc>
            <a:spcBef>
              <a:spcPct val="0"/>
            </a:spcBef>
            <a:spcAft>
              <a:spcPct val="35000"/>
            </a:spcAft>
            <a:buNone/>
          </a:pPr>
          <a:r>
            <a:rPr lang="uk-UA" sz="1400" b="1" kern="1200">
              <a:solidFill>
                <a:sysClr val="window" lastClr="FFFFFF"/>
              </a:solidFill>
              <a:latin typeface="Calibri" panose="020F0502020204030204"/>
              <a:ea typeface="+mn-ea"/>
              <a:cs typeface="+mn-cs"/>
            </a:rPr>
            <a:t>Загальна середня освіта</a:t>
          </a:r>
        </a:p>
      </dsp:txBody>
      <dsp:txXfrm>
        <a:off x="2150594" y="931841"/>
        <a:ext cx="1506521" cy="485883"/>
      </dsp:txXfrm>
    </dsp:sp>
    <dsp:sp modelId="{FED3CD77-77CA-4219-AFDE-DD0BB33D4E23}">
      <dsp:nvSpPr>
        <dsp:cNvPr id="0" name=""/>
        <dsp:cNvSpPr/>
      </dsp:nvSpPr>
      <dsp:spPr>
        <a:xfrm>
          <a:off x="2400643" y="1432841"/>
          <a:ext cx="503211" cy="206446"/>
        </a:xfrm>
        <a:custGeom>
          <a:avLst/>
          <a:gdLst/>
          <a:rect l="0" t="0" r="0" b="0"/>
          <a:pathLst>
            <a:path fill="norm" stroke="1">
              <a:moveTo>
                <a:pt x="503211" y="0"/>
              </a:moveTo>
              <a:lnTo>
                <a:pt x="503211" y="103222"/>
              </a:lnTo>
              <a:lnTo>
                <a:pt x="0" y="103222"/>
              </a:lnTo>
              <a:lnTo>
                <a:pt x="0" y="206445"/>
              </a:lnTo>
            </a:path>
          </a:pathLst>
        </a:custGeom>
        <a:noFill/>
        <a:ln w="12700">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29DD61-7D62-441A-9315-84198263B85A}">
      <dsp:nvSpPr>
        <dsp:cNvPr id="0" name=""/>
        <dsp:cNvSpPr/>
      </dsp:nvSpPr>
      <dsp:spPr>
        <a:xfrm>
          <a:off x="2013556"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b="1" kern="1200">
              <a:solidFill>
                <a:sysClr val="window" lastClr="FFFFFF"/>
              </a:solidFill>
              <a:latin typeface="Calibri" panose="020F0502020204030204"/>
              <a:ea typeface="+mn-ea"/>
              <a:cs typeface="+mn-cs"/>
            </a:rPr>
            <a:t>14 комунальних закладів</a:t>
          </a:r>
        </a:p>
      </dsp:txBody>
      <dsp:txXfrm>
        <a:off x="2028673" y="1654405"/>
        <a:ext cx="743938" cy="485883"/>
      </dsp:txXfrm>
    </dsp:sp>
    <dsp:sp modelId="{A0A1B328-AC6B-43B7-8639-99413461C417}">
      <dsp:nvSpPr>
        <dsp:cNvPr id="0" name=""/>
        <dsp:cNvSpPr/>
      </dsp:nvSpPr>
      <dsp:spPr>
        <a:xfrm>
          <a:off x="2354923"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50C0AA-7C46-432C-823C-AC2E549360A5}">
      <dsp:nvSpPr>
        <dsp:cNvPr id="0" name=""/>
        <dsp:cNvSpPr/>
      </dsp:nvSpPr>
      <dsp:spPr>
        <a:xfrm>
          <a:off x="2013556"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kern="1200">
              <a:solidFill>
                <a:sysClr val="window" lastClr="FFFFFF"/>
              </a:solidFill>
              <a:latin typeface="Calibri" panose="020F0502020204030204"/>
              <a:ea typeface="+mn-ea"/>
              <a:cs typeface="+mn-cs"/>
            </a:rPr>
            <a:t>16588 дітей</a:t>
          </a:r>
        </a:p>
      </dsp:txBody>
      <dsp:txXfrm>
        <a:off x="2028673" y="2376969"/>
        <a:ext cx="743938" cy="485883"/>
      </dsp:txXfrm>
    </dsp:sp>
    <dsp:sp modelId="{8DDA0F31-B80A-4205-B7F1-ACAE81B48623}">
      <dsp:nvSpPr>
        <dsp:cNvPr id="0" name=""/>
        <dsp:cNvSpPr/>
      </dsp:nvSpPr>
      <dsp:spPr>
        <a:xfrm>
          <a:off x="2903854" y="1432841"/>
          <a:ext cx="503211" cy="206446"/>
        </a:xfrm>
        <a:custGeom>
          <a:avLst/>
          <a:gdLst/>
          <a:rect l="0" t="0" r="0" b="0"/>
          <a:pathLst>
            <a:path fill="norm" stroke="1">
              <a:moveTo>
                <a:pt x="0" y="0"/>
              </a:moveTo>
              <a:lnTo>
                <a:pt x="0" y="103222"/>
              </a:lnTo>
              <a:lnTo>
                <a:pt x="503211" y="103222"/>
              </a:lnTo>
              <a:lnTo>
                <a:pt x="503211" y="206445"/>
              </a:lnTo>
            </a:path>
          </a:pathLst>
        </a:custGeom>
        <a:noFill/>
        <a:ln w="12700">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09A5B5D-47D8-41D1-A743-83EDA8A14931}">
      <dsp:nvSpPr>
        <dsp:cNvPr id="0" name=""/>
        <dsp:cNvSpPr/>
      </dsp:nvSpPr>
      <dsp:spPr>
        <a:xfrm>
          <a:off x="3019980"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b="1" kern="1200">
              <a:solidFill>
                <a:sysClr val="window" lastClr="FFFFFF"/>
              </a:solidFill>
              <a:latin typeface="Calibri" panose="020F0502020204030204"/>
              <a:ea typeface="+mn-ea"/>
              <a:cs typeface="+mn-cs"/>
            </a:rPr>
            <a:t>7 приватних закладів</a:t>
          </a:r>
        </a:p>
      </dsp:txBody>
      <dsp:txXfrm>
        <a:off x="3035097" y="1654405"/>
        <a:ext cx="743938" cy="485883"/>
      </dsp:txXfrm>
    </dsp:sp>
    <dsp:sp modelId="{BF9413D6-D247-4406-BD5A-2C545BDCC8CE}">
      <dsp:nvSpPr>
        <dsp:cNvPr id="0" name=""/>
        <dsp:cNvSpPr/>
      </dsp:nvSpPr>
      <dsp:spPr>
        <a:xfrm>
          <a:off x="3361346"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5E3F19-460C-4E53-80CD-CAD5CE5AF8DA}">
      <dsp:nvSpPr>
        <dsp:cNvPr id="0" name=""/>
        <dsp:cNvSpPr/>
      </dsp:nvSpPr>
      <dsp:spPr>
        <a:xfrm>
          <a:off x="3019980"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kern="1200">
              <a:solidFill>
                <a:sysClr val="window" lastClr="FFFFFF"/>
              </a:solidFill>
              <a:latin typeface="Calibri" panose="020F0502020204030204"/>
              <a:ea typeface="+mn-ea"/>
              <a:cs typeface="+mn-cs"/>
            </a:rPr>
            <a:t>1086 дітей</a:t>
          </a:r>
        </a:p>
      </dsp:txBody>
      <dsp:txXfrm>
        <a:off x="3035097" y="2376969"/>
        <a:ext cx="743938" cy="485883"/>
      </dsp:txXfrm>
    </dsp:sp>
    <dsp:sp modelId="{7F2D98B9-E1DF-4C0B-B7E1-20F0CEEE1CB0}">
      <dsp:nvSpPr>
        <dsp:cNvPr id="0" name=""/>
        <dsp:cNvSpPr/>
      </dsp:nvSpPr>
      <dsp:spPr>
        <a:xfrm>
          <a:off x="2920975" y="710277"/>
          <a:ext cx="1995727" cy="206446"/>
        </a:xfrm>
        <a:custGeom>
          <a:avLst/>
          <a:gdLst/>
          <a:rect l="0" t="0" r="0" b="0"/>
          <a:pathLst>
            <a:path fill="norm" stroke="1">
              <a:moveTo>
                <a:pt x="0" y="0"/>
              </a:moveTo>
              <a:lnTo>
                <a:pt x="0" y="103222"/>
              </a:lnTo>
              <a:lnTo>
                <a:pt x="1995727" y="103222"/>
              </a:lnTo>
              <a:lnTo>
                <a:pt x="1995727" y="206445"/>
              </a:lnTo>
            </a:path>
          </a:pathLst>
        </a:custGeom>
        <a:noFill/>
        <a:ln w="12700">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93810B6-80F5-45EE-AD03-8F31FEB755F3}">
      <dsp:nvSpPr>
        <dsp:cNvPr id="0" name=""/>
        <dsp:cNvSpPr/>
      </dsp:nvSpPr>
      <dsp:spPr>
        <a:xfrm>
          <a:off x="4303113" y="916724"/>
          <a:ext cx="1227179" cy="516117"/>
        </a:xfrm>
        <a:prstGeom prst="roundRect">
          <a:avLst>
            <a:gd name="adj" fmla="val 10000"/>
          </a:avLst>
        </a:prstGeom>
        <a:solidFill>
          <a:srgbClr val="70AD47">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lstStyle/>
        <a:p>
          <a:pPr marL="0" lvl="0" indent="0" algn="ctr" defTabSz="622300">
            <a:lnSpc>
              <a:spcPct val="90000"/>
            </a:lnSpc>
            <a:spcBef>
              <a:spcPct val="0"/>
            </a:spcBef>
            <a:spcAft>
              <a:spcPct val="35000"/>
            </a:spcAft>
            <a:buNone/>
          </a:pPr>
          <a:r>
            <a:rPr lang="uk-UA" sz="1400" b="1" kern="1200">
              <a:solidFill>
                <a:sysClr val="window" lastClr="FFFFFF"/>
              </a:solidFill>
              <a:latin typeface="Calibri" panose="020F0502020204030204"/>
              <a:ea typeface="+mn-ea"/>
              <a:cs typeface="+mn-cs"/>
            </a:rPr>
            <a:t>Позашкільна освіта</a:t>
          </a:r>
        </a:p>
      </dsp:txBody>
      <dsp:txXfrm>
        <a:off x="4318230" y="931841"/>
        <a:ext cx="1196945" cy="485883"/>
      </dsp:txXfrm>
    </dsp:sp>
    <dsp:sp modelId="{BE3C9094-2107-485A-B2BD-3095643D1574}">
      <dsp:nvSpPr>
        <dsp:cNvPr id="0" name=""/>
        <dsp:cNvSpPr/>
      </dsp:nvSpPr>
      <dsp:spPr>
        <a:xfrm>
          <a:off x="4413490" y="1432841"/>
          <a:ext cx="503211" cy="206446"/>
        </a:xfrm>
        <a:custGeom>
          <a:avLst/>
          <a:gdLst/>
          <a:rect l="0" t="0" r="0" b="0"/>
          <a:pathLst>
            <a:path fill="norm" stroke="1">
              <a:moveTo>
                <a:pt x="503211" y="0"/>
              </a:moveTo>
              <a:lnTo>
                <a:pt x="503211" y="103222"/>
              </a:lnTo>
              <a:lnTo>
                <a:pt x="0" y="103222"/>
              </a:lnTo>
              <a:lnTo>
                <a:pt x="0" y="206445"/>
              </a:lnTo>
            </a:path>
          </a:pathLst>
        </a:custGeom>
        <a:noFill/>
        <a:ln w="12700">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593B937-6F60-49AF-B018-8FDEF75233A6}">
      <dsp:nvSpPr>
        <dsp:cNvPr id="0" name=""/>
        <dsp:cNvSpPr/>
      </dsp:nvSpPr>
      <dsp:spPr>
        <a:xfrm>
          <a:off x="4026404"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b="1" kern="1200">
              <a:solidFill>
                <a:sysClr val="window" lastClr="FFFFFF"/>
              </a:solidFill>
              <a:latin typeface="Calibri" panose="020F0502020204030204"/>
              <a:ea typeface="+mn-ea"/>
              <a:cs typeface="+mn-cs"/>
            </a:rPr>
            <a:t>5 комунальних закладів</a:t>
          </a:r>
        </a:p>
      </dsp:txBody>
      <dsp:txXfrm>
        <a:off x="4041521" y="1654405"/>
        <a:ext cx="743938" cy="485883"/>
      </dsp:txXfrm>
    </dsp:sp>
    <dsp:sp modelId="{0264E670-66E2-4F83-AA18-D747D50FE8CF}">
      <dsp:nvSpPr>
        <dsp:cNvPr id="0" name=""/>
        <dsp:cNvSpPr/>
      </dsp:nvSpPr>
      <dsp:spPr>
        <a:xfrm>
          <a:off x="4367770"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F4F8987-6C36-4A59-A236-7BB070C38839}">
      <dsp:nvSpPr>
        <dsp:cNvPr id="0" name=""/>
        <dsp:cNvSpPr/>
      </dsp:nvSpPr>
      <dsp:spPr>
        <a:xfrm>
          <a:off x="4026404"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kern="1200">
              <a:solidFill>
                <a:sysClr val="window" lastClr="FFFFFF"/>
              </a:solidFill>
              <a:latin typeface="Calibri" panose="020F0502020204030204"/>
              <a:ea typeface="+mn-ea"/>
              <a:cs typeface="+mn-cs"/>
            </a:rPr>
            <a:t>5382  дитини</a:t>
          </a:r>
        </a:p>
      </dsp:txBody>
      <dsp:txXfrm>
        <a:off x="4041521" y="2376969"/>
        <a:ext cx="743938" cy="485883"/>
      </dsp:txXfrm>
    </dsp:sp>
    <dsp:sp modelId="{00357220-6BFF-4F4C-956B-6C6F0FBC0D0F}">
      <dsp:nvSpPr>
        <dsp:cNvPr id="0" name=""/>
        <dsp:cNvSpPr/>
      </dsp:nvSpPr>
      <dsp:spPr>
        <a:xfrm>
          <a:off x="4916702" y="1432841"/>
          <a:ext cx="503211" cy="206446"/>
        </a:xfrm>
        <a:custGeom>
          <a:avLst/>
          <a:gdLst/>
          <a:rect l="0" t="0" r="0" b="0"/>
          <a:pathLst>
            <a:path fill="norm" stroke="1">
              <a:moveTo>
                <a:pt x="0" y="0"/>
              </a:moveTo>
              <a:lnTo>
                <a:pt x="0" y="103222"/>
              </a:lnTo>
              <a:lnTo>
                <a:pt x="503211" y="103222"/>
              </a:lnTo>
              <a:lnTo>
                <a:pt x="503211" y="206445"/>
              </a:lnTo>
            </a:path>
          </a:pathLst>
        </a:custGeom>
        <a:noFill/>
        <a:ln w="12700">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D98345-5679-478B-BE76-18534B031B51}">
      <dsp:nvSpPr>
        <dsp:cNvPr id="0" name=""/>
        <dsp:cNvSpPr/>
      </dsp:nvSpPr>
      <dsp:spPr>
        <a:xfrm>
          <a:off x="5032828" y="1639288"/>
          <a:ext cx="774172" cy="516117"/>
        </a:xfrm>
        <a:prstGeom prst="roundRect">
          <a:avLst>
            <a:gd name="adj" fmla="val 10000"/>
          </a:avLst>
        </a:prstGeom>
        <a:solidFill>
          <a:srgbClr val="4472C4">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b="1" kern="1200">
              <a:solidFill>
                <a:sysClr val="window" lastClr="FFFFFF"/>
              </a:solidFill>
              <a:latin typeface="Calibri" panose="020F0502020204030204"/>
              <a:ea typeface="+mn-ea"/>
              <a:cs typeface="+mn-cs"/>
            </a:rPr>
            <a:t>1 приватний заклад</a:t>
          </a:r>
        </a:p>
      </dsp:txBody>
      <dsp:txXfrm>
        <a:off x="5047945" y="1654405"/>
        <a:ext cx="743938" cy="485883"/>
      </dsp:txXfrm>
    </dsp:sp>
    <dsp:sp modelId="{0118DE06-9D25-49B0-A161-0FDF0EDE61E1}">
      <dsp:nvSpPr>
        <dsp:cNvPr id="0" name=""/>
        <dsp:cNvSpPr/>
      </dsp:nvSpPr>
      <dsp:spPr>
        <a:xfrm>
          <a:off x="5374194" y="2155405"/>
          <a:ext cx="91440" cy="206446"/>
        </a:xfrm>
        <a:custGeom>
          <a:avLst/>
          <a:gdLst/>
          <a:rect l="0" t="0" r="0" b="0"/>
          <a:pathLst>
            <a:path fill="norm" stroke="1">
              <a:moveTo>
                <a:pt x="45720" y="0"/>
              </a:moveTo>
              <a:lnTo>
                <a:pt x="45720" y="206445"/>
              </a:lnTo>
            </a:path>
          </a:pathLst>
        </a:custGeom>
        <a:noFill/>
        <a:ln w="12700">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EE40382-0F86-473D-9A68-865FC95A183F}">
      <dsp:nvSpPr>
        <dsp:cNvPr id="0" name=""/>
        <dsp:cNvSpPr/>
      </dsp:nvSpPr>
      <dsp:spPr>
        <a:xfrm>
          <a:off x="5032828" y="2361852"/>
          <a:ext cx="774172" cy="516117"/>
        </a:xfrm>
        <a:prstGeom prst="roundRect">
          <a:avLst>
            <a:gd name="adj" fmla="val 10000"/>
          </a:avLst>
        </a:prstGeom>
        <a:solidFill>
          <a:srgbClr val="ED7D31">
            <a:hueOff val="0"/>
            <a:satOff val="0"/>
            <a:lumOff val="0"/>
            <a:alphaOff val="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ctr" defTabSz="400050">
            <a:lnSpc>
              <a:spcPct val="90000"/>
            </a:lnSpc>
            <a:spcBef>
              <a:spcPct val="0"/>
            </a:spcBef>
            <a:spcAft>
              <a:spcPct val="35000"/>
            </a:spcAft>
            <a:buNone/>
          </a:pPr>
          <a:r>
            <a:rPr lang="uk-UA" sz="900" kern="1200">
              <a:solidFill>
                <a:sysClr val="window" lastClr="FFFFFF"/>
              </a:solidFill>
              <a:latin typeface="Calibri" panose="020F0502020204030204"/>
              <a:ea typeface="+mn-ea"/>
              <a:cs typeface="+mn-cs"/>
            </a:rPr>
            <a:t>150 дітей</a:t>
          </a:r>
        </a:p>
      </dsp:txBody>
      <dsp:txXfrm>
        <a:off x="5047945" y="2376969"/>
        <a:ext cx="743938" cy="4858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FA2B87-2A78-4EB7-98E9-1A2241EDA825}">
      <dsp:nvSpPr>
        <dsp:cNvPr id="0" name=""/>
        <dsp:cNvSpPr/>
      </dsp:nvSpPr>
      <dsp:spPr>
        <a:xfrm>
          <a:off x="0" y="0"/>
          <a:ext cx="5720715" cy="655513"/>
        </a:xfrm>
        <a:prstGeom prst="roundRect">
          <a:avLst>
            <a:gd name="adj" fmla="val 10000"/>
          </a:avLst>
        </a:prstGeom>
        <a:solidFill>
          <a:srgbClr val="FFC000"/>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l" defTabSz="400050">
            <a:lnSpc>
              <a:spcPct val="90000"/>
            </a:lnSpc>
            <a:spcBef>
              <a:spcPct val="0"/>
            </a:spcBef>
            <a:spcAft>
              <a:spcPct val="35000"/>
            </a:spcAft>
            <a:buNone/>
          </a:pPr>
          <a:r>
            <a:rPr lang="uk-UA" sz="900" kern="1200">
              <a:solidFill>
                <a:sysClr val="windowText" lastClr="000000"/>
              </a:solidFill>
              <a:latin typeface="Calibri" panose="020F0502020204030204"/>
              <a:ea typeface="+mn-ea"/>
              <a:cs typeface="+mn-cs"/>
            </a:rPr>
            <a:t>Броварська міська дитяча музична школа</a:t>
          </a:r>
        </a:p>
        <a:p>
          <a:pPr marL="0" lvl="0" indent="0" algn="l" defTabSz="400050">
            <a:lnSpc>
              <a:spcPct val="90000"/>
            </a:lnSpc>
            <a:spcBef>
              <a:spcPct val="0"/>
            </a:spcBef>
            <a:spcAft>
              <a:spcPct val="35000"/>
            </a:spcAft>
            <a:buNone/>
          </a:pPr>
          <a:r>
            <a:rPr lang="uk-UA" sz="900" kern="1200">
              <a:solidFill>
                <a:sysClr val="windowText" lastClr="000000"/>
              </a:solidFill>
              <a:latin typeface="Calibri" panose="020F0502020204030204"/>
              <a:ea typeface="+mn-ea"/>
              <a:cs typeface="+mn-cs"/>
            </a:rPr>
            <a:t>Броварська міська дитяча школа мистецтв</a:t>
          </a:r>
        </a:p>
        <a:p>
          <a:pPr marL="0" lvl="0" indent="0" algn="l" defTabSz="400050">
            <a:lnSpc>
              <a:spcPct val="90000"/>
            </a:lnSpc>
            <a:spcBef>
              <a:spcPct val="0"/>
            </a:spcBef>
            <a:spcAft>
              <a:spcPct val="35000"/>
            </a:spcAft>
            <a:buNone/>
          </a:pPr>
          <a:r>
            <a:rPr lang="uk-UA" sz="900" kern="1200">
              <a:solidFill>
                <a:sysClr val="windowText" lastClr="000000"/>
              </a:solidFill>
              <a:latin typeface="Calibri" panose="020F0502020204030204"/>
              <a:ea typeface="+mn-ea"/>
              <a:cs typeface="+mn-cs"/>
            </a:rPr>
            <a:t>Броварський будинок творчості та аматорського мистецтва</a:t>
          </a:r>
        </a:p>
      </dsp:txBody>
      <dsp:txXfrm>
        <a:off x="1228893" y="19199"/>
        <a:ext cx="4472622" cy="617115"/>
      </dsp:txXfrm>
    </dsp:sp>
    <dsp:sp modelId="{450CB8EB-11AF-4C49-9C5A-B8DCFA742A0E}">
      <dsp:nvSpPr>
        <dsp:cNvPr id="0" name=""/>
        <dsp:cNvSpPr/>
      </dsp:nvSpPr>
      <dsp:spPr>
        <a:xfrm>
          <a:off x="65551" y="65551"/>
          <a:ext cx="1144143" cy="524410"/>
        </a:xfrm>
        <a:prstGeom prst="roundRect">
          <a:avLst>
            <a:gd name="adj" fmla="val 10000"/>
          </a:avLst>
        </a:prstGeom>
        <a: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l="-23000" r="-23000"/>
          </a:stretch>
        </a:blip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ACB893E6-CAE9-4717-84E6-02F4213194D0}">
      <dsp:nvSpPr>
        <dsp:cNvPr id="0" name=""/>
        <dsp:cNvSpPr/>
      </dsp:nvSpPr>
      <dsp:spPr>
        <a:xfrm>
          <a:off x="0" y="721064"/>
          <a:ext cx="5720715" cy="655513"/>
        </a:xfrm>
        <a:prstGeom prst="roundRect">
          <a:avLst>
            <a:gd name="adj" fmla="val 10000"/>
          </a:avLst>
        </a:prstGeom>
        <a:solidFill>
          <a:srgbClr val="92D050"/>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lstStyle/>
        <a:p>
          <a:pPr marL="0" lvl="0" indent="0" algn="l" defTabSz="400050">
            <a:lnSpc>
              <a:spcPct val="90000"/>
            </a:lnSpc>
            <a:spcBef>
              <a:spcPct val="0"/>
            </a:spcBef>
            <a:spcAft>
              <a:spcPct val="35000"/>
            </a:spcAft>
            <a:buNone/>
          </a:pPr>
          <a:r>
            <a:rPr lang="uk-UA" sz="900" kern="1200">
              <a:solidFill>
                <a:sysClr val="windowText" lastClr="000000"/>
              </a:solidFill>
              <a:latin typeface="Calibri" panose="020F0502020204030204"/>
              <a:ea typeface="+mn-ea"/>
              <a:cs typeface="+mn-cs"/>
            </a:rPr>
            <a:t>Броварський краєзнавчий музей</a:t>
          </a:r>
        </a:p>
      </dsp:txBody>
      <dsp:txXfrm>
        <a:off x="1228893" y="740263"/>
        <a:ext cx="4472622" cy="617115"/>
      </dsp:txXfrm>
    </dsp:sp>
    <dsp:sp modelId="{07A5F62E-4614-49D7-B922-AC3259A460B9}">
      <dsp:nvSpPr>
        <dsp:cNvPr id="0" name=""/>
        <dsp:cNvSpPr/>
      </dsp:nvSpPr>
      <dsp:spPr>
        <a:xfrm>
          <a:off x="65551" y="786615"/>
          <a:ext cx="1144143" cy="524410"/>
        </a:xfrm>
        <a:prstGeom prst="roundRect">
          <a:avLst>
            <a:gd name="adj" fmla="val 10000"/>
          </a:avLst>
        </a:prstGeom>
        <a: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t="-5000" b="-5000"/>
          </a:stretch>
        </a:blip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E09BAD49-DCEE-4B44-81D0-6A6991146977}">
      <dsp:nvSpPr>
        <dsp:cNvPr id="0" name=""/>
        <dsp:cNvSpPr/>
      </dsp:nvSpPr>
      <dsp:spPr>
        <a:xfrm>
          <a:off x="0" y="1442129"/>
          <a:ext cx="5720715" cy="756744"/>
        </a:xfrm>
        <a:prstGeom prst="roundRect">
          <a:avLst>
            <a:gd name="adj" fmla="val 10000"/>
          </a:avLst>
        </a:prstGeom>
        <a:solidFill>
          <a:srgbClr val="5B9BD5">
            <a:lumMod val="60000"/>
            <a:lumOff val="40000"/>
          </a:srgbClr>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lstStyle/>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Броварський міський клуб, Комунальний заклад "Міський культурний центр"</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Комунальний заклад клубного типу "Культурно-інноваційна  платформа "ТепЛиця"</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"Культурно-просвітницький центр "СвітЛиця"</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Будинок культури с. Требухів</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Будинок культури с. Княжичі</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Сільський клуб с. </a:t>
          </a:r>
          <a:r>
            <a:rPr lang="uk-UA" sz="800" b="0" kern="1200">
              <a:solidFill>
                <a:sysClr val="windowText" lastClr="000000"/>
              </a:solidFill>
              <a:latin typeface="Calibri" panose="020F0502020204030204"/>
              <a:ea typeface="+mn-ea"/>
              <a:cs typeface="+mn-cs"/>
            </a:rPr>
            <a:t>Сотницьке</a:t>
          </a:r>
        </a:p>
      </dsp:txBody>
      <dsp:txXfrm>
        <a:off x="1231858" y="1464293"/>
        <a:ext cx="4466692" cy="712416"/>
      </dsp:txXfrm>
    </dsp:sp>
    <dsp:sp modelId="{3E890E64-7D4A-44C4-83FD-C23E9E73C255}">
      <dsp:nvSpPr>
        <dsp:cNvPr id="0" name=""/>
        <dsp:cNvSpPr/>
      </dsp:nvSpPr>
      <dsp:spPr>
        <a:xfrm>
          <a:off x="65551" y="1558296"/>
          <a:ext cx="1144143" cy="524410"/>
        </a:xfrm>
        <a:prstGeom prst="roundRect">
          <a:avLst>
            <a:gd name="adj" fmla="val 10000"/>
          </a:avLst>
        </a:prstGeom>
        <a: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t="-8000" b="-8000"/>
          </a:stretch>
        </a:blip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FBACB93D-D3E5-44BE-94C7-B8F610D1533B}">
      <dsp:nvSpPr>
        <dsp:cNvPr id="0" name=""/>
        <dsp:cNvSpPr/>
      </dsp:nvSpPr>
      <dsp:spPr>
        <a:xfrm>
          <a:off x="0" y="2264424"/>
          <a:ext cx="5720715" cy="655513"/>
        </a:xfrm>
        <a:prstGeom prst="roundRect">
          <a:avLst>
            <a:gd name="adj" fmla="val 10000"/>
          </a:avLst>
        </a:prstGeom>
        <a:solidFill>
          <a:srgbClr val="BAB72A"/>
        </a:solid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lstStyle/>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Броварська міська бібліотека</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Броварська міська бібліотека для дітей</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Броварська міська публічна бібліотека</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Бібліотека с. Требухів</a:t>
          </a:r>
        </a:p>
        <a:p>
          <a:pPr marL="0" lvl="0" indent="0" algn="l" defTabSz="355600">
            <a:lnSpc>
              <a:spcPct val="90000"/>
            </a:lnSpc>
            <a:spcBef>
              <a:spcPct val="0"/>
            </a:spcBef>
            <a:spcAft>
              <a:spcPct val="35000"/>
            </a:spcAft>
            <a:buNone/>
          </a:pPr>
          <a:r>
            <a:rPr lang="uk-UA" sz="800" kern="1200">
              <a:solidFill>
                <a:sysClr val="windowText" lastClr="000000"/>
              </a:solidFill>
              <a:latin typeface="Calibri" panose="020F0502020204030204"/>
              <a:ea typeface="+mn-ea"/>
              <a:cs typeface="+mn-cs"/>
            </a:rPr>
            <a:t>Бібліотека с. Княжичі</a:t>
          </a:r>
        </a:p>
      </dsp:txBody>
      <dsp:txXfrm>
        <a:off x="1228893" y="2283623"/>
        <a:ext cx="4472622" cy="617115"/>
      </dsp:txXfrm>
    </dsp:sp>
    <dsp:sp modelId="{F70F3F0F-B085-4C09-82C1-8F08ABEBCEA8}">
      <dsp:nvSpPr>
        <dsp:cNvPr id="0" name=""/>
        <dsp:cNvSpPr/>
      </dsp:nvSpPr>
      <dsp:spPr>
        <a:xfrm>
          <a:off x="65551" y="2329976"/>
          <a:ext cx="1144143" cy="524410"/>
        </a:xfrm>
        <a:prstGeom prst="roundRect">
          <a:avLst>
            <a:gd name="adj" fmla="val 10000"/>
          </a:avLst>
        </a:prstGeom>
        <a: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t="-5000" b="-5000"/>
          </a:stretch>
        </a:blipFill>
        <a:ln w="12700">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C48C0B-BD2B-429D-BA0B-C5AC0CC1D41E}">
      <dsp:nvSpPr>
        <dsp:cNvPr id="0" name=""/>
        <dsp:cNvSpPr/>
      </dsp:nvSpPr>
      <dsp:spPr>
        <a:xfrm>
          <a:off x="566693" y="1633537"/>
          <a:ext cx="356753" cy="1359580"/>
        </a:xfrm>
        <a:custGeom>
          <a:avLst/>
          <a:gdLst/>
          <a:rect l="0" t="0" r="0" b="0"/>
          <a:pathLst>
            <a:path fill="norm" stroke="1">
              <a:moveTo>
                <a:pt x="0" y="0"/>
              </a:moveTo>
              <a:lnTo>
                <a:pt x="188557" y="0"/>
              </a:lnTo>
              <a:lnTo>
                <a:pt x="188557" y="1437174"/>
              </a:lnTo>
              <a:lnTo>
                <a:pt x="377114" y="1437174"/>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709930" y="2278187"/>
        <a:ext cx="0" cy="0"/>
      </dsp:txXfrm>
    </dsp:sp>
    <dsp:sp modelId="{CBA52D8E-194E-45B8-98CF-300D55A054A3}">
      <dsp:nvSpPr>
        <dsp:cNvPr id="0" name=""/>
        <dsp:cNvSpPr/>
      </dsp:nvSpPr>
      <dsp:spPr>
        <a:xfrm>
          <a:off x="566693" y="1633537"/>
          <a:ext cx="356753" cy="679790"/>
        </a:xfrm>
        <a:custGeom>
          <a:avLst/>
          <a:gdLst/>
          <a:rect l="0" t="0" r="0" b="0"/>
          <a:pathLst>
            <a:path fill="norm" stroke="1">
              <a:moveTo>
                <a:pt x="0" y="0"/>
              </a:moveTo>
              <a:lnTo>
                <a:pt x="188557" y="0"/>
              </a:lnTo>
              <a:lnTo>
                <a:pt x="188557" y="718587"/>
              </a:lnTo>
              <a:lnTo>
                <a:pt x="377114" y="718587"/>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725877" y="1954239"/>
        <a:ext cx="0" cy="0"/>
      </dsp:txXfrm>
    </dsp:sp>
    <dsp:sp modelId="{DF093DE0-9148-460A-B9F7-F8F169DECAFE}">
      <dsp:nvSpPr>
        <dsp:cNvPr id="0" name=""/>
        <dsp:cNvSpPr/>
      </dsp:nvSpPr>
      <dsp:spPr>
        <a:xfrm>
          <a:off x="566693" y="1587817"/>
          <a:ext cx="356753" cy="91440"/>
        </a:xfrm>
        <a:custGeom>
          <a:avLst/>
          <a:gdLst/>
          <a:rect l="0" t="0" r="0" b="0"/>
          <a:pathLst>
            <a:path fill="norm" stroke="1">
              <a:moveTo>
                <a:pt x="0" y="45720"/>
              </a:moveTo>
              <a:lnTo>
                <a:pt x="377114" y="45720"/>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736151" y="1624618"/>
        <a:ext cx="0" cy="0"/>
      </dsp:txXfrm>
    </dsp:sp>
    <dsp:sp modelId="{B7631637-3C11-4702-9351-A7C3E2501B6A}">
      <dsp:nvSpPr>
        <dsp:cNvPr id="0" name=""/>
        <dsp:cNvSpPr/>
      </dsp:nvSpPr>
      <dsp:spPr>
        <a:xfrm>
          <a:off x="566693" y="953747"/>
          <a:ext cx="356753" cy="679790"/>
        </a:xfrm>
        <a:custGeom>
          <a:avLst/>
          <a:gdLst/>
          <a:rect l="0" t="0" r="0" b="0"/>
          <a:pathLst>
            <a:path fill="norm" stroke="1">
              <a:moveTo>
                <a:pt x="0" y="718587"/>
              </a:moveTo>
              <a:lnTo>
                <a:pt x="188557" y="718587"/>
              </a:lnTo>
              <a:lnTo>
                <a:pt x="188557" y="0"/>
              </a:lnTo>
              <a:lnTo>
                <a:pt x="377114" y="0"/>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725877" y="1274449"/>
        <a:ext cx="0" cy="0"/>
      </dsp:txXfrm>
    </dsp:sp>
    <dsp:sp modelId="{5E57A0E2-BFB6-4836-AD24-2F578ABF9A5B}">
      <dsp:nvSpPr>
        <dsp:cNvPr id="0" name=""/>
        <dsp:cNvSpPr/>
      </dsp:nvSpPr>
      <dsp:spPr>
        <a:xfrm>
          <a:off x="566693" y="273957"/>
          <a:ext cx="356753" cy="1359580"/>
        </a:xfrm>
        <a:custGeom>
          <a:avLst/>
          <a:gdLst/>
          <a:rect l="0" t="0" r="0" b="0"/>
          <a:pathLst>
            <a:path fill="norm" stroke="1">
              <a:moveTo>
                <a:pt x="0" y="1437174"/>
              </a:moveTo>
              <a:lnTo>
                <a:pt x="188557" y="1437174"/>
              </a:lnTo>
              <a:lnTo>
                <a:pt x="188557" y="0"/>
              </a:lnTo>
              <a:lnTo>
                <a:pt x="377114" y="0"/>
              </a:lnTo>
            </a:path>
          </a:pathLst>
        </a:custGeom>
        <a:noFill/>
        <a:ln w="12700">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prstMaterial="matte" z="-4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lstStyle/>
        <a:p>
          <a:pPr marL="0" lvl="0" indent="0" algn="ctr" defTabSz="222250">
            <a:lnSpc>
              <a:spcPct val="90000"/>
            </a:lnSpc>
            <a:spcBef>
              <a:spcPct val="0"/>
            </a:spcBef>
            <a:spcAft>
              <a:spcPct val="35000"/>
            </a:spcAft>
            <a:buNone/>
          </a:pPr>
          <a:endParaRPr lang="uk-UA" sz="500" kern="1200">
            <a:solidFill>
              <a:sysClr val="windowText" lastClr="000000">
                <a:hueOff val="0"/>
                <a:satOff val="0"/>
                <a:lumOff val="0"/>
                <a:alphaOff val="0"/>
              </a:sysClr>
            </a:solidFill>
            <a:latin typeface="Calibri" panose="020F0502020204030204"/>
            <a:ea typeface="+mn-ea"/>
            <a:cs typeface="+mn-cs"/>
          </a:endParaRPr>
        </a:p>
      </dsp:txBody>
      <dsp:txXfrm>
        <a:off x="709930" y="918607"/>
        <a:ext cx="0" cy="0"/>
      </dsp:txXfrm>
    </dsp:sp>
    <dsp:sp modelId="{2CB7DE88-6CCA-4CF6-B2B4-037A1A8C81FF}">
      <dsp:nvSpPr>
        <dsp:cNvPr id="0" name=""/>
        <dsp:cNvSpPr/>
      </dsp:nvSpPr>
      <dsp:spPr>
        <a:xfrm rot="16200000">
          <a:off x="-1136359" y="1361621"/>
          <a:ext cx="2862273" cy="543832"/>
        </a:xfrm>
        <a:prstGeom prst="rect">
          <a:avLst/>
        </a:prstGeom>
        <a:solidFill>
          <a:srgbClr val="0070C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lstStyle/>
        <a:p>
          <a:pPr marL="0" lvl="0" indent="0" algn="ctr" defTabSz="622300">
            <a:lnSpc>
              <a:spcPct val="90000"/>
            </a:lnSpc>
            <a:spcBef>
              <a:spcPct val="0"/>
            </a:spcBef>
            <a:spcAft>
              <a:spcPct val="35000"/>
            </a:spcAft>
            <a:buNone/>
          </a:pPr>
          <a:r>
            <a:rPr lang="uk-UA" sz="1400" kern="1200">
              <a:solidFill>
                <a:sysClr val="window" lastClr="FFFFFF"/>
              </a:solidFill>
              <a:latin typeface="Calibri" panose="020F0502020204030204"/>
              <a:ea typeface="+mn-ea"/>
              <a:cs typeface="+mn-cs"/>
            </a:rPr>
            <a:t>У звітному періоді роботодавці громади отримали компенсації: </a:t>
          </a:r>
        </a:p>
      </dsp:txBody>
      <dsp:txXfrm>
        <a:off x="-1136359" y="1361621"/>
        <a:ext cx="2862273" cy="543832"/>
      </dsp:txXfrm>
    </dsp:sp>
    <dsp:sp modelId="{B7921CE5-6770-4DCC-B74E-2BD50EF24736}">
      <dsp:nvSpPr>
        <dsp:cNvPr id="0" name=""/>
        <dsp:cNvSpPr/>
      </dsp:nvSpPr>
      <dsp:spPr>
        <a:xfrm>
          <a:off x="923447" y="2041"/>
          <a:ext cx="4649839" cy="543832"/>
        </a:xfrm>
        <a:prstGeom prst="rect">
          <a:avLst/>
        </a:prstGeom>
        <a:solidFill>
          <a:srgbClr val="70AD47"/>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lstStyle/>
        <a:p>
          <a:pPr marL="0" lvl="0" indent="0" algn="ctr" defTabSz="488950">
            <a:lnSpc>
              <a:spcPct val="90000"/>
            </a:lnSpc>
            <a:spcBef>
              <a:spcPct val="0"/>
            </a:spcBef>
            <a:spcAft>
              <a:spcPct val="35000"/>
            </a:spcAft>
            <a:buNone/>
          </a:pPr>
          <a:r>
            <a:rPr lang="ru-RU" sz="1100" kern="1200">
              <a:solidFill>
                <a:sysClr val="window" lastClr="FFFFFF"/>
              </a:solidFill>
              <a:latin typeface="Calibri" panose="020F0502020204030204"/>
              <a:ea typeface="+mn-ea"/>
              <a:cs typeface="+mn-cs"/>
            </a:rPr>
            <a:t>17 роботодавців отримали компенсацію витрат на оплату праці за працевлаштування 23 ВПО внаслідок проведення бойових дій під час воєнного стану в Україні (відповідно до Постанови КМУ від 20.03.2023 №331)</a:t>
          </a:r>
          <a:endParaRPr lang="uk-UA" sz="1100" kern="1200">
            <a:solidFill>
              <a:sysClr val="window" lastClr="FFFFFF"/>
            </a:solidFill>
            <a:latin typeface="Calibri" panose="020F0502020204030204"/>
            <a:ea typeface="+mn-ea"/>
            <a:cs typeface="+mn-cs"/>
          </a:endParaRPr>
        </a:p>
      </dsp:txBody>
      <dsp:txXfrm>
        <a:off x="923447" y="2041"/>
        <a:ext cx="4649839" cy="543832"/>
      </dsp:txXfrm>
    </dsp:sp>
    <dsp:sp modelId="{B312D989-FB27-4E76-8918-116749630D0E}">
      <dsp:nvSpPr>
        <dsp:cNvPr id="0" name=""/>
        <dsp:cNvSpPr/>
      </dsp:nvSpPr>
      <dsp:spPr>
        <a:xfrm>
          <a:off x="923447" y="681831"/>
          <a:ext cx="4675936" cy="543832"/>
        </a:xfrm>
        <a:prstGeom prst="rect">
          <a:avLst/>
        </a:prstGeom>
        <a:solidFill>
          <a:srgbClr val="FFC00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lstStyle/>
        <a:p>
          <a:pPr marL="0" lvl="0" indent="0" algn="ctr" defTabSz="488950">
            <a:lnSpc>
              <a:spcPct val="90000"/>
            </a:lnSpc>
            <a:spcBef>
              <a:spcPct val="0"/>
            </a:spcBef>
            <a:spcAft>
              <a:spcPct val="35000"/>
            </a:spcAft>
            <a:buNone/>
          </a:pPr>
          <a:r>
            <a:rPr lang="uk-UA" sz="1100" kern="1200">
              <a:solidFill>
                <a:sysClr val="window" lastClr="FFFFFF"/>
              </a:solidFill>
              <a:latin typeface="Calibri" panose="020F0502020204030204"/>
              <a:ea typeface="+mn-ea"/>
              <a:cs typeface="+mn-cs"/>
            </a:rPr>
            <a:t>1 роботодавець отримав компенсацію за працевлаштування одного зареєстрованого безробітного</a:t>
          </a:r>
        </a:p>
      </dsp:txBody>
      <dsp:txXfrm>
        <a:off x="923447" y="681831"/>
        <a:ext cx="4675936" cy="543832"/>
      </dsp:txXfrm>
    </dsp:sp>
    <dsp:sp modelId="{49F122FE-7E91-4CB1-9443-7C92850FB249}">
      <dsp:nvSpPr>
        <dsp:cNvPr id="0" name=""/>
        <dsp:cNvSpPr/>
      </dsp:nvSpPr>
      <dsp:spPr>
        <a:xfrm>
          <a:off x="923447" y="1361621"/>
          <a:ext cx="4721065" cy="543832"/>
        </a:xfrm>
        <a:prstGeom prst="rect">
          <a:avLst/>
        </a:prstGeom>
        <a:solidFill>
          <a:srgbClr val="00B0F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lstStyle/>
        <a:p>
          <a:pPr marL="0" lvl="0" indent="0" algn="ctr" defTabSz="488950">
            <a:lnSpc>
              <a:spcPct val="90000"/>
            </a:lnSpc>
            <a:spcBef>
              <a:spcPct val="0"/>
            </a:spcBef>
            <a:spcAft>
              <a:spcPct val="35000"/>
            </a:spcAft>
            <a:buNone/>
          </a:pPr>
          <a:r>
            <a:rPr lang="uk-UA" sz="1100" kern="1200">
              <a:solidFill>
                <a:sysClr val="window" lastClr="FFFFFF"/>
              </a:solidFill>
              <a:latin typeface="Calibri" panose="020F0502020204030204"/>
              <a:ea typeface="+mn-ea"/>
              <a:cs typeface="+mn-cs"/>
            </a:rPr>
            <a:t>3 роботодавця отримали компенсацію фактичних витрат за облаштування робочих місць працевлаштованих трьох осіб з інвалідністю</a:t>
          </a:r>
        </a:p>
      </dsp:txBody>
      <dsp:txXfrm>
        <a:off x="923447" y="1361621"/>
        <a:ext cx="4721065" cy="543832"/>
      </dsp:txXfrm>
    </dsp:sp>
    <dsp:sp modelId="{CF425BBA-19C2-4AFD-9ED4-C2DDE2DD66C0}">
      <dsp:nvSpPr>
        <dsp:cNvPr id="0" name=""/>
        <dsp:cNvSpPr/>
      </dsp:nvSpPr>
      <dsp:spPr>
        <a:xfrm>
          <a:off x="923447" y="2041411"/>
          <a:ext cx="4710202" cy="543832"/>
        </a:xfrm>
        <a:prstGeom prst="rect">
          <a:avLst/>
        </a:prstGeom>
        <a:solidFill>
          <a:srgbClr val="ED7D31">
            <a:lumMod val="60000"/>
            <a:lumOff val="40000"/>
          </a:srgb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lstStyle/>
        <a:p>
          <a:pPr marL="0" lvl="0" indent="0" algn="ctr" defTabSz="488950">
            <a:lnSpc>
              <a:spcPct val="90000"/>
            </a:lnSpc>
            <a:spcBef>
              <a:spcPct val="0"/>
            </a:spcBef>
            <a:spcAft>
              <a:spcPct val="35000"/>
            </a:spcAft>
            <a:buNone/>
          </a:pPr>
          <a:r>
            <a:rPr lang="ru-RU" sz="1100" kern="1200">
              <a:solidFill>
                <a:sysClr val="window" lastClr="FFFFFF"/>
              </a:solidFill>
              <a:latin typeface="Calibri" panose="020F0502020204030204"/>
              <a:ea typeface="+mn-ea"/>
              <a:cs typeface="+mn-cs"/>
            </a:rPr>
            <a:t>13 роботодавців отримали компенсацію частини фактичних витрат, пов’язаних із сплатою єдиного внеску на загальнообов’язкове державне соціальне страхування за працевлаштування 18 безробітних на нові робочі місця</a:t>
          </a:r>
          <a:endParaRPr lang="uk-UA" sz="1100" kern="1200">
            <a:solidFill>
              <a:sysClr val="window" lastClr="FFFFFF"/>
            </a:solidFill>
            <a:latin typeface="Calibri" panose="020F0502020204030204"/>
            <a:ea typeface="+mn-ea"/>
            <a:cs typeface="+mn-cs"/>
          </a:endParaRPr>
        </a:p>
      </dsp:txBody>
      <dsp:txXfrm>
        <a:off x="923447" y="2041411"/>
        <a:ext cx="4710202" cy="543832"/>
      </dsp:txXfrm>
    </dsp:sp>
    <dsp:sp modelId="{F026E951-9D88-484D-AED7-5A465E41BE65}">
      <dsp:nvSpPr>
        <dsp:cNvPr id="0" name=""/>
        <dsp:cNvSpPr/>
      </dsp:nvSpPr>
      <dsp:spPr>
        <a:xfrm>
          <a:off x="923447" y="2721201"/>
          <a:ext cx="4702996" cy="543832"/>
        </a:xfrm>
        <a:prstGeom prst="rect">
          <a:avLst/>
        </a:prstGeom>
        <a:solidFill>
          <a:srgbClr val="70AD47">
            <a:lumMod val="75000"/>
          </a:srgb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lstStyle/>
        <a:p>
          <a:pPr marL="0" lvl="0" indent="0" algn="ctr" defTabSz="488950">
            <a:lnSpc>
              <a:spcPct val="90000"/>
            </a:lnSpc>
            <a:spcBef>
              <a:spcPct val="0"/>
            </a:spcBef>
            <a:spcAft>
              <a:spcPct val="35000"/>
            </a:spcAft>
            <a:buFont typeface="Times New Roman" panose="02020603050405020304" pitchFamily="18" charset="0"/>
            <a:buNone/>
          </a:pPr>
          <a:r>
            <a:rPr lang="uk-UA" sz="1100" kern="1200">
              <a:solidFill>
                <a:sysClr val="window" lastClr="FFFFFF"/>
              </a:solidFill>
              <a:latin typeface="Calibri" panose="020F0502020204030204"/>
              <a:ea typeface="+mn-ea"/>
              <a:cs typeface="+mn-cs"/>
            </a:rPr>
            <a:t>2 роботодавця отримали компенсацію витрат на оплату праці за працевлаштування на умовах строкового договору зареєстрованого двох безробітних з числа ВПО</a:t>
          </a:r>
          <a:endParaRPr lang="uk-UA" sz="1200" kern="1200">
            <a:solidFill>
              <a:sysClr val="window" lastClr="FFFFFF"/>
            </a:solidFill>
            <a:latin typeface="Calibri" panose="020F0502020204030204"/>
            <a:ea typeface="+mn-ea"/>
            <a:cs typeface="+mn-cs"/>
          </a:endParaRPr>
        </a:p>
      </dsp:txBody>
      <dsp:txXfrm>
        <a:off x="923447" y="2721201"/>
        <a:ext cx="4702996" cy="5438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1">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val="norm"/>
      <dgm:animOne val="branch"/>
      <dgm:animLvl val="lvl"/>
      <dgm:resizeHandles val="exact"/>
    </dgm:varLst>
    <dgm:alg type="composite">
      <dgm:param type="horzAlign" val="ctr"/>
      <dgm:param type="vertAlign" val="mid"/>
    </dgm:alg>
    <dgm:shape xmlns:r="http://schemas.openxmlformats.org/officeDocument/2006/relationships" r:blip="">
      <dgm:adjLst/>
    </dgm:shape>
    <dgm:presOf/>
    <dgm:choose name="Name0">
      <dgm:if name="Name1" axis="ch" ptType="node" func="cnt" arg="none"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fallback" val="2D"/>
        <dgm:param type="linDir" val="fromT"/>
        <dgm:param type="nodeHorzAlign" val="ctr"/>
        <dgm:param type="nodeVertAlign" val="t"/>
        <dgm:param type="vertAlign" val="t"/>
      </dgm:alg>
      <dgm:shape xmlns:r="http://schemas.openxmlformats.org/officeDocument/2006/relationships" r:blip="">
        <dgm:adjLst/>
      </dgm:shape>
      <dgm:presOf/>
      <dgm:constrLst/>
      <dgm:ruleLst/>
      <dgm:choose name="Name6">
        <dgm:if name="Name7" axis="ch" ptType="node" func="cnt" arg="none"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begPts" val="bCtr"/>
                        <dgm:param type="connRout" val="bend"/>
                        <dgm:param type="dim" val="1D"/>
                        <dgm:param type="endPts" val="tCtr"/>
                        <dgm:param type="endSty" val="noAr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HorzAlign" val="ctr"/>
        <dgm:param type="nodeVertAlign" val="t"/>
        <dgm:param type="vertAlign" val="t"/>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horzAlign" val="ctr"/>
            <dgm:param type="vertAlign" val="t"/>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arg="none" op="gte" val="2">
            <dgm:layoutNode name="spComp">
              <dgm:alg type="composite">
                <dgm:param type="horzAlign" val="ctr"/>
                <dgm:param type="vertAlign" val="t"/>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val="norm"/>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1">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val="norm"/>
      <dgm:animOne val="branch"/>
      <dgm:animLvl val="lvl"/>
      <dgm:resizeHandles val="exact"/>
    </dgm:varLst>
    <dgm:choose name="Name1">
      <dgm:if name="Name2" func="var" arg="dir" op="equ" val="norm">
        <dgm:alg type="hierChild">
          <dgm:param type="chAlign" val="l"/>
          <dgm:param type="linDir" val="fromT"/>
        </dgm:alg>
      </dgm:if>
      <dgm:else name="Name3">
        <dgm:alg type="hierChild">
          <dgm:param type="chAlign" val="r"/>
          <dgm:param type="linDir" val="fromT"/>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chAlign" val="l"/>
                  <dgm:param type="linDir" val="fromT"/>
                </dgm:alg>
              </dgm:if>
              <dgm:else name="Name14">
                <dgm:alg type="hierChild">
                  <dgm:param type="chAlign" val="r"/>
                  <dgm:param type="linDir" val="fromT"/>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begPts" val="midR"/>
                        <dgm:param type="connRout" val="bend"/>
                        <dgm:param type="dim" val="1D"/>
                        <dgm:param type="endPts" val="midL"/>
                        <dgm:param type="endSty" val="noArr"/>
                      </dgm:alg>
                    </dgm:if>
                    <dgm:else name="Name18">
                      <dgm:alg type="conn">
                        <dgm:param type="begPts" val="midL"/>
                        <dgm:param type="connRout" val="bend"/>
                        <dgm:param type="dim" val="1D"/>
                        <dgm:param type="endPts" val="midR"/>
                        <dgm:param type="endSty" val="noAr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chAlign" val="l"/>
                          <dgm:param type="linDir" val="fromT"/>
                        </dgm:alg>
                      </dgm:if>
                      <dgm:else name="Name25">
                        <dgm:alg type="hierChild">
                          <dgm:param type="chAlign" val="r"/>
                          <dgm:param type="linDir" val="fromT"/>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extrusionH="63500" prstMaterial="matte" z="152400"/>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extrusionH="63500" contourW="12700" prstMaterial="matte" z="254000"/>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extrusionH="63500" contourW="12700" prstMaterial="matte" z="-152400"/>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extrusionH="63500" prstMaterial="matte" z="-70000"/>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extrusionH="63500" prstMaterial="matte" z="152400"/>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extrusionH="63500" prstMaterial="matte" z="-152400"/>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prstMaterial="matte" z="-40000"/>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prstMaterial="matte" z="127000"/>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prstMaterial="flat" z="60000"/>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prstMaterial="flat" z="60000"/>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prstMaterial="matte" z="-4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prstMaterial="matte" z="-4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prstMaterial="matte" z="-4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prstMaterial="matte" z="-40000"/>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extrusionH="63500" prstMaterial="dkEdge" z="-152400"/>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extrusionH="63500" prstMaterial="dkEdge" z="-152400"/>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extrusionH="63500" prstMaterial="dkEdge" z="152400"/>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extrusionH="63500" prstMaterial="dkEdge" z="152400"/>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extrusionH="63500" prstMaterial="matte" z="-152400"/>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prstMaterial="matte" z="-152400"/>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extrusionH="63500" prstMaterial="matte" z="152400"/>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B4431"/>
    <w:rsid w:val="000E7ADA"/>
    <w:rsid w:val="001043C3"/>
    <w:rsid w:val="0019083E"/>
    <w:rsid w:val="00213E54"/>
    <w:rsid w:val="004D1168"/>
    <w:rsid w:val="007660A4"/>
    <w:rsid w:val="00767368"/>
    <w:rsid w:val="00934C4A"/>
    <w:rsid w:val="00A51DB1"/>
    <w:rsid w:val="00AE1036"/>
    <w:rsid w:val="00D47DB3"/>
    <w:rsid w:val="00E355C2"/>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12</TotalTime>
  <Pages>40</Pages>
  <Words>53887</Words>
  <Characters>30716</Characters>
  <Application>Microsoft Office Word</Application>
  <DocSecurity>8</DocSecurity>
  <Lines>255</Lines>
  <Paragraphs>168</Paragraphs>
  <ScaleCrop>false</ScaleCrop>
  <Company/>
  <LinksUpToDate>false</LinksUpToDate>
  <CharactersWithSpaces>84435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Olena</cp:lastModifiedBy>
  <cp:revision>21</cp:revision>
  <dcterms:created xsi:type="dcterms:W3CDTF">2023-03-27T06:26:00Z</dcterms:created>
  <dcterms:modified xsi:type="dcterms:W3CDTF">2026-08-27T08:36:00Z</dcterms:modified>
</cp:coreProperties>
</file>