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>
      <w:pPr>
        <w:tabs>
          <w:tab w:val="left" w:pos="5610"/>
          <w:tab w:val="left" w:pos="6358"/>
        </w:tabs>
        <w:spacing w:beforeAutospacing="0" w:after="0" w:afterAutospacing="0"/>
        <w:ind w:left="10206"/>
        <w:jc w:val="center"/>
        <w:rPr>
          <w:rFonts w:ascii="Times New Roman" w:hAnsi="Times New Roman"/>
          <w:sz w:val="28"/>
          <w:szCs w:val="28"/>
          <w:lang w:val="en-US"/>
        </w:rPr>
      </w:pPr>
      <w:permStart w:id="0" w:edGrp="everyone"/>
      <w:r>
        <w:rPr>
          <w:rFonts w:ascii="Times New Roman" w:hAnsi="Times New Roman"/>
          <w:sz w:val="28"/>
          <w:szCs w:val="28"/>
        </w:rPr>
        <w:t>Додаток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10206"/>
        <w:jc w:val="center"/>
        <w:rPr>
          <w:rFonts w:ascii="Times New Roman" w:hAnsi="Times New Roman"/>
          <w:smallCaps w:val="0"/>
          <w:snapToGrid/>
          <w:spacing w:val="0"/>
          <w:w w:val="100"/>
          <w:position w:val="0"/>
          <w:sz w:val="28"/>
          <w:szCs w:val="22"/>
          <w:cs w:val="0"/>
          <w:lang w:val="en-US"/>
        </w:rPr>
      </w:pPr>
      <w:r>
        <w:rPr>
          <w:rFonts w:ascii="Times New Roman" w:hAnsi="Times New Roman"/>
          <w:smallCaps w:val="0"/>
          <w:snapToGrid/>
          <w:spacing w:val="0"/>
          <w:w w:val="100"/>
          <w:position w:val="0"/>
          <w:sz w:val="28"/>
          <w:szCs w:val="22"/>
          <w:cs w:val="0"/>
          <w:lang w:val="en-US"/>
        </w:rPr>
        <w:t xml:space="preserve">Середньострокового плану 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10206"/>
        <w:jc w:val="center"/>
        <w:rPr>
          <w:rFonts w:ascii="Times New Roman" w:hAnsi="Times New Roman"/>
          <w:smallCaps w:val="0"/>
          <w:snapToGrid/>
          <w:spacing w:val="0"/>
          <w:w w:val="100"/>
          <w:position w:val="0"/>
          <w:sz w:val="28"/>
          <w:szCs w:val="22"/>
          <w:cs w:val="0"/>
          <w:lang w:val="en-US"/>
        </w:rPr>
      </w:pPr>
      <w:r>
        <w:rPr>
          <w:rFonts w:ascii="Times New Roman" w:hAnsi="Times New Roman"/>
          <w:smallCaps w:val="0"/>
          <w:snapToGrid/>
          <w:spacing w:val="0"/>
          <w:w w:val="100"/>
          <w:position w:val="0"/>
          <w:sz w:val="28"/>
          <w:szCs w:val="22"/>
          <w:cs w:val="0"/>
          <w:lang w:val="en-US"/>
        </w:rPr>
        <w:t>пріоритетних п</w:t>
      </w:r>
      <w:r>
        <w:rPr>
          <w:rFonts w:ascii="Times New Roman" w:hAnsi="Times New Roman"/>
          <w:smallCaps w:val="0"/>
          <w:snapToGrid/>
          <w:spacing w:val="0"/>
          <w:w w:val="100"/>
          <w:position w:val="0"/>
          <w:sz w:val="28"/>
          <w:szCs w:val="22"/>
          <w:cs w:val="0"/>
          <w:lang w:val="en-US"/>
        </w:rPr>
        <w:t>ублічних інвестицій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10206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mallCaps w:val="0"/>
          <w:snapToGrid/>
          <w:spacing w:val="0"/>
          <w:w w:val="100"/>
          <w:position w:val="0"/>
          <w:sz w:val="28"/>
          <w:szCs w:val="22"/>
          <w:cs w:val="0"/>
          <w:lang w:val="en-US"/>
        </w:rPr>
        <w:t>Броварської міської територіальної громади на 202</w:t>
      </w:r>
      <w:r>
        <w:rPr>
          <w:rFonts w:ascii="Times New Roman" w:hAnsi="Times New Roman"/>
          <w:smallCaps w:val="0"/>
          <w:snapToGrid/>
          <w:spacing w:val="0"/>
          <w:w w:val="100"/>
          <w:position w:val="0"/>
          <w:sz w:val="28"/>
          <w:szCs w:val="22"/>
          <w:cs w:val="0"/>
          <w:lang w:val="en-US"/>
        </w:rPr>
        <w:t xml:space="preserve">7 </w:t>
      </w:r>
      <w:r>
        <w:rPr>
          <w:rFonts w:ascii="Times New Roman" w:hAnsi="Times New Roman"/>
          <w:smallCaps w:val="0"/>
          <w:snapToGrid/>
          <w:spacing w:val="0"/>
          <w:w w:val="100"/>
          <w:position w:val="0"/>
          <w:sz w:val="28"/>
          <w:szCs w:val="22"/>
          <w:cs w:val="0"/>
          <w:lang w:val="en-US"/>
        </w:rPr>
        <w:t>-</w:t>
      </w:r>
      <w:r>
        <w:rPr>
          <w:rFonts w:ascii="Times New Roman" w:hAnsi="Times New Roman"/>
          <w:smallCaps w:val="0"/>
          <w:snapToGrid/>
          <w:spacing w:val="0"/>
          <w:w w:val="100"/>
          <w:position w:val="0"/>
          <w:sz w:val="28"/>
          <w:szCs w:val="22"/>
          <w:cs w:val="0"/>
          <w:lang w:val="en-US"/>
        </w:rPr>
        <w:t xml:space="preserve"> </w:t>
      </w:r>
      <w:r>
        <w:rPr>
          <w:rFonts w:ascii="Times New Roman" w:hAnsi="Times New Roman"/>
          <w:smallCaps w:val="0"/>
          <w:snapToGrid/>
          <w:spacing w:val="0"/>
          <w:w w:val="100"/>
          <w:position w:val="0"/>
          <w:sz w:val="28"/>
          <w:szCs w:val="22"/>
          <w:cs w:val="0"/>
          <w:lang w:val="en-US"/>
        </w:rPr>
        <w:t>2</w:t>
      </w:r>
      <w:r>
        <w:rPr>
          <w:rFonts w:ascii="Times New Roman" w:hAnsi="Times New Roman"/>
          <w:smallCaps w:val="0"/>
          <w:snapToGrid/>
          <w:spacing w:val="0"/>
          <w:w w:val="100"/>
          <w:position w:val="0"/>
          <w:sz w:val="28"/>
          <w:szCs w:val="22"/>
          <w:cs w:val="0"/>
          <w:lang w:val="en-US"/>
        </w:rPr>
        <w:t>029 роки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10206"/>
        <w:jc w:val="center"/>
        <w:rPr>
          <w:rFonts w:ascii="Times New Roman" w:hAnsi="Times New Roman"/>
          <w:sz w:val="28"/>
          <w:szCs w:val="28"/>
        </w:rPr>
      </w:pPr>
      <w:permEnd w:id="0"/>
      <w:r>
        <w:rPr>
          <w:rFonts w:ascii="Times New Roman" w:hAnsi="Times New Roman"/>
          <w:sz w:val="28"/>
          <w:szCs w:val="28"/>
        </w:rPr>
        <w:t xml:space="preserve">від </w:t>
      </w:r>
      <w:r>
        <w:rPr>
          <w:rFonts w:ascii="Times New Roman" w:hAnsi="Times New Roman"/>
          <w:sz w:val="28"/>
          <w:szCs w:val="28"/>
        </w:rPr>
        <w:t>25.08.2026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1028</w:t>
      </w:r>
    </w:p>
    <w:p>
      <w:pPr>
        <w:spacing w:beforeAutospacing="0" w:after="0" w:afterAutospacing="0"/>
        <w:ind w:left="11057"/>
        <w:rPr>
          <w:rFonts w:ascii="Times New Roman" w:hAnsi="Times New Roman"/>
          <w:b/>
          <w:bCs/>
          <w:sz w:val="28"/>
          <w:szCs w:val="28"/>
        </w:rPr>
      </w:pPr>
    </w:p>
    <w:p>
      <w:pPr>
        <w:widowControl/>
        <w:bidi w:val="0"/>
        <w:spacing w:beforeAutospacing="0" w:after="0" w:afterAutospacing="0" w:line="240" w:lineRule="auto"/>
        <w:ind w:left="0" w:right="0"/>
        <w:jc w:val="center"/>
        <w:rPr>
          <w:rFonts w:ascii="Times New Roman" w:hAnsi="Times New Roman"/>
          <w:b/>
          <w:bCs w:val="0"/>
          <w:i w:val="0"/>
          <w:caps w:val="0"/>
          <w:smallCaps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 w:val="x-none"/>
        </w:rPr>
      </w:pPr>
      <w:permStart w:id="1" w:edGrp="everyone"/>
      <w:r>
        <w:rPr>
          <w:rFonts w:ascii="Times New Roman" w:hAnsi="Times New Roman"/>
          <w:b/>
          <w:bCs w:val="0"/>
          <w:i w:val="0"/>
          <w:caps w:val="0"/>
          <w:smallCaps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 w:val="x-none"/>
        </w:rPr>
        <w:t>ОСНОВНІ НАПРЯМИ ПУБЛІЧНОГО ІНВЕСТУВАННЯ</w:t>
      </w:r>
    </w:p>
    <w:p>
      <w:pPr>
        <w:widowControl/>
        <w:bidi w:val="0"/>
        <w:spacing w:beforeAutospacing="0" w:after="0" w:afterAutospacing="0" w:line="240" w:lineRule="auto"/>
        <w:ind w:left="0" w:right="0"/>
        <w:jc w:val="center"/>
        <w:rPr>
          <w:rFonts w:ascii="Times New Roman" w:hAnsi="Times New Roman"/>
          <w:iCs/>
          <w:sz w:val="28"/>
          <w:szCs w:val="28"/>
        </w:rPr>
      </w:pPr>
    </w:p>
    <w:tbl>
      <w:tblPr>
        <w:tblW w:w="0" w:type="auto"/>
        <w:shd w:val="clear" w:color="auto" w:fill="FFFFFF"/>
        <w:tblLook w:val="04A0"/>
      </w:tblPr>
      <w:tblGrid>
        <w:gridCol w:w="1284"/>
        <w:gridCol w:w="1498"/>
        <w:gridCol w:w="1482"/>
        <w:gridCol w:w="734"/>
        <w:gridCol w:w="734"/>
        <w:gridCol w:w="734"/>
        <w:gridCol w:w="734"/>
      </w:tblGrid>
      <w:tr>
        <w:tblPrEx>
          <w:tblW w:w="0" w:type="auto"/>
          <w:shd w:val="clear" w:color="auto" w:fill="FFFFFF"/>
          <w:tblLook w:val="04A0"/>
        </w:tblPrEx>
        <w:tc>
          <w:tcPr>
            <w:tcW w:w="14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Пріоритетна галузь (сектор) для публічного інвестування – </w:t>
            </w:r>
            <w:r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Муніципальна інфраструктура та послуги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Відповідальне управління за галузь: Управління будівництва, житлово-комунального господарства, інфраструктури та транспорту Броварської міської ради Броварського району Київської області; 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Граничний сукупний обсяг публічних інвестицій на середньострокового період на галузь (сектор, в межах доведеного фінансовим управлінням Броварської міської ради Броварського району Київської області) – </w:t>
            </w:r>
            <w:r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224 136 735 грн. (кошти місцевого бюджету).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 w:val="x-none"/>
              </w:rPr>
              <w:t>Потенційні інші джерела інвестування (гранти, донорські кошти, кредити тощо) – 2 289 159 342 грн.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Підсектор галузі (сектору) для публічного інвестування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Основний напрям публічного інвестування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Найменування цільового показника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Базове значення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(%)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Планове значення на 2027 р. (%)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Планове значення на 2028 р. (%)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Планове значення на 2029 р. (%)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00000" w:themeColor="dark1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00000" w:themeColor="dark1"/>
                <w:sz w:val="28"/>
                <w:u w:val="none"/>
                <w:shd w:val="clear" w:color="auto" w:fill="auto"/>
                <w:vertAlign w:val="baseline"/>
                <w:lang w:val="x-none"/>
              </w:rPr>
              <w:t>Водопостачання та водовідведення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  <w:t>2.4 Забезпечення населення якісними комунальними послугами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Рівень забезпечення централізованого, контрольованого та облікованого приймання стічних вод від асенізаційних машин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55%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100%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Рівень пропускної спроможності водогонів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70%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80%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90%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100%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  <w:t>Містобудування, благоустрій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  <w:t>2.2 Розвиток інженерної, логістичної, дорожньо-транспортної інфраструктури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  <w:t>Частка завершених безбар`єрних маршрутів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8%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39%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70%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80%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00000" w:themeColor="dark1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00000" w:themeColor="dark1"/>
                <w:sz w:val="28"/>
                <w:u w:val="none"/>
                <w:shd w:val="clear" w:color="auto" w:fill="auto"/>
                <w:vertAlign w:val="baseline"/>
                <w:lang w:val="x-none"/>
              </w:rPr>
              <w:t>Містобудування, благоустрій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  <w:t>2.6. Забезпечення збалансованого розвитку територій громади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  <w:t>Рівень забезпечення громади територією для поховання громадян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50%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100%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100%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100%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  <w:t>Містобудування, благоустрій</w:t>
            </w: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  <w:t>2.5 Екологічна безпека та охорона навколишнього природного середовища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  <w:t>Частка охоплених безпритульних собак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20%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60%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90%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3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  <w:t>Рівень забезпечення населення зонами відпочинку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50%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60%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70%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95%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  <w:t>Містобудування, благоустрій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  <w:t>1.4 Створення умов для забезпечення рівних можливостей для розвитку усіх груп населення та формування згуртованого суспільства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  <w:t>Забезпечення міста інклюзивними майданчиками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25%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70%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75%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90%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  <w:t>Захисні споруди об'єктів інфраструктури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  <w:t>2.1 Розвиток інфраструктури безпеки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10302"/>
                <w:sz w:val="28"/>
                <w:u w:val="none"/>
                <w:shd w:val="clear" w:color="auto" w:fill="auto"/>
                <w:vertAlign w:val="baseline"/>
                <w:lang w:val="x-none"/>
              </w:rPr>
              <w:t>Рівень забезпечення захисними спорудами об`єктів інфраструктури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23%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24%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25%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28%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14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left"/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Пріоритетна галузь (сектор) для публічного інвестування – </w:t>
            </w:r>
            <w:r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Житло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Відповідальне управління за галузь: Управління будівництва, житлово-комунального господарства, інфраструктури та транспорту Броварської міської ради Броварського району Київської області; 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Граничний сукупний обсяг публічних інвестицій на середньострокового період на галузь (сектор, в межах доведеного фінансовим управлінням Броварської міської ради Броварського району Київської області) – </w:t>
            </w:r>
            <w:r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7 000 000 грн. (кошти місцевого бюджету).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left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 w:val="x-none"/>
              </w:rPr>
              <w:t>Потенційні інші джерела інвестування (гранти, донорські кошти, кредити тощо) – 6 527 459 грн.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Енергоефективні рішення для житлових будівель</w:t>
            </w: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2.4 Забезпечення населення якісними комунальними послугами 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Частка багатоквартирних будинків, у яких відновлено експлуатаційні показники та забезпечено безпечні умови проживання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45%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50%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55%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3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Частка багатоквартирних будинків, у яких проведено заходи з термомодернізації / енергозбереження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20%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40%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70%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14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Пріоритетна галузь (сектор) для публічного інвестування – </w:t>
            </w:r>
            <w:r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Транспорт та поштовий зв’язок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Відповідальне управління за галузь: Управління будівництва, житлово-комунального господарства, інфраструктури та транспорту Броварської міської ради Броварського району Київської області; 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Граничний сукупний обсяг публічних інвестицій на середньострокового період на галузь (сектор, в межах доведеного фінансовим управлінням Броварської міської ради Броварського району Київської області) – </w:t>
            </w:r>
            <w:r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53 000 000 грн. (кошти місцевого бюджету).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left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 w:val="x-none"/>
              </w:rPr>
              <w:t>Потенційні інші джерела інвестування (гранти, донорські кошти, кредити тощо) – 55 922 312 грн.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00000" w:themeColor="dark1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00000" w:themeColor="dark1"/>
                <w:sz w:val="28"/>
                <w:u w:val="none"/>
                <w:shd w:val="clear" w:color="auto" w:fill="auto"/>
                <w:vertAlign w:val="baseline"/>
                <w:lang w:val="x-none"/>
              </w:rPr>
              <w:t>Розбудова та відновлення транспортної інфраструктури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00000" w:themeColor="dark1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00000" w:themeColor="dark1"/>
                <w:sz w:val="28"/>
                <w:u w:val="none"/>
                <w:shd w:val="clear" w:color="auto" w:fill="auto"/>
                <w:vertAlign w:val="baseline"/>
                <w:lang w:val="x-none"/>
              </w:rPr>
              <w:t>2.2 Розвиток дорожньої інфраструктури та транспортної інфраструктури регіону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00000" w:themeColor="dark1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00000" w:themeColor="dark1"/>
                <w:sz w:val="28"/>
                <w:u w:val="none"/>
                <w:shd w:val="clear" w:color="auto" w:fill="auto"/>
                <w:vertAlign w:val="baseline"/>
                <w:lang w:val="x-none"/>
              </w:rPr>
              <w:t>Рівень оновлення транспортної інфраструктури шляхом будівництва, реконструкції тощо.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15%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20%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25%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30%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14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left"/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Пріоритетна галузь (сектор) для публічного інвестування – </w:t>
            </w:r>
            <w:r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Освіта і наука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Відповідальне управління за галузь: Управління освіти і науки Броварської міської ради Броварського району Київської області; 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Граничний сукупний обсяг публічних інвестицій на середньострокового період на галузь (сектор, в межах доведеного фінансовим управлінням Броварської міської ради Броварського району Київської області) – </w:t>
            </w:r>
            <w:r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250 374 000 грн. (кошти місцевого бюджету).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 w:val="x-none"/>
              </w:rPr>
              <w:t>Потенційні інші джерела інвестування: кошти державного бюджету – 79 250 000 грн.; гранти, донорські кошти, кредити тощо – 916 483 084,12 грн.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Освіта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Забезпечення доступу до якісного та безпечного харчування в закладах освіти шляхом розвитку сучасної інфраструктури їдалень (харчоблоків)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Частка модернізованих їдалень (харчоблоків) у закладах освіти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54%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100%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100%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100%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rPr>
          <w:trHeight w:val="2264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Освіта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Сучасний освітній простір та якісний зміст: лабораторії, майстерні, кабінети тощо.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Рівень розвитку сучасного освітнього середовища закладів загальної середньої освіти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20%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30%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40%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50%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Освіта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Розвиток інфраструктури закладів освіти шляхом модернізації та проведення ремонтів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Рівень оновленої інфраструктури закладів освіти шляхом проведення ремонтів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20%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40%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50%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60%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Освіта</w:t>
            </w: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Створення інклюзивного освітнього середовища в закладах освіти та забезпечення допоміжними засобами для навчання дітей з особливими освітніми потребами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Рівень створення інклюзивного освітнього середовища в закладах освіти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50%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55%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60%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65%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3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Рівень забезпечення допоміжними засобами для навчання дітей з особливими освітнім и потребами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50%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55%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60%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65%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Освіта 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Енергоефективність та енергонезалежність будівель закладів та установ освіти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Рівень зниження витрат на опалення та/або електроенергію після впровадження заходів з енергоефективності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15%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20%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30%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Освіта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Створення та модернізація мережі центрів інженерної освіти та подолання освітніх втрат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Рівень надолуження освітніх втрат у здобувачів освіти громади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50%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50%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70%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80%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Освіта 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Створення умов для рівного доступу до освіти шляхом розвитку інфраструктури перевезень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Частка забезпечення підвезенням учнів серед тих, хто його потребує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70%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70%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70%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90%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Освіта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Облаштування захисних споруд цивільного захисту (укритів) у закладах та установах освіти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Рівень забезпечення закладів дошкільної освіти спорудами цивільного захисту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75%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80%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85%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100%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Освіта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Реконструкція, відновлення та нове будівництво інфраструктури закладів освіти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Рівень оновленої інфраструктури закладів освіти шляхом нового будівництва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50%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50%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50%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75%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14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left"/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Пріоритетна галузь (сектор) для публічного інвестування – </w:t>
            </w:r>
            <w:r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Охорона здоров’я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Відповідальний відділ за галузь: Відділ охорони здоров’я Броварської міської ради Броварського району Київської області;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Граничний сукупний обсяг публічних інвестицій на середньострокового період на галузь (сектор, в межах доведеного фінансовим управлінням Броварської міської ради Броварського району Київської області) – </w:t>
            </w:r>
            <w:r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55 250 000 грн. (кошти місцевого бюджету).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left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 w:val="x-none"/>
              </w:rPr>
              <w:t>Потенційні інші джерела інвестування: кошти державного бюджету – 168 190 099 грн.; гранти, донорські кошти, кредити тощо – 33 772 350 грн.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rPr>
          <w:trHeight w:val="2576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Розбудова та модернізація системи охорони здоров’я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1.2. Формування доступної та спроможної мережі для надання якісних медичних послуг з урахуванням потреб різних верств населення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 w:val="x-none"/>
              </w:rPr>
              <w:t>Забезпечення доступу до якісної медичної допомоги шляхом розбудови й модернізації об'єктів медичної інфраструктури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75%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85%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90%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100%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14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left"/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Пріоритетна галузь (сектор) для публічного інвестування – </w:t>
            </w:r>
            <w:r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Культура та інформація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Відповідальне управління за галузь: Управління культури, сім’ї та молоді Броварської міської ради Броварського району Київської області;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Граничний сукупний обсяг публічних інвестицій на середньострокового період на галузь (сектор, в межах доведеного фінансовим управлінням Броварської міської ради Броварського району Київської області) – </w:t>
            </w:r>
            <w:r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0,00 грн. (кошти місцевого бюджету).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left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 w:val="x-none"/>
              </w:rPr>
              <w:t>Потенційні інші джерела інвестування (гранти, донорські кошти, кредити тощо) – 23 827 715,95 грн.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Культурні послуги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00000" w:themeColor="dark1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000000" w:themeColor="dark1"/>
                <w:sz w:val="28"/>
                <w:u w:val="none"/>
                <w:shd w:val="clear" w:color="auto" w:fill="auto"/>
                <w:vertAlign w:val="baseline"/>
                <w:lang w:val="x-none"/>
              </w:rPr>
              <w:t>1.6 Формування всебічно розвиненої людини, сприяння її культурному та духовному розвитку, створення можливостей для творчого самовираження і самореалізації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Рівень забезпечення послугами у сфері культури мешканців громади 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80%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85%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90%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90%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14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left"/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Пріоритетна галузь (сектор) для публічного інвестування – </w:t>
            </w:r>
            <w:r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Спорт, фізичне та молодіжне виховання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Відповідальний відділ за галузь: Відділ фізичної культури та спорту Броварської міської ради Броварського району Київської області;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left"/>
              <w:rPr>
                <w:rFonts w:ascii="Times New Roman" w:hAnsi="Times New Roman"/>
                <w:iCs/>
                <w:sz w:val="28"/>
                <w:szCs w:val="28"/>
              </w:rPr>
            </w:pP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Граничний сукупний обсяг публічних інвестицій на середньострокового період на галузь (сектор, в межах доведеного фінансовим управлінням Броварської міської ради Броварського району Київської області) – </w:t>
            </w:r>
            <w:r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2 000 000 грн. (кошти місцевого бюджету).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rPr>
          <w:trHeight w:val="3230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Спорт та фізичне виховання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1.3. Створення належних умов для розвитку системи закладів фізичної культури і спорту, у тому числі для осіб з інвалідністю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Частка доступності спортивних об’єктів комунальної власності для осіб з інвалідністю та інших маломобільних груп населення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60%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70%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75%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100%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14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Галузь (сектор) для публічного інвестування – </w:t>
            </w:r>
            <w:r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Соціальна сфера 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Відповідальне управління за галузь: Управління соціального захисту населення Броварської міської ради Броварського району Київської області;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 xml:space="preserve">Граничний сукупний обсяг публічних інвестицій на середньострокового період на галузь (сектор, в межах доведеного фінансовим управлінням Броварської міської ради Броварського району Київської області) – </w:t>
            </w:r>
            <w:r>
              <w:rPr>
                <w:rFonts w:ascii="Times New Roman" w:hAnsi="Times New Roman"/>
                <w:b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8 239 265 грн. (кошти місцевого бюджету).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both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 w:val="x-none"/>
              </w:rPr>
              <w:t>Потенційні інші джерела інвестування (гранти, донорські кошти, кредити тощо) – 46 205 827 грн.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Інклюзія осіб з інвалідністю та система реабілітації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1.5. Забезпечення соціально незахищених категорій населення якісними і доступними соціальними послугами, підтримка осіб з інвалідністю та інших маломобільних груп населення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Рівень доступності для забезпечення реабілітаційними послугами осіб з інвалідністю та інших маломобільних груп населення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60%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70%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75%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100%</w:t>
            </w:r>
          </w:p>
        </w:tc>
      </w:tr>
      <w:tr>
        <w:tblPrEx>
          <w:tblW w:w="0" w:type="auto"/>
          <w:shd w:val="clear" w:color="auto" w:fill="FFFFFF"/>
          <w:tblLook w:val="04A0"/>
        </w:tblPrEx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Інклюзія осіб з інвалідністю та система реабілітації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1.3. Створення належних умов для розвитку системи закладів фізичної культури і спорту, у тому числі для осіб з інвалідністю</w:t>
            </w:r>
          </w:p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Забезпечення безпечного та зручного доступу до басейну всіх категорій громадян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60%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70%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100%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bidi w:val="0"/>
              <w:spacing w:beforeAutospacing="0" w:after="0" w:afterAutospacing="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100%</w:t>
            </w:r>
          </w:p>
        </w:tc>
      </w:tr>
    </w:tbl>
    <w:p>
      <w:pPr>
        <w:widowControl/>
        <w:bidi w:val="0"/>
        <w:spacing w:beforeAutospacing="0" w:after="0" w:afterAutospacing="0" w:line="240" w:lineRule="auto"/>
        <w:ind w:left="0" w:right="0"/>
        <w:jc w:val="center"/>
        <w:rPr>
          <w:rFonts w:ascii="Times New Roman" w:hAnsi="Times New Roman"/>
          <w:iCs/>
          <w:sz w:val="28"/>
          <w:szCs w:val="28"/>
        </w:rPr>
      </w:pPr>
    </w:p>
    <w:p>
      <w:pPr>
        <w:widowControl/>
        <w:bidi w:val="0"/>
        <w:spacing w:beforeAutospacing="0" w:after="0" w:afterAutospacing="0" w:line="240" w:lineRule="auto"/>
        <w:ind w:left="0" w:right="0"/>
        <w:jc w:val="center"/>
        <w:rPr>
          <w:rFonts w:ascii="Times New Roman" w:hAnsi="Times New Roman"/>
          <w:iCs/>
          <w:sz w:val="28"/>
          <w:szCs w:val="28"/>
        </w:rPr>
      </w:pPr>
    </w:p>
    <w:p>
      <w:pPr>
        <w:widowControl/>
        <w:bidi w:val="0"/>
        <w:spacing w:beforeAutospacing="0" w:after="0" w:afterAutospacing="0" w:line="240" w:lineRule="auto"/>
        <w:ind w:left="0" w:right="0"/>
        <w:jc w:val="center"/>
        <w:rPr>
          <w:rFonts w:ascii="Times New Roman" w:hAnsi="Times New Roman"/>
          <w:b w:val="0"/>
          <w:bCs w:val="0"/>
          <w:i w:val="0"/>
          <w:caps w:val="0"/>
          <w:smallCaps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 w:val="x-none"/>
        </w:rPr>
      </w:pPr>
      <w:r>
        <w:rPr>
          <w:rFonts w:ascii="Times New Roman" w:hAnsi="Times New Roman"/>
          <w:b w:val="0"/>
          <w:bCs w:val="0"/>
          <w:i w:val="0"/>
          <w:caps w:val="0"/>
          <w:smallCaps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 w:val="x-none"/>
        </w:rPr>
        <w:t>Міський голова                                                                                                                                                       Ігор САПОЖКО</w:t>
      </w:r>
    </w:p>
    <w:p>
      <w:pPr>
        <w:spacing w:beforeAutospacing="0" w:after="0" w:afterAutospacing="0"/>
        <w:jc w:val="center"/>
        <w:rPr>
          <w:rFonts w:ascii="Times New Roman" w:hAnsi="Times New Roman"/>
          <w:iCs/>
          <w:sz w:val="28"/>
          <w:szCs w:val="28"/>
        </w:rPr>
      </w:pPr>
      <w:permEnd w:id="1"/>
    </w:p>
    <w:sectPr>
      <w:headerReference w:type="default" r:id="rId4"/>
      <w:footerReference w:type="default" r:id="rId5"/>
      <w:type w:val="nextPage"/>
      <w:pgSz w:w="16838" w:h="11906" w:orient="landscape" w:code="0"/>
      <w:pgMar w:top="1701" w:right="678" w:bottom="1134" w:left="1276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  <w:lang w:val="ru-RU"/>
      </w:rPr>
      <w:t>#</w:t>
    </w:r>
    <w:r>
      <w:rPr>
        <w:rFonts w:ascii="Times New Roman" w:hAnsi="Times New Roman"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tabs>
        <w:tab w:val="center" w:pos="4819"/>
        <w:tab w:val="right" w:pos="9639"/>
      </w:tabs>
      <w:jc w:val="right"/>
      <w:rPr>
        <w:color w:val="7F7F7F" w:themeColor="text1" w:themeTint="80"/>
      </w:rPr>
    </w:pPr>
    <w:r>
      <w:rPr>
        <w:rFonts w:ascii="Antiqua" w:hAnsi="Antiqua"/>
        <w:color w:val="7F7F7F" w:themeColor="text1" w:themeTint="80"/>
        <w:sz w:val="28"/>
        <w:szCs w:val="20"/>
        <w:lang w:val="hr-HR" w:eastAsia="ru-RU"/>
      </w:rPr>
      <w:t>Продовження додатку</w:t>
    </w:r>
  </w:p>
  <w:p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eJ9u3QCZsWfq6oIVgRnC86qg8M9hLKc+p4FW86IF7NV3jLG8VDBDsi/aamHGXbWbmMHkEEHm4yBl&#10;RfpKbXazgg==&#10;" w:salt="s0Z0l3PK8cybMltMcfUA9w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/>
        <w:sz w:val="22"/>
        <w:szCs w:val="22"/>
        <w:lang w:val="uk-UA" w:eastAsia="uk-UA" w:bidi="ar-SA"/>
      </w:rPr>
    </w:rPrDefault>
    <w:pPrDefault>
      <w:pPr>
        <w:keepNext w:val="0"/>
        <w:keepLines w:val="0"/>
        <w:pageBreakBefore w:val="0"/>
        <w:widowControl/>
        <w:suppressLineNumbers w:val="0"/>
        <w:shd w:val="clear" w:color="auto" w:fill="auto"/>
        <w:suppressAutoHyphens w:val="0"/>
        <w:bidi w:val="0"/>
        <w:spacing w:before="0" w:beforeAutospacing="0" w:after="200" w:afterAutospacing="0" w:line="276" w:lineRule="auto"/>
        <w:ind w:left="0" w:right="0" w:firstLine="0"/>
        <w:contextualSpacing w:val="0"/>
        <w:jc w:val="left"/>
        <w:outlineLvl w:val="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  <w:style w:type="paragraph" w:styleId="Header">
    <w:name w:val="header"/>
    <w:basedOn w:val="Normal"/>
    <w:link w:val="a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paragraph" w:styleId="Footer">
    <w:name w:val="footer"/>
    <w:basedOn w:val="Normal"/>
    <w:link w:val="a0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a">
    <w:name w:val="Верхний колонтитул Знак"/>
    <w:basedOn w:val="DefaultParagraphFont"/>
    <w:link w:val="Header"/>
  </w:style>
  <w:style w:type="character" w:customStyle="1" w:styleId="a0">
    <w:name w:val="Нижний колонтитул Знак"/>
    <w:basedOn w:val="DefaultParagraphFont"/>
    <w:link w:val="Footer"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8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25.0002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ASKOD</cp:lastModifiedBy>
  <cp:revision>19</cp:revision>
  <dcterms:created xsi:type="dcterms:W3CDTF">2022-10-03T09:16:00Z</dcterms:created>
  <dcterms:modified xsi:type="dcterms:W3CDTF">2026-08-24T06:55:14Z</dcterms:modified>
</cp:coreProperties>
</file>