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pPr>
        <w:tabs>
          <w:tab w:val="left" w:pos="5610"/>
          <w:tab w:val="left" w:pos="6358"/>
        </w:tabs>
        <w:spacing w:beforeAutospacing="0" w:after="0" w:afterAutospacing="0"/>
        <w:ind w:left="5103"/>
        <w:jc w:val="center"/>
        <w:rPr>
          <w:rFonts w:ascii="Times New Roman" w:hAnsi="Times New Roman"/>
          <w:sz w:val="28"/>
          <w:szCs w:val="28"/>
        </w:rPr>
      </w:pPr>
      <w:permStart w:id="0" w:edGrp="everyone"/>
      <w:r>
        <w:rPr>
          <w:rFonts w:ascii="Times New Roman" w:hAnsi="Times New Roman"/>
          <w:sz w:val="28"/>
          <w:szCs w:val="28"/>
        </w:rPr>
        <w:t>Додаток</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mallCaps w:val="0"/>
          <w:snapToGrid/>
          <w:spacing w:val="0"/>
          <w:w w:val="100"/>
          <w:position w:val="0"/>
          <w:sz w:val="28"/>
          <w:szCs w:val="22"/>
          <w:cs w:val="0"/>
        </w:rPr>
        <w:t>ЗАТВЕРДЖЕНО</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z w:val="28"/>
          <w:szCs w:val="28"/>
        </w:rPr>
        <w:t>Рішення виконавчого комітету Броварської міської ради</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z w:val="28"/>
          <w:szCs w:val="28"/>
        </w:rPr>
        <w:t>Броварського району</w:t>
      </w:r>
    </w:p>
    <w:p>
      <w:pPr>
        <w:tabs>
          <w:tab w:val="left" w:pos="5610"/>
          <w:tab w:val="left" w:pos="6358"/>
        </w:tabs>
        <w:spacing w:beforeAutospacing="0" w:after="0" w:afterAutospacing="0"/>
        <w:ind w:left="5103"/>
        <w:jc w:val="center"/>
        <w:rPr>
          <w:rFonts w:ascii="Times New Roman" w:hAnsi="Times New Roman"/>
          <w:sz w:val="28"/>
          <w:szCs w:val="28"/>
        </w:rPr>
      </w:pPr>
      <w:r>
        <w:rPr>
          <w:rFonts w:ascii="Times New Roman" w:hAnsi="Times New Roman"/>
          <w:sz w:val="28"/>
          <w:szCs w:val="28"/>
        </w:rPr>
        <w:t>Київської області</w:t>
      </w:r>
    </w:p>
    <w:p>
      <w:pPr>
        <w:tabs>
          <w:tab w:val="left" w:pos="5610"/>
          <w:tab w:val="left" w:pos="6358"/>
        </w:tabs>
        <w:spacing w:beforeAutospacing="0" w:after="0" w:afterAutospacing="0"/>
        <w:ind w:left="5103"/>
        <w:jc w:val="center"/>
        <w:rPr>
          <w:rFonts w:ascii="Times New Roman" w:hAnsi="Times New Roman"/>
          <w:sz w:val="28"/>
          <w:szCs w:val="28"/>
        </w:rPr>
      </w:pPr>
      <w:permEnd w:id="0"/>
      <w:r>
        <w:rPr>
          <w:rFonts w:ascii="Times New Roman" w:hAnsi="Times New Roman"/>
          <w:sz w:val="28"/>
          <w:szCs w:val="28"/>
        </w:rPr>
        <w:t xml:space="preserve">від </w:t>
      </w:r>
      <w:r>
        <w:rPr>
          <w:rFonts w:ascii="Times New Roman" w:hAnsi="Times New Roman"/>
          <w:sz w:val="28"/>
          <w:szCs w:val="28"/>
        </w:rPr>
        <w:t>25.08.2026</w:t>
      </w:r>
      <w:r>
        <w:rPr>
          <w:rFonts w:ascii="Times New Roman" w:hAnsi="Times New Roman"/>
          <w:sz w:val="28"/>
          <w:szCs w:val="28"/>
        </w:rPr>
        <w:t xml:space="preserve"> № </w:t>
      </w:r>
      <w:r>
        <w:rPr>
          <w:rFonts w:ascii="Times New Roman" w:hAnsi="Times New Roman"/>
          <w:sz w:val="28"/>
          <w:szCs w:val="28"/>
        </w:rPr>
        <w:t>1028</w:t>
      </w:r>
    </w:p>
    <w:p>
      <w:pPr>
        <w:spacing w:beforeAutospacing="0" w:after="0" w:afterAutospacing="0"/>
        <w:rPr>
          <w:rFonts w:ascii="Times New Roman" w:hAnsi="Times New Roman"/>
          <w:sz w:val="28"/>
          <w:szCs w:val="28"/>
        </w:rPr>
      </w:pP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permStart w:id="1" w:edGrp="everyone"/>
      <w:r>
        <w:rPr>
          <w:rFonts w:ascii="Times New Roman" w:hAnsi="Times New Roman"/>
          <w:b/>
          <w:bCs w:val="0"/>
          <w:i w:val="0"/>
          <w:caps w:val="0"/>
          <w:smallCaps w:val="0"/>
          <w:noProof w:val="0"/>
          <w:vanish w:val="0"/>
          <w:color w:val="auto"/>
          <w:sz w:val="28"/>
          <w:u w:val="none"/>
          <w:shd w:val="clear" w:color="auto" w:fill="auto"/>
          <w:vertAlign w:val="baseline"/>
          <w:lang w:val="x-none"/>
        </w:rPr>
        <w:t xml:space="preserve">СЕРЕДНЬОСТРОКОВИЙ ПЛАН </w:t>
      </w: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ПРІОРИТЕТНИХ ПУБЛІЧНИХ ІНВЕСТИЦІЙ</w:t>
      </w: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 xml:space="preserve">БРОВАРСЬКОЇ МІСЬКОЇ ТЕРИТОРІАЛЬНОЇ ГРОМАДИ </w:t>
      </w: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 xml:space="preserve">НА 2027 - 2029 РОКИ </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 xml:space="preserve">Загальна частина </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Середньостроковий план пріоритетних публічних інвестицій Броварської міської територіальної громади (далі - Середньостроковий план) розроблено відповідно до статтей 33</w:t>
      </w:r>
      <w:r>
        <w:rPr>
          <w:rFonts w:ascii="Times New Roman" w:hAnsi="Times New Roman"/>
          <w:b w:val="0"/>
          <w:bCs w:val="0"/>
          <w:i w:val="0"/>
          <w:caps w:val="0"/>
          <w:smallCaps w:val="0"/>
          <w:noProof w:val="0"/>
          <w:vanish w:val="0"/>
          <w:color w:val="auto"/>
          <w:sz w:val="28"/>
          <w:u w:val="none"/>
          <w:shd w:val="clear" w:color="auto" w:fill="auto"/>
          <w:vertAlign w:val="superscript"/>
          <w:lang w:val="x-none"/>
        </w:rPr>
        <w:t>1</w:t>
      </w:r>
      <w:r>
        <w:rPr>
          <w:rFonts w:ascii="Times New Roman" w:hAnsi="Times New Roman"/>
          <w:b w:val="0"/>
          <w:bCs w:val="0"/>
          <w:i w:val="0"/>
          <w:caps w:val="0"/>
          <w:smallCaps w:val="0"/>
          <w:noProof w:val="0"/>
          <w:vanish w:val="0"/>
          <w:color w:val="auto"/>
          <w:sz w:val="28"/>
          <w:u w:val="none"/>
          <w:shd w:val="clear" w:color="auto" w:fill="auto"/>
          <w:vertAlign w:val="baseline"/>
          <w:lang w:val="x-none"/>
        </w:rPr>
        <w:t>, 75</w:t>
      </w:r>
      <w:r>
        <w:rPr>
          <w:rFonts w:ascii="Times New Roman" w:hAnsi="Times New Roman"/>
          <w:b w:val="0"/>
          <w:bCs w:val="0"/>
          <w:i w:val="0"/>
          <w:caps w:val="0"/>
          <w:smallCaps w:val="0"/>
          <w:noProof w:val="0"/>
          <w:vanish w:val="0"/>
          <w:color w:val="auto"/>
          <w:sz w:val="28"/>
          <w:u w:val="none"/>
          <w:shd w:val="clear" w:color="auto" w:fill="auto"/>
          <w:vertAlign w:val="superscript"/>
          <w:lang w:val="x-none"/>
        </w:rPr>
        <w:t>2</w:t>
      </w: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 Бюджетного кодексу України та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 (зі змінами).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Середньостроковий план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проектах (далі - проект) та програмах публічних інвестицій (далі - програма).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Середньостроковий план визначає: </w:t>
      </w:r>
    </w:p>
    <w:p>
      <w:pPr>
        <w:widowControl/>
        <w:numPr>
          <w:ilvl w:val="0"/>
          <w:numId w:val="1"/>
        </w:numPr>
        <w:tabs>
          <w:tab w:val="left" w:pos="0"/>
        </w:tabs>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здійснення публічних інвестицій відповідно до стратегічних цілей розвитку Броварської міської територіальної громади до 2027 року; </w:t>
      </w:r>
    </w:p>
    <w:p>
      <w:pPr>
        <w:widowControl/>
        <w:numPr>
          <w:ilvl w:val="0"/>
          <w:numId w:val="1"/>
        </w:numPr>
        <w:tabs>
          <w:tab w:val="left" w:pos="0"/>
        </w:tabs>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пріоритетні галузі (сектори) для публічного інвестування;</w:t>
      </w:r>
    </w:p>
    <w:p>
      <w:pPr>
        <w:widowControl/>
        <w:numPr>
          <w:ilvl w:val="0"/>
          <w:numId w:val="1"/>
        </w:numPr>
        <w:tabs>
          <w:tab w:val="left" w:pos="0"/>
        </w:tabs>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основні напрями публічного інвестування, у тому числі: за діючими проектами та програмами, відповідний орієнтовний розподіл коштів за рахунок різних джерел фінансування;</w:t>
      </w:r>
    </w:p>
    <w:p>
      <w:pPr>
        <w:widowControl/>
        <w:numPr>
          <w:ilvl w:val="0"/>
          <w:numId w:val="1"/>
        </w:numPr>
        <w:tabs>
          <w:tab w:val="left" w:pos="0"/>
        </w:tabs>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підсектори галузей (секторів) для публічного інвестування.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Сфера дії Середньострокового плану включає публічні інвестиції, що спрямовані на реалізацію проектів та програм. </w:t>
      </w:r>
    </w:p>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36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Описова частина</w:t>
      </w:r>
    </w:p>
    <w:p>
      <w:pPr>
        <w:widowControl/>
        <w:bidi w:val="0"/>
        <w:spacing w:beforeAutospacing="0" w:after="0" w:afterAutospacing="0" w:line="240" w:lineRule="auto"/>
        <w:ind w:left="360" w:right="0"/>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Середньостроковий план розроблено управлінням економіки та інвестицій виконавчого комітету Броварської міської ради Броварського району Київської області на підставі пропозицій розпорядників коштів відповідно до цілей і завдань, визначених Стратегією розвитку Броварської міської територіальної громади до 2027 року, яка затверджена рішенням Броварської міської ради Броварського району Київської області від 31.07.2025 № 2203-96-08, у межах орієнтовного граничного сукупного обсягу публічних інвестицій на середньостроковий період, доведеного фінансовим управлінням Броварської міської ради Броварського району Київської області. </w:t>
      </w:r>
    </w:p>
    <w:p>
      <w:pPr>
        <w:widowControl/>
        <w:bidi w:val="0"/>
        <w:spacing w:beforeAutospacing="0" w:after="0" w:afterAutospacing="0" w:line="240" w:lineRule="auto"/>
        <w:ind w:left="360" w:right="0"/>
        <w:jc w:val="center"/>
        <w:rPr>
          <w:rFonts w:ascii="Times New Roman" w:hAnsi="Times New Roman"/>
          <w:sz w:val="28"/>
          <w:szCs w:val="28"/>
        </w:rPr>
      </w:pPr>
    </w:p>
    <w:p>
      <w:pPr>
        <w:widowControl/>
        <w:bidi w:val="0"/>
        <w:spacing w:beforeAutospacing="0" w:after="0" w:afterAutospacing="0" w:line="240" w:lineRule="auto"/>
        <w:ind w:left="36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Наскрізні стратегічні цілі здійснення публічних інвестицій</w:t>
      </w:r>
    </w:p>
    <w:p>
      <w:pPr>
        <w:widowControl/>
        <w:bidi w:val="0"/>
        <w:spacing w:beforeAutospacing="0" w:after="0" w:afterAutospacing="0" w:line="240" w:lineRule="auto"/>
        <w:ind w:left="360" w:right="0"/>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На 2027-2029 роки наскрізними стратегічними цілями є енергоефективність, цифровізація, реагування на зміни клімату, гендерна рівність та безбар’єрність (у разі можливості їх застосування).</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Реалізація наскрізних стратегічних цілей відбувається з урахуванням стратегічних цілей громади: відновлення та розвиток людського потенціалу, створення безпечних та комфортних умов для життя мешканців громади, наближення до європейських стандартів та підвищення конкурентоспроможності економіки громади.</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Стратегічні цілі мають ключове значення для досягнення сталого розвитку громади.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безбар’єрності, доступності для всіх категорій населення, включаючи осіб з інвалідністю, осіб з різними функціональними порушеннями, а також людей похилого віку, незалежно від їх статі та соціального статусу. </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 xml:space="preserve">Пріоритетні галузі (сектори) для публічного інвестування </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Пріоритетні галузі (сектори) для публічного інвестування, що містяться в Середньостроковому плані є ключовими для Броварської міської територіальної громади, які спрямовуються на середньостроковий період.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До пріоритетних галузей (секторів) для публічного інвестування у 2027-2029 роках належать: </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Муніципальна інфраструктура та послуги;</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Житло;</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Транспорт та послуги поштового зв’язку;</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Освіта і наука;</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Охорона здоров’я;</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Культура та інформація;</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Спорт, фізичне та молодіжне виховання;</w:t>
      </w:r>
    </w:p>
    <w:p>
      <w:pPr>
        <w:widowControl/>
        <w:numPr>
          <w:ilvl w:val="0"/>
          <w:numId w:val="2"/>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Соціальна сфера.</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З метою досягнення стратегічних цілей розвитку Броварської міської територіальної громади та забезпечення реалізації завдань, спрямованих на відновлення інфраструктури, стимулювання соціально-економічного розвитку і покращення якості життя громадян протягом 2027-2029 років Середньостроковим планом пропонується визначити 8 ключових секторів (галузей) для публічного інвестування. </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Підсектори галузей (секторів) для публічного інвестування</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Підсектори галузей (секторів) для публічного інвестування визначають конкретні сфери діяльності, що потребують фінансування, що дозволяє деталізувати пріоритети та оптимізувати використання місцевих коштів.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У межах кожної пріоритетної галузі (сектора) для публічного інвестування формуються підсектори, що відображають ключові напрями розвитку, які потребують залучення публічних інвестицій.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Перелік підсекторів галузей (секторів) для публічного інвестування визначено відповідно до напрямків Стратегії розвитку Броварської міської територіальної громади до 2027 року, що зазначені у Додатку до Середньострокового плану. </w:t>
      </w:r>
    </w:p>
    <w:p>
      <w:pPr>
        <w:widowControl/>
        <w:bidi w:val="0"/>
        <w:spacing w:beforeAutospacing="0" w:after="0" w:afterAutospacing="0" w:line="240" w:lineRule="auto"/>
        <w:ind w:left="0" w:right="0" w:firstLine="567"/>
        <w:jc w:val="center"/>
        <w:rPr>
          <w:rFonts w:ascii="Times New Roman" w:hAnsi="Times New Roman"/>
          <w:sz w:val="28"/>
          <w:szCs w:val="28"/>
        </w:rPr>
      </w:pPr>
    </w:p>
    <w:p>
      <w:pPr>
        <w:widowControl/>
        <w:bidi w:val="0"/>
        <w:spacing w:beforeAutospacing="0" w:after="0" w:afterAutospacing="0" w:line="240" w:lineRule="auto"/>
        <w:ind w:left="0" w:right="0" w:firstLine="567"/>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Основні напрями публічного інвестування</w:t>
      </w:r>
    </w:p>
    <w:p>
      <w:pPr>
        <w:widowControl/>
        <w:bidi w:val="0"/>
        <w:spacing w:beforeAutospacing="0" w:after="0" w:afterAutospacing="0" w:line="240" w:lineRule="auto"/>
        <w:ind w:left="0" w:right="0" w:firstLine="567"/>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Основні напрями публічного інвестування узгоджуються із оперативними цілями Стратегії розвитку Броварської міської територіальної громади до                  2027 року та мають найвищий рівень пріоритетності серед інших напрямів відповідної галузі (сектора) для отримання фінансування.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Формування основних напрямів публічного інвестування здійснюється управлінням економіки та інвестицій виконавчого комітету Броварської міської ради Броварського району Київської області на основі пропозицій управлінь та відділів Броварської міської ради Броварського району Київської області, визначених Стратегією розвитку Броварської міської територіальної громади до 2027 року.</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Напрям публічного інвестування визначає сферу діяльності громади у межах відповідної галузі (сектору) для публічного інвестування, в яку спрямовуються публічні кошти для подальшої підготовки та реалізації проектів та/або програм з метою досягнення відповідного завдання документа стратегічного планування.</w:t>
      </w:r>
    </w:p>
    <w:p>
      <w:pPr>
        <w:widowControl/>
        <w:bidi w:val="0"/>
        <w:spacing w:beforeAutospacing="0" w:after="0" w:afterAutospacing="0" w:line="240" w:lineRule="auto"/>
        <w:ind w:left="0" w:right="0"/>
        <w:jc w:val="left"/>
        <w:rPr>
          <w:rFonts w:ascii="Times New Roman" w:hAnsi="Times New Roman"/>
          <w:sz w:val="28"/>
          <w:szCs w:val="28"/>
        </w:rPr>
      </w:pP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Фінансова структура публічних інвестицій</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Орієнтовний граничний сукупний обсяг публічних інвестицій на                     2027 – 2029 роки в розрізі джерел фінансового забезпечення та за роками становить: </w:t>
      </w:r>
    </w:p>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0" w:right="0" w:firstLine="567"/>
        <w:jc w:val="righ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 xml:space="preserve">Грн. </w:t>
      </w:r>
    </w:p>
    <w:tbl>
      <w:tblPr>
        <w:tblW w:w="9632" w:type="dxa"/>
        <w:tblInd w:w="0" w:type="dxa"/>
        <w:shd w:val="clear" w:color="auto" w:fill="FFFFFF"/>
        <w:tblLayout w:type="fixed"/>
        <w:tblCellMar>
          <w:top w:w="0" w:type="dxa"/>
          <w:bottom w:w="0" w:type="dxa"/>
        </w:tblCellMar>
        <w:tblLook w:val="04A0"/>
      </w:tblPr>
      <w:tblGrid>
        <w:gridCol w:w="2101"/>
        <w:gridCol w:w="2006"/>
        <w:gridCol w:w="2019"/>
        <w:gridCol w:w="1485"/>
        <w:gridCol w:w="2021"/>
      </w:tblGrid>
      <w:tr>
        <w:tblPrEx>
          <w:tblW w:w="9632" w:type="dxa"/>
          <w:tblInd w:w="0" w:type="dxa"/>
          <w:shd w:val="clear" w:color="auto" w:fill="FFFFFF"/>
          <w:tblLayout w:type="fixed"/>
          <w:tblLook w:val="04A0"/>
        </w:tblPrEx>
        <w:tc>
          <w:tcPr>
            <w:tcW w:w="2101"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Показник</w:t>
            </w:r>
          </w:p>
        </w:tc>
        <w:tc>
          <w:tcPr>
            <w:tcW w:w="2006"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2027 рік (прогноз)</w:t>
            </w:r>
          </w:p>
        </w:tc>
        <w:tc>
          <w:tcPr>
            <w:tcW w:w="2019"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2028 рік (прогноз)</w:t>
            </w:r>
          </w:p>
        </w:tc>
        <w:tc>
          <w:tcPr>
            <w:tcW w:w="1485"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2029 рік (прогноз)</w:t>
            </w:r>
          </w:p>
        </w:tc>
        <w:tc>
          <w:tcPr>
            <w:tcW w:w="2021"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Разом 2027-2029 роки (прогноз)</w:t>
            </w:r>
          </w:p>
        </w:tc>
      </w:tr>
      <w:tr>
        <w:tblPrEx>
          <w:tblW w:w="9632" w:type="dxa"/>
          <w:tblInd w:w="0" w:type="dxa"/>
          <w:shd w:val="clear" w:color="auto" w:fill="FFFFFF"/>
          <w:tblLayout w:type="fixed"/>
          <w:tblLook w:val="04A0"/>
        </w:tblPrEx>
        <w:tc>
          <w:tcPr>
            <w:tcW w:w="2101"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Місцевий бюджет</w:t>
            </w:r>
          </w:p>
        </w:tc>
        <w:tc>
          <w:tcPr>
            <w:tcW w:w="2006"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200 000 000</w:t>
            </w:r>
          </w:p>
        </w:tc>
        <w:tc>
          <w:tcPr>
            <w:tcW w:w="2019"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200 000 000</w:t>
            </w:r>
          </w:p>
        </w:tc>
        <w:tc>
          <w:tcPr>
            <w:tcW w:w="1485"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200 000 000</w:t>
            </w:r>
          </w:p>
        </w:tc>
        <w:tc>
          <w:tcPr>
            <w:tcW w:w="2021"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600 000 000</w:t>
            </w:r>
          </w:p>
        </w:tc>
      </w:tr>
      <w:tr>
        <w:tblPrEx>
          <w:tblW w:w="9632" w:type="dxa"/>
          <w:tblInd w:w="0" w:type="dxa"/>
          <w:shd w:val="clear" w:color="auto" w:fill="FFFFFF"/>
          <w:tblLayout w:type="fixed"/>
          <w:tblLook w:val="04A0"/>
        </w:tblPrEx>
        <w:tc>
          <w:tcPr>
            <w:tcW w:w="2101"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Державний бюджет</w:t>
            </w:r>
          </w:p>
        </w:tc>
        <w:tc>
          <w:tcPr>
            <w:tcW w:w="2006"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186 643 815,25</w:t>
            </w:r>
          </w:p>
        </w:tc>
        <w:tc>
          <w:tcPr>
            <w:tcW w:w="2019"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42 296 283,75</w:t>
            </w:r>
          </w:p>
        </w:tc>
        <w:tc>
          <w:tcPr>
            <w:tcW w:w="1485"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18 500 000</w:t>
            </w:r>
          </w:p>
        </w:tc>
        <w:tc>
          <w:tcPr>
            <w:tcW w:w="2021"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247 440 099</w:t>
            </w:r>
          </w:p>
        </w:tc>
      </w:tr>
      <w:tr>
        <w:tblPrEx>
          <w:tblW w:w="9632" w:type="dxa"/>
          <w:tblInd w:w="0" w:type="dxa"/>
          <w:shd w:val="clear" w:color="auto" w:fill="FFFFFF"/>
          <w:tblLayout w:type="fixed"/>
          <w:tblLook w:val="04A0"/>
        </w:tblPrEx>
        <w:tc>
          <w:tcPr>
            <w:tcW w:w="2101"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Кошти, не заборонені чинним законодавством України</w:t>
            </w:r>
          </w:p>
        </w:tc>
        <w:tc>
          <w:tcPr>
            <w:tcW w:w="2006"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1 767 715 464,12</w:t>
            </w:r>
          </w:p>
        </w:tc>
        <w:tc>
          <w:tcPr>
            <w:tcW w:w="2019"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866 698 752,95</w:t>
            </w:r>
          </w:p>
        </w:tc>
        <w:tc>
          <w:tcPr>
            <w:tcW w:w="1485"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737 483 873</w:t>
            </w:r>
          </w:p>
        </w:tc>
        <w:tc>
          <w:tcPr>
            <w:tcW w:w="2021"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3 371 898 090,07</w:t>
            </w:r>
          </w:p>
        </w:tc>
      </w:tr>
      <w:tr>
        <w:tblPrEx>
          <w:tblW w:w="9632" w:type="dxa"/>
          <w:tblInd w:w="0" w:type="dxa"/>
          <w:shd w:val="clear" w:color="auto" w:fill="FFFFFF"/>
          <w:tblLayout w:type="fixed"/>
          <w:tblLook w:val="04A0"/>
        </w:tblPrEx>
        <w:tc>
          <w:tcPr>
            <w:tcW w:w="2101"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РАЗОМ</w:t>
            </w:r>
          </w:p>
        </w:tc>
        <w:tc>
          <w:tcPr>
            <w:tcW w:w="2006" w:type="dxa"/>
            <w:tcBorders>
              <w:top w:val="single" w:sz="4" w:space="0" w:color="auto"/>
              <w:left w:val="single" w:sz="4" w:space="0" w:color="auto"/>
              <w:bottom w:val="single" w:sz="4" w:space="0" w:color="auto"/>
              <w:right w:val="single" w:sz="4" w:space="0" w:color="auto"/>
            </w:tcBorders>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2 154 359 279,37</w:t>
            </w:r>
          </w:p>
        </w:tc>
        <w:tc>
          <w:tcPr>
            <w:tcW w:w="2019" w:type="dxa"/>
            <w:tcBorders>
              <w:top w:val="single" w:sz="4" w:space="0" w:color="auto"/>
              <w:left w:val="single" w:sz="4" w:space="0" w:color="auto"/>
              <w:bottom w:val="single" w:sz="4" w:space="0" w:color="auto"/>
              <w:right w:val="single" w:sz="4" w:space="0" w:color="auto"/>
            </w:tcBorders>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1 108 995 036,70</w:t>
            </w:r>
          </w:p>
        </w:tc>
        <w:tc>
          <w:tcPr>
            <w:tcW w:w="1485" w:type="dxa"/>
            <w:tcBorders>
              <w:top w:val="single" w:sz="4" w:space="0" w:color="auto"/>
              <w:left w:val="single" w:sz="4" w:space="0" w:color="auto"/>
              <w:bottom w:val="single" w:sz="4" w:space="0" w:color="auto"/>
              <w:right w:val="single" w:sz="4" w:space="0" w:color="auto"/>
            </w:tcBorders>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955 983 873</w:t>
            </w:r>
          </w:p>
        </w:tc>
        <w:tc>
          <w:tcPr>
            <w:tcW w:w="2021" w:type="dxa"/>
            <w:tcBorders>
              <w:top w:val="single" w:sz="4" w:space="0" w:color="auto"/>
              <w:left w:val="single" w:sz="4" w:space="0" w:color="auto"/>
              <w:bottom w:val="single" w:sz="4" w:space="0" w:color="auto"/>
              <w:right w:val="single" w:sz="4" w:space="0" w:color="auto"/>
            </w:tcBorders>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4 219 338 189,07</w:t>
            </w:r>
          </w:p>
        </w:tc>
      </w:tr>
    </w:tbl>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Розподіл орієнтовного граничного сукупного обсягу публічних інвестицій у розрізі галузей (секторів) на 2027 - 2029 роки, доведеного фінансовим управлінням Броварської міської ради Броварського району Київської області, у межах орієнтовного граничного сукупного обсягу публічних інвестицій на середньостроковий період має таку структуру:</w:t>
      </w:r>
    </w:p>
    <w:p>
      <w:pPr>
        <w:widowControl/>
        <w:bidi w:val="0"/>
        <w:spacing w:beforeAutospacing="0" w:after="0" w:afterAutospacing="0" w:line="240" w:lineRule="auto"/>
        <w:ind w:left="0" w:right="0" w:firstLine="567"/>
        <w:jc w:val="both"/>
        <w:rPr>
          <w:rFonts w:ascii="Times New Roman" w:hAnsi="Times New Roman"/>
          <w:sz w:val="28"/>
          <w:szCs w:val="28"/>
        </w:rPr>
      </w:pPr>
    </w:p>
    <w:p>
      <w:pPr>
        <w:widowControl/>
        <w:bidi w:val="0"/>
        <w:spacing w:beforeAutospacing="0" w:after="0" w:afterAutospacing="0" w:line="240" w:lineRule="auto"/>
        <w:ind w:left="0" w:right="0" w:firstLine="567"/>
        <w:jc w:val="right"/>
        <w:rPr>
          <w:rFonts w:ascii="Times New Roman" w:hAnsi="Times New Roman"/>
          <w:b w:val="0"/>
          <w:bCs w:val="0"/>
          <w:i w:val="0"/>
          <w:caps w:val="0"/>
          <w:smallCaps w:val="0"/>
          <w:noProof w:val="0"/>
          <w:vanish w:val="0"/>
          <w:color w:val="auto"/>
          <w:sz w:val="26"/>
          <w:u w:val="none"/>
          <w:shd w:val="clear" w:color="auto" w:fill="auto"/>
          <w:vertAlign w:val="baseline"/>
          <w:lang w:val="x-none"/>
        </w:rPr>
      </w:pPr>
      <w:r>
        <w:rPr>
          <w:rFonts w:ascii="Times New Roman" w:hAnsi="Times New Roman"/>
          <w:b w:val="0"/>
          <w:bCs w:val="0"/>
          <w:i w:val="0"/>
          <w:caps w:val="0"/>
          <w:smallCaps w:val="0"/>
          <w:noProof w:val="0"/>
          <w:vanish w:val="0"/>
          <w:color w:val="auto"/>
          <w:sz w:val="26"/>
          <w:u w:val="none"/>
          <w:shd w:val="clear" w:color="auto" w:fill="auto"/>
          <w:vertAlign w:val="baseline"/>
          <w:lang w:val="x-none"/>
        </w:rPr>
        <w:t xml:space="preserve">Грн. </w:t>
      </w:r>
    </w:p>
    <w:tbl>
      <w:tblPr>
        <w:tblW w:w="0" w:type="auto"/>
        <w:tblInd w:w="0" w:type="dxa"/>
        <w:shd w:val="clear" w:color="auto" w:fill="FFFFFF"/>
        <w:tblCellMar>
          <w:top w:w="0" w:type="dxa"/>
          <w:bottom w:w="0" w:type="dxa"/>
        </w:tblCellMar>
        <w:tblLook w:val="04A0"/>
      </w:tblPr>
      <w:tblGrid>
        <w:gridCol w:w="1544"/>
        <w:gridCol w:w="1224"/>
        <w:gridCol w:w="1225"/>
        <w:gridCol w:w="1225"/>
        <w:gridCol w:w="1982"/>
      </w:tblGrid>
      <w:tr>
        <w:tblPrEx>
          <w:tblW w:w="0" w:type="auto"/>
          <w:tblInd w:w="0" w:type="dxa"/>
          <w:shd w:val="clear" w:color="auto" w:fill="FFFFFF"/>
          <w:tblLook w:val="04A0"/>
        </w:tblPrEx>
        <w:tc>
          <w:tcPr>
            <w:tcW w:w="1946"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Галузь (сектор)</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Граничний розподіл на 2027 рік</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Граничний розподіл на 2028 рік</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Граничний розподіл на 2029 рік</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Граничний розподіл на середньостроковий період</w:t>
            </w:r>
          </w:p>
        </w:tc>
      </w:tr>
      <w:tr>
        <w:tblPrEx>
          <w:tblW w:w="0" w:type="auto"/>
          <w:tblInd w:w="0" w:type="dxa"/>
          <w:shd w:val="clear" w:color="auto" w:fill="FFFFFF"/>
          <w:tblLook w:val="04A0"/>
        </w:tblPrEx>
        <w:trPr>
          <w:trHeight w:val="917"/>
        </w:trPr>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Муніципальна інфраструктура та послуги</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58 273 735</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101 863 000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64 000 000</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224 136 735</w:t>
            </w:r>
          </w:p>
        </w:tc>
      </w:tr>
      <w:tr>
        <w:tblPrEx>
          <w:tblW w:w="0" w:type="auto"/>
          <w:tblInd w:w="0" w:type="dxa"/>
          <w:shd w:val="clear" w:color="auto" w:fill="FFFFFF"/>
          <w:tblLook w:val="04A0"/>
        </w:tblPrEx>
        <w:trPr>
          <w:trHeight w:val="476"/>
        </w:trPr>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Житло</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2 000 000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2 000 000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3 000 000</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7 000 000</w:t>
            </w:r>
          </w:p>
        </w:tc>
      </w:tr>
      <w:tr>
        <w:tblPrEx>
          <w:tblW w:w="0" w:type="auto"/>
          <w:tblInd w:w="0" w:type="dxa"/>
          <w:shd w:val="clear" w:color="auto" w:fill="FFFFFF"/>
          <w:tblLook w:val="04A0"/>
        </w:tblPrEx>
        <w:trPr>
          <w:trHeight w:val="540"/>
        </w:trPr>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Транспорт та послуги поштового зв’язку</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10 000 000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3 000 000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40 000 000</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53 000 000</w:t>
            </w:r>
          </w:p>
        </w:tc>
      </w:tr>
      <w:tr>
        <w:tblPrEx>
          <w:tblW w:w="0" w:type="auto"/>
          <w:tblInd w:w="0" w:type="dxa"/>
          <w:shd w:val="clear" w:color="auto" w:fill="FFFFFF"/>
          <w:tblLook w:val="04A0"/>
        </w:tblPrEx>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Освіта і наука</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72 987 000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84 387 000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93 000 000</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250 374 000</w:t>
            </w:r>
          </w:p>
        </w:tc>
      </w:tr>
      <w:tr>
        <w:tblPrEx>
          <w:tblW w:w="0" w:type="auto"/>
          <w:tblInd w:w="0" w:type="dxa"/>
          <w:shd w:val="clear" w:color="auto" w:fill="FFFFFF"/>
          <w:tblLook w:val="04A0"/>
        </w:tblPrEx>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Охорона здоров’я</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47 500 000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7 750 000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55 250 000</w:t>
            </w:r>
          </w:p>
        </w:tc>
      </w:tr>
      <w:tr>
        <w:tblPrEx>
          <w:tblW w:w="0" w:type="auto"/>
          <w:tblInd w:w="0" w:type="dxa"/>
          <w:shd w:val="clear" w:color="auto" w:fill="FFFFFF"/>
          <w:tblLook w:val="04A0"/>
        </w:tblPrEx>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 xml:space="preserve">Культура </w:t>
            </w:r>
            <w:r>
              <w:rPr>
                <w:rFonts w:ascii="Times New Roman" w:hAnsi="Times New Roman"/>
                <w:b w:val="0"/>
                <w:bCs w:val="0"/>
                <w:i w:val="0"/>
                <w:caps w:val="0"/>
                <w:smallCaps w:val="0"/>
                <w:noProof w:val="0"/>
                <w:vanish w:val="0"/>
                <w:color w:val="auto"/>
                <w:sz w:val="25"/>
                <w:u w:val="none"/>
                <w:shd w:val="clear" w:color="auto" w:fill="auto"/>
                <w:vertAlign w:val="baseline"/>
                <w:lang w:val="x-none"/>
              </w:rPr>
              <w:t>т</w:t>
            </w:r>
            <w:r>
              <w:rPr>
                <w:rFonts w:ascii="Times New Roman" w:hAnsi="Times New Roman"/>
                <w:b w:val="0"/>
                <w:bCs w:val="0"/>
                <w:i w:val="0"/>
                <w:caps w:val="0"/>
                <w:smallCaps w:val="0"/>
                <w:noProof w:val="0"/>
                <w:vanish w:val="0"/>
                <w:color w:val="auto"/>
                <w:sz w:val="25"/>
                <w:u w:val="none"/>
                <w:shd w:val="clear" w:color="auto" w:fill="auto"/>
                <w:vertAlign w:val="baseline"/>
                <w:lang w:val="x-none"/>
              </w:rPr>
              <w:t>а інформація</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r>
      <w:tr>
        <w:tblPrEx>
          <w:tblW w:w="0" w:type="auto"/>
          <w:tblInd w:w="0" w:type="dxa"/>
          <w:shd w:val="clear" w:color="auto" w:fill="FFFFFF"/>
          <w:tblLook w:val="04A0"/>
        </w:tblPrEx>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Спорт, фізичне та молодіжне виховання</w:t>
            </w:r>
          </w:p>
        </w:tc>
        <w:tc>
          <w:tcPr>
            <w:tcW w:w="1682"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1 000 000</w:t>
            </w:r>
          </w:p>
        </w:tc>
        <w:tc>
          <w:tcPr>
            <w:tcW w:w="1683"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1 000 000</w:t>
            </w:r>
          </w:p>
        </w:tc>
        <w:tc>
          <w:tcPr>
            <w:tcW w:w="1683"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c>
          <w:tcPr>
            <w:tcW w:w="2494" w:type="dxa"/>
            <w:tcBorders>
              <w:top w:val="single" w:sz="4" w:space="0" w:color="auto"/>
              <w:left w:val="single" w:sz="4" w:space="0" w:color="auto"/>
              <w:bottom w:val="single" w:sz="4" w:space="0" w:color="auto"/>
              <w:right w:val="single" w:sz="4" w:space="0" w:color="auto"/>
            </w:tcBorders>
            <w:vAlign w:val="center"/>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2 000 000</w:t>
            </w:r>
          </w:p>
        </w:tc>
      </w:tr>
      <w:tr>
        <w:tblPrEx>
          <w:tblW w:w="0" w:type="auto"/>
          <w:tblInd w:w="0" w:type="dxa"/>
          <w:shd w:val="clear" w:color="auto" w:fill="FFFFFF"/>
          <w:tblLook w:val="04A0"/>
        </w:tblPrEx>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val="0"/>
                <w:bCs w:val="0"/>
                <w:i w:val="0"/>
                <w:caps w:val="0"/>
                <w:smallCaps w:val="0"/>
                <w:noProof w:val="0"/>
                <w:vanish w:val="0"/>
                <w:color w:val="auto"/>
                <w:sz w:val="25"/>
                <w:u w:val="none"/>
                <w:shd w:val="clear" w:color="auto" w:fill="auto"/>
                <w:vertAlign w:val="baseline"/>
                <w:lang w:val="x-none"/>
              </w:rPr>
            </w:pPr>
            <w:r>
              <w:rPr>
                <w:rFonts w:ascii="Times New Roman" w:hAnsi="Times New Roman"/>
                <w:b w:val="0"/>
                <w:bCs w:val="0"/>
                <w:i w:val="0"/>
                <w:caps w:val="0"/>
                <w:smallCaps w:val="0"/>
                <w:noProof w:val="0"/>
                <w:vanish w:val="0"/>
                <w:color w:val="auto"/>
                <w:sz w:val="25"/>
                <w:u w:val="none"/>
                <w:shd w:val="clear" w:color="auto" w:fill="auto"/>
                <w:vertAlign w:val="baseline"/>
                <w:lang w:val="x-none"/>
              </w:rPr>
              <w:t>Соціальна сфера</w:t>
            </w:r>
          </w:p>
        </w:tc>
        <w:tc>
          <w:tcPr>
            <w:tcW w:w="1682"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8 239 265</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c>
          <w:tcPr>
            <w:tcW w:w="1683"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0,00</w:t>
            </w:r>
          </w:p>
        </w:tc>
        <w:tc>
          <w:tcPr>
            <w:tcW w:w="2494" w:type="dxa"/>
            <w:tcBorders>
              <w:top w:val="single" w:sz="4" w:space="0" w:color="auto"/>
              <w:left w:val="single" w:sz="4" w:space="0" w:color="auto"/>
              <w:bottom w:val="single" w:sz="4" w:space="0" w:color="auto"/>
              <w:right w:val="single" w:sz="4" w:space="0" w:color="auto"/>
            </w:tcBorders>
            <w:vAlign w:val="center"/>
            <w:hideMark/>
          </w:tcPr>
          <w:p>
            <w:pPr>
              <w:widowControl/>
              <w:bidi w:val="0"/>
              <w:spacing w:beforeAutospacing="0" w:after="0" w:afterAutospacing="0" w:line="240" w:lineRule="auto"/>
              <w:ind w:left="0" w:right="0"/>
              <w:jc w:val="center"/>
              <w:rPr>
                <w:rFonts w:ascii="Times New Roman" w:hAnsi="Times New Roman"/>
                <w:b w:val="0"/>
                <w:bCs w:val="0"/>
                <w:i w:val="0"/>
                <w:caps w:val="0"/>
                <w:smallCaps w:val="0"/>
                <w:noProof w:val="0"/>
                <w:vanish w:val="0"/>
                <w:color w:val="000000"/>
                <w:sz w:val="25"/>
                <w:u w:val="none"/>
                <w:shd w:val="clear" w:color="auto" w:fill="auto"/>
                <w:vertAlign w:val="baseline"/>
                <w:lang w:val="x-none"/>
              </w:rPr>
            </w:pPr>
            <w:r>
              <w:rPr>
                <w:rFonts w:ascii="Times New Roman" w:hAnsi="Times New Roman"/>
                <w:b w:val="0"/>
                <w:bCs w:val="0"/>
                <w:i w:val="0"/>
                <w:caps w:val="0"/>
                <w:smallCaps w:val="0"/>
                <w:noProof w:val="0"/>
                <w:vanish w:val="0"/>
                <w:color w:val="000000"/>
                <w:sz w:val="25"/>
                <w:u w:val="none"/>
                <w:shd w:val="clear" w:color="auto" w:fill="auto"/>
                <w:vertAlign w:val="baseline"/>
                <w:lang w:val="x-none"/>
              </w:rPr>
              <w:t>8 239 265</w:t>
            </w:r>
          </w:p>
        </w:tc>
      </w:tr>
      <w:tr>
        <w:tblPrEx>
          <w:tblW w:w="0" w:type="auto"/>
          <w:tblInd w:w="0" w:type="dxa"/>
          <w:shd w:val="clear" w:color="auto" w:fill="FFFFFF"/>
          <w:tblLook w:val="04A0"/>
        </w:tblPrEx>
        <w:tc>
          <w:tcPr>
            <w:tcW w:w="1946"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left"/>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Загальний результат</w:t>
            </w:r>
          </w:p>
        </w:tc>
        <w:tc>
          <w:tcPr>
            <w:tcW w:w="1682"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200 000 000</w:t>
            </w:r>
          </w:p>
        </w:tc>
        <w:tc>
          <w:tcPr>
            <w:tcW w:w="1683"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200 000 000</w:t>
            </w:r>
          </w:p>
        </w:tc>
        <w:tc>
          <w:tcPr>
            <w:tcW w:w="1683"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200 000 000</w:t>
            </w:r>
          </w:p>
        </w:tc>
        <w:tc>
          <w:tcPr>
            <w:tcW w:w="2494" w:type="dxa"/>
            <w:tcBorders>
              <w:top w:val="single" w:sz="4" w:space="0" w:color="auto"/>
              <w:left w:val="single" w:sz="4" w:space="0" w:color="auto"/>
              <w:bottom w:val="single" w:sz="4" w:space="0" w:color="auto"/>
              <w:right w:val="single" w:sz="4" w:space="0" w:color="auto"/>
            </w:tcBorders>
            <w:hideMark/>
          </w:tcPr>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5"/>
                <w:u w:val="none"/>
                <w:shd w:val="clear" w:color="auto" w:fill="auto"/>
                <w:vertAlign w:val="baseline"/>
                <w:lang w:val="x-none"/>
              </w:rPr>
            </w:pPr>
            <w:r>
              <w:rPr>
                <w:rFonts w:ascii="Times New Roman" w:hAnsi="Times New Roman"/>
                <w:b/>
                <w:bCs w:val="0"/>
                <w:i w:val="0"/>
                <w:caps w:val="0"/>
                <w:smallCaps w:val="0"/>
                <w:noProof w:val="0"/>
                <w:vanish w:val="0"/>
                <w:color w:val="auto"/>
                <w:sz w:val="25"/>
                <w:u w:val="none"/>
                <w:shd w:val="clear" w:color="auto" w:fill="auto"/>
                <w:vertAlign w:val="baseline"/>
                <w:lang w:val="x-none"/>
              </w:rPr>
              <w:t>600 000 000</w:t>
            </w:r>
          </w:p>
        </w:tc>
      </w:tr>
    </w:tbl>
    <w:p>
      <w:pPr>
        <w:widowControl/>
        <w:bidi w:val="0"/>
        <w:spacing w:beforeAutospacing="0" w:after="0" w:afterAutospacing="0" w:line="240" w:lineRule="auto"/>
        <w:ind w:left="0" w:right="0"/>
        <w:jc w:val="left"/>
        <w:rPr>
          <w:rFonts w:ascii="Times New Roman" w:hAnsi="Times New Roman"/>
          <w:sz w:val="28"/>
          <w:szCs w:val="28"/>
        </w:rPr>
      </w:pPr>
    </w:p>
    <w:p>
      <w:pPr>
        <w:widowControl/>
        <w:bidi w:val="0"/>
        <w:spacing w:beforeAutospacing="0" w:after="0" w:afterAutospacing="0" w:line="240" w:lineRule="auto"/>
        <w:ind w:left="0" w:right="0"/>
        <w:jc w:val="center"/>
        <w:rPr>
          <w:rFonts w:ascii="Times New Roman" w:hAnsi="Times New Roman"/>
          <w:b/>
          <w:bCs w:val="0"/>
          <w:i w:val="0"/>
          <w:caps w:val="0"/>
          <w:smallCaps w:val="0"/>
          <w:noProof w:val="0"/>
          <w:vanish w:val="0"/>
          <w:color w:val="auto"/>
          <w:sz w:val="28"/>
          <w:u w:val="none"/>
          <w:shd w:val="clear" w:color="auto" w:fill="auto"/>
          <w:vertAlign w:val="baseline"/>
          <w:lang w:val="x-none"/>
        </w:rPr>
      </w:pPr>
      <w:r>
        <w:rPr>
          <w:rFonts w:ascii="Times New Roman" w:hAnsi="Times New Roman"/>
          <w:b/>
          <w:bCs w:val="0"/>
          <w:i w:val="0"/>
          <w:caps w:val="0"/>
          <w:smallCaps w:val="0"/>
          <w:noProof w:val="0"/>
          <w:vanish w:val="0"/>
          <w:color w:val="auto"/>
          <w:sz w:val="28"/>
          <w:u w:val="none"/>
          <w:shd w:val="clear" w:color="auto" w:fill="auto"/>
          <w:vertAlign w:val="baseline"/>
          <w:lang w:val="x-none"/>
        </w:rPr>
        <w:t>Підсумки та перспективи</w:t>
      </w:r>
    </w:p>
    <w:p>
      <w:pPr>
        <w:widowControl/>
        <w:bidi w:val="0"/>
        <w:spacing w:beforeAutospacing="0" w:after="0" w:afterAutospacing="0" w:line="240" w:lineRule="auto"/>
        <w:ind w:left="0" w:right="0"/>
        <w:jc w:val="center"/>
        <w:rPr>
          <w:rFonts w:ascii="Times New Roman" w:hAnsi="Times New Roman"/>
          <w:sz w:val="28"/>
          <w:szCs w:val="28"/>
        </w:rPr>
      </w:pP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Середньостроковий план є основним документом, що формує основу для якісно нового підходу до управління публічними інвестиціями в Броварській міській територіальній громаді.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Визначення наскрізних стратегічних цілей, узгодження з наявними стратегічними документами, продовження та завершення розпочатих проектів і програм,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громади. Це сприятиме ефективному використанню як попередньо вкладених, так і поточних публічних інвестицій, а також створить чітке розуміння пріоритетних сфер, що потребують місцевої, державної підтримки та донорської допомоги у середньостроковому періоді.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Важливо зазначити, що лише ті проекти та програми, що відповідають основним напрямам публічного інвестування, визначеним у СПІ на 2027-2029 роки, можуть бути включені в Єдиний проектний портфель публічних інвестицій громади та, відповідно, зможуть отримати фінансування за рахунок коштів місцевого бюджету, державного бюджету та інших коштів, не заборонених чинним законодавством України. </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Підготовка проектів та програм передбачає обов’язкове визначення напряму публічного інвестування у відповідній галузі (секторі), до якого відноситься проект чи програма, а також узгодження мети та цілей проекту зі Стратегією розвитку Броварської міської територіальної громади до 2027 року.</w:t>
      </w:r>
    </w:p>
    <w:p>
      <w:pPr>
        <w:widowControl/>
        <w:bidi w:val="0"/>
        <w:spacing w:beforeAutospacing="0" w:after="0" w:afterAutospacing="0" w:line="240" w:lineRule="auto"/>
        <w:ind w:left="0" w:right="0" w:firstLine="567"/>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Важливими передумовами успішної реалізації СПІ у 2027–2029 роках є: </w:t>
      </w:r>
    </w:p>
    <w:p>
      <w:pPr>
        <w:widowControl/>
        <w:numPr>
          <w:ilvl w:val="0"/>
          <w:numId w:val="3"/>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належне функціонування Єдиної цифрової екосистеми управління публічними інвестиціями та інших державних інформаційних систем, впровадження їх у громаді; </w:t>
      </w:r>
    </w:p>
    <w:p>
      <w:pPr>
        <w:widowControl/>
        <w:numPr>
          <w:ilvl w:val="0"/>
          <w:numId w:val="3"/>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підвищення якості підготовки публічних інвестиційних проектів та програм, зокрема шляхом застосування уніфікованих методологічних підходів; </w:t>
      </w:r>
    </w:p>
    <w:p>
      <w:pPr>
        <w:widowControl/>
        <w:numPr>
          <w:ilvl w:val="0"/>
          <w:numId w:val="3"/>
        </w:numPr>
        <w:bidi w:val="0"/>
        <w:spacing w:beforeAutospacing="0" w:after="0" w:afterAutospacing="0" w:line="240" w:lineRule="auto"/>
        <w:ind w:left="0" w:right="0" w:firstLine="426"/>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забезпечення досягнення результатів та цільових показників напрямів публічного інвестування. </w:t>
      </w:r>
    </w:p>
    <w:p>
      <w:pPr>
        <w:widowControl/>
        <w:bidi w:val="0"/>
        <w:spacing w:beforeAutospacing="0" w:after="0" w:afterAutospacing="0" w:line="240" w:lineRule="auto"/>
        <w:ind w:left="0" w:right="0"/>
        <w:jc w:val="both"/>
        <w:rPr>
          <w:rFonts w:ascii="Times New Roman" w:hAnsi="Times New Roman"/>
          <w:sz w:val="28"/>
          <w:szCs w:val="28"/>
        </w:rPr>
      </w:pPr>
    </w:p>
    <w:p>
      <w:pPr>
        <w:widowControl/>
        <w:bidi w:val="0"/>
        <w:spacing w:beforeAutospacing="0" w:after="0" w:afterAutospacing="0" w:line="240" w:lineRule="auto"/>
        <w:ind w:left="0" w:right="0"/>
        <w:jc w:val="both"/>
        <w:rPr>
          <w:rFonts w:ascii="Times New Roman" w:hAnsi="Times New Roman"/>
          <w:sz w:val="28"/>
          <w:szCs w:val="28"/>
        </w:rPr>
      </w:pPr>
    </w:p>
    <w:p>
      <w:pPr>
        <w:widowControl/>
        <w:tabs>
          <w:tab w:val="left" w:pos="7088"/>
        </w:tabs>
        <w:bidi w:val="0"/>
        <w:spacing w:beforeAutospacing="0" w:after="0" w:afterAutospacing="0" w:line="240" w:lineRule="auto"/>
        <w:ind w:left="0" w:right="0"/>
        <w:jc w:val="both"/>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Міський голова                                                                             Ігор САПОЖКО</w:t>
      </w:r>
    </w:p>
    <w:p>
      <w:pPr>
        <w:widowControl/>
        <w:bidi w:val="0"/>
        <w:spacing w:beforeAutospacing="0" w:afterAutospacing="0" w:line="240" w:lineRule="auto"/>
        <w:ind w:left="142" w:right="0"/>
        <w:jc w:val="both"/>
        <w:rPr>
          <w:rFonts w:ascii="Times New Roman" w:hAnsi="Times New Roman"/>
          <w:sz w:val="28"/>
          <w:szCs w:val="28"/>
        </w:rPr>
      </w:pPr>
    </w:p>
    <w:p>
      <w:pPr>
        <w:spacing w:beforeAutospacing="0" w:after="0" w:afterAutospacing="0"/>
        <w:ind w:left="142"/>
        <w:jc w:val="both"/>
        <w:rPr>
          <w:rFonts w:ascii="Times New Roman" w:hAnsi="Times New Roman"/>
          <w:sz w:val="28"/>
          <w:szCs w:val="28"/>
        </w:rPr>
      </w:pPr>
      <w:permEnd w:id="1"/>
    </w:p>
    <w:sectPr>
      <w:headerReference w:type="default" r:id="rId4"/>
      <w:footerReference w:type="default" r:id="rId5"/>
      <w:type w:val="nextPage"/>
      <w:pgSz w:w="11906" w:h="16838" w:code="0"/>
      <w:pgMar w:top="1135" w:right="707" w:bottom="993" w:left="1701" w:header="708"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ru-RU"/>
      </w:rPr>
      <w:t>#</w:t>
    </w:r>
    <w:r>
      <w:rPr>
        <w:rFonts w:ascii="Times New Roman" w:hAnsi="Times New Roman"/>
        <w:sz w:val="24"/>
        <w:szCs w:val="24"/>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819"/>
        <w:tab w:val="right" w:pos="9639"/>
      </w:tabs>
      <w:spacing w:beforeAutospacing="0" w:after="0" w:afterAutospacing="0" w:line="240" w:lineRule="auto"/>
      <w:jc w:val="right"/>
      <w:rPr>
        <w:rFonts w:ascii="Antiqua" w:hAnsi="Antiqua"/>
        <w:color w:val="7F7F7F"/>
        <w:sz w:val="28"/>
        <w:szCs w:val="20"/>
        <w:lang w:val="hr-HR" w:eastAsia="ru-RU"/>
      </w:rPr>
    </w:pPr>
    <w:r>
      <w:rPr>
        <w:rFonts w:ascii="Antiqua" w:hAnsi="Antiqua"/>
        <w:color w:val="7F7F7F" w:themeColor="text1" w:themeTint="80"/>
        <w:sz w:val="28"/>
        <w:szCs w:val="20"/>
        <w:lang w:val="hr-HR" w:eastAsia="ru-RU"/>
      </w:rPr>
      <w:t>Продовження додатку</w:t>
    </w: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0"/>
      <w:numFmt w:val="bullet"/>
      <w:lvlText w:val="-"/>
      <w:lvlJc w:val="left"/>
      <w:pPr>
        <w:spacing w:beforeAutospacing="0" w:afterAutospacing="0" w:line="240" w:lineRule="auto"/>
        <w:ind w:left="720" w:hanging="360"/>
      </w:pPr>
      <w:rPr>
        <w:rFonts w:ascii="Times New Roman" w:hAnsi="Times New Roman"/>
      </w:rPr>
    </w:lvl>
    <w:lvl w:ilvl="1">
      <w:start w:val="1"/>
      <w:numFmt w:val="bullet"/>
      <w:lvlText w:val="o"/>
      <w:lvlJc w:val="left"/>
      <w:pPr>
        <w:spacing w:beforeAutospacing="0" w:afterAutospacing="0" w:line="240" w:lineRule="auto"/>
        <w:ind w:left="1440" w:hanging="360"/>
      </w:pPr>
      <w:rPr>
        <w:rFonts w:ascii="Courier New" w:hAnsi="Courier New"/>
      </w:rPr>
    </w:lvl>
    <w:lvl w:ilvl="2">
      <w:start w:val="1"/>
      <w:numFmt w:val="bullet"/>
      <w:lvlText w:val=""/>
      <w:lvlJc w:val="left"/>
      <w:pPr>
        <w:spacing w:beforeAutospacing="0" w:afterAutospacing="0" w:line="240" w:lineRule="auto"/>
        <w:ind w:left="2160" w:hanging="360"/>
      </w:pPr>
      <w:rPr>
        <w:rFonts w:ascii="Times New Roman" w:hAnsi="Times New Roman"/>
      </w:rPr>
    </w:lvl>
    <w:lvl w:ilvl="3">
      <w:start w:val="1"/>
      <w:numFmt w:val="bullet"/>
      <w:lvlText w:val=""/>
      <w:lvlJc w:val="left"/>
      <w:pPr>
        <w:spacing w:beforeAutospacing="0" w:afterAutospacing="0" w:line="240" w:lineRule="auto"/>
        <w:ind w:left="2880" w:hanging="360"/>
      </w:pPr>
      <w:rPr>
        <w:rFonts w:ascii="Symbol" w:hAnsi="Symbol"/>
      </w:rPr>
    </w:lvl>
    <w:lvl w:ilvl="4">
      <w:start w:val="1"/>
      <w:numFmt w:val="bullet"/>
      <w:lvlText w:val="o"/>
      <w:lvlJc w:val="left"/>
      <w:pPr>
        <w:spacing w:beforeAutospacing="0" w:afterAutospacing="0" w:line="240" w:lineRule="auto"/>
        <w:ind w:left="3600" w:hanging="360"/>
      </w:pPr>
      <w:rPr>
        <w:rFonts w:ascii="Courier New" w:hAnsi="Courier New"/>
      </w:rPr>
    </w:lvl>
    <w:lvl w:ilvl="5">
      <w:start w:val="1"/>
      <w:numFmt w:val="bullet"/>
      <w:lvlText w:val=""/>
      <w:lvlJc w:val="left"/>
      <w:pPr>
        <w:spacing w:beforeAutospacing="0" w:afterAutospacing="0" w:line="240" w:lineRule="auto"/>
        <w:ind w:left="4320" w:hanging="360"/>
      </w:pPr>
      <w:rPr>
        <w:rFonts w:ascii="Times New Roman" w:hAnsi="Times New Roman"/>
      </w:rPr>
    </w:lvl>
    <w:lvl w:ilvl="6">
      <w:start w:val="1"/>
      <w:numFmt w:val="bullet"/>
      <w:lvlText w:val=""/>
      <w:lvlJc w:val="left"/>
      <w:pPr>
        <w:spacing w:beforeAutospacing="0" w:afterAutospacing="0" w:line="240" w:lineRule="auto"/>
        <w:ind w:left="5040" w:hanging="360"/>
      </w:pPr>
      <w:rPr>
        <w:rFonts w:ascii="Symbol" w:hAnsi="Symbol"/>
      </w:rPr>
    </w:lvl>
    <w:lvl w:ilvl="7">
      <w:start w:val="1"/>
      <w:numFmt w:val="bullet"/>
      <w:lvlText w:val="o"/>
      <w:lvlJc w:val="left"/>
      <w:pPr>
        <w:spacing w:beforeAutospacing="0" w:afterAutospacing="0" w:line="240" w:lineRule="auto"/>
        <w:ind w:left="5760" w:hanging="360"/>
      </w:pPr>
      <w:rPr>
        <w:rFonts w:ascii="Courier New" w:hAnsi="Courier New"/>
      </w:rPr>
    </w:lvl>
    <w:lvl w:ilvl="8">
      <w:start w:val="1"/>
      <w:numFmt w:val="bullet"/>
      <w:lvlText w:val=""/>
      <w:lvlJc w:val="left"/>
      <w:pPr>
        <w:spacing w:beforeAutospacing="0" w:afterAutospacing="0" w:line="240" w:lineRule="auto"/>
        <w:ind w:left="6480" w:hanging="360"/>
      </w:pPr>
      <w:rPr>
        <w:rFonts w:ascii="Times New Roman" w:hAnsi="Times New Roman"/>
      </w:rPr>
    </w:lvl>
  </w:abstractNum>
  <w:abstractNum w:abstractNumId="1">
    <w:nsid w:val="00000002"/>
    <w:multiLevelType w:val="hybridMultilevel"/>
    <w:tmpl w:val="00000000"/>
    <w:lvl w:ilvl="0">
      <w:start w:val="0"/>
      <w:numFmt w:val="bullet"/>
      <w:lvlText w:val="-"/>
      <w:lvlJc w:val="left"/>
      <w:pPr>
        <w:spacing w:beforeAutospacing="0" w:afterAutospacing="0" w:line="240" w:lineRule="auto"/>
        <w:ind w:left="1287" w:hanging="360"/>
      </w:pPr>
      <w:rPr>
        <w:rFonts w:ascii="Times New Roman" w:hAnsi="Times New Roman"/>
      </w:rPr>
    </w:lvl>
    <w:lvl w:ilvl="1">
      <w:start w:val="1"/>
      <w:numFmt w:val="bullet"/>
      <w:lvlText w:val="o"/>
      <w:lvlJc w:val="left"/>
      <w:pPr>
        <w:spacing w:beforeAutospacing="0" w:afterAutospacing="0" w:line="240" w:lineRule="auto"/>
        <w:ind w:left="2007" w:hanging="360"/>
      </w:pPr>
      <w:rPr>
        <w:rFonts w:ascii="Courier New" w:hAnsi="Courier New"/>
      </w:rPr>
    </w:lvl>
    <w:lvl w:ilvl="2">
      <w:start w:val="1"/>
      <w:numFmt w:val="bullet"/>
      <w:lvlText w:val=""/>
      <w:lvlJc w:val="left"/>
      <w:pPr>
        <w:spacing w:beforeAutospacing="0" w:afterAutospacing="0" w:line="240" w:lineRule="auto"/>
        <w:ind w:left="2727" w:hanging="360"/>
      </w:pPr>
      <w:rPr>
        <w:rFonts w:ascii="Times New Roman" w:hAnsi="Times New Roman"/>
      </w:rPr>
    </w:lvl>
    <w:lvl w:ilvl="3">
      <w:start w:val="1"/>
      <w:numFmt w:val="bullet"/>
      <w:lvlText w:val=""/>
      <w:lvlJc w:val="left"/>
      <w:pPr>
        <w:spacing w:beforeAutospacing="0" w:afterAutospacing="0" w:line="240" w:lineRule="auto"/>
        <w:ind w:left="3447" w:hanging="360"/>
      </w:pPr>
      <w:rPr>
        <w:rFonts w:ascii="Symbol" w:hAnsi="Symbol"/>
      </w:rPr>
    </w:lvl>
    <w:lvl w:ilvl="4">
      <w:start w:val="1"/>
      <w:numFmt w:val="bullet"/>
      <w:lvlText w:val="o"/>
      <w:lvlJc w:val="left"/>
      <w:pPr>
        <w:spacing w:beforeAutospacing="0" w:afterAutospacing="0" w:line="240" w:lineRule="auto"/>
        <w:ind w:left="4167" w:hanging="360"/>
      </w:pPr>
      <w:rPr>
        <w:rFonts w:ascii="Courier New" w:hAnsi="Courier New"/>
      </w:rPr>
    </w:lvl>
    <w:lvl w:ilvl="5">
      <w:start w:val="1"/>
      <w:numFmt w:val="bullet"/>
      <w:lvlText w:val=""/>
      <w:lvlJc w:val="left"/>
      <w:pPr>
        <w:spacing w:beforeAutospacing="0" w:afterAutospacing="0" w:line="240" w:lineRule="auto"/>
        <w:ind w:left="4887" w:hanging="360"/>
      </w:pPr>
      <w:rPr>
        <w:rFonts w:ascii="Times New Roman" w:hAnsi="Times New Roman"/>
      </w:rPr>
    </w:lvl>
    <w:lvl w:ilvl="6">
      <w:start w:val="1"/>
      <w:numFmt w:val="bullet"/>
      <w:lvlText w:val=""/>
      <w:lvlJc w:val="left"/>
      <w:pPr>
        <w:spacing w:beforeAutospacing="0" w:afterAutospacing="0" w:line="240" w:lineRule="auto"/>
        <w:ind w:left="5607" w:hanging="360"/>
      </w:pPr>
      <w:rPr>
        <w:rFonts w:ascii="Symbol" w:hAnsi="Symbol"/>
      </w:rPr>
    </w:lvl>
    <w:lvl w:ilvl="7">
      <w:start w:val="1"/>
      <w:numFmt w:val="bullet"/>
      <w:lvlText w:val="o"/>
      <w:lvlJc w:val="left"/>
      <w:pPr>
        <w:spacing w:beforeAutospacing="0" w:afterAutospacing="0" w:line="240" w:lineRule="auto"/>
        <w:ind w:left="6327" w:hanging="360"/>
      </w:pPr>
      <w:rPr>
        <w:rFonts w:ascii="Courier New" w:hAnsi="Courier New"/>
      </w:rPr>
    </w:lvl>
    <w:lvl w:ilvl="8">
      <w:start w:val="1"/>
      <w:numFmt w:val="bullet"/>
      <w:lvlText w:val=""/>
      <w:lvlJc w:val="left"/>
      <w:pPr>
        <w:spacing w:beforeAutospacing="0" w:afterAutospacing="0" w:line="240" w:lineRule="auto"/>
        <w:ind w:left="7047" w:hanging="360"/>
      </w:pPr>
      <w:rPr>
        <w:rFonts w:ascii="Times New Roman" w:hAnsi="Times New Roman"/>
      </w:rPr>
    </w:lvl>
  </w:abstractNum>
  <w:abstractNum w:abstractNumId="2">
    <w:nsid w:val="00000003"/>
    <w:multiLevelType w:val="hybridMultilevel"/>
    <w:tmpl w:val="00000000"/>
    <w:lvl w:ilvl="0">
      <w:start w:val="0"/>
      <w:numFmt w:val="bullet"/>
      <w:lvlText w:val="-"/>
      <w:lvlJc w:val="left"/>
      <w:pPr>
        <w:spacing w:beforeAutospacing="0" w:afterAutospacing="0" w:line="240" w:lineRule="auto"/>
        <w:ind w:left="1287" w:hanging="360"/>
      </w:pPr>
      <w:rPr>
        <w:rFonts w:ascii="Times New Roman" w:hAnsi="Times New Roman"/>
      </w:rPr>
    </w:lvl>
    <w:lvl w:ilvl="1">
      <w:start w:val="1"/>
      <w:numFmt w:val="bullet"/>
      <w:lvlText w:val="o"/>
      <w:lvlJc w:val="left"/>
      <w:pPr>
        <w:spacing w:beforeAutospacing="0" w:afterAutospacing="0" w:line="240" w:lineRule="auto"/>
        <w:ind w:left="2007" w:hanging="360"/>
      </w:pPr>
      <w:rPr>
        <w:rFonts w:ascii="Courier New" w:hAnsi="Courier New"/>
      </w:rPr>
    </w:lvl>
    <w:lvl w:ilvl="2">
      <w:start w:val="1"/>
      <w:numFmt w:val="bullet"/>
      <w:lvlText w:val=""/>
      <w:lvlJc w:val="left"/>
      <w:pPr>
        <w:spacing w:beforeAutospacing="0" w:afterAutospacing="0" w:line="240" w:lineRule="auto"/>
        <w:ind w:left="2727" w:hanging="360"/>
      </w:pPr>
      <w:rPr>
        <w:rFonts w:ascii="Times New Roman" w:hAnsi="Times New Roman"/>
      </w:rPr>
    </w:lvl>
    <w:lvl w:ilvl="3">
      <w:start w:val="1"/>
      <w:numFmt w:val="bullet"/>
      <w:lvlText w:val=""/>
      <w:lvlJc w:val="left"/>
      <w:pPr>
        <w:spacing w:beforeAutospacing="0" w:afterAutospacing="0" w:line="240" w:lineRule="auto"/>
        <w:ind w:left="3447" w:hanging="360"/>
      </w:pPr>
      <w:rPr>
        <w:rFonts w:ascii="Symbol" w:hAnsi="Symbol"/>
      </w:rPr>
    </w:lvl>
    <w:lvl w:ilvl="4">
      <w:start w:val="1"/>
      <w:numFmt w:val="bullet"/>
      <w:lvlText w:val="o"/>
      <w:lvlJc w:val="left"/>
      <w:pPr>
        <w:spacing w:beforeAutospacing="0" w:afterAutospacing="0" w:line="240" w:lineRule="auto"/>
        <w:ind w:left="4167" w:hanging="360"/>
      </w:pPr>
      <w:rPr>
        <w:rFonts w:ascii="Courier New" w:hAnsi="Courier New"/>
      </w:rPr>
    </w:lvl>
    <w:lvl w:ilvl="5">
      <w:start w:val="1"/>
      <w:numFmt w:val="bullet"/>
      <w:lvlText w:val=""/>
      <w:lvlJc w:val="left"/>
      <w:pPr>
        <w:spacing w:beforeAutospacing="0" w:afterAutospacing="0" w:line="240" w:lineRule="auto"/>
        <w:ind w:left="4887" w:hanging="360"/>
      </w:pPr>
      <w:rPr>
        <w:rFonts w:ascii="Times New Roman" w:hAnsi="Times New Roman"/>
      </w:rPr>
    </w:lvl>
    <w:lvl w:ilvl="6">
      <w:start w:val="1"/>
      <w:numFmt w:val="bullet"/>
      <w:lvlText w:val=""/>
      <w:lvlJc w:val="left"/>
      <w:pPr>
        <w:spacing w:beforeAutospacing="0" w:afterAutospacing="0" w:line="240" w:lineRule="auto"/>
        <w:ind w:left="5607" w:hanging="360"/>
      </w:pPr>
      <w:rPr>
        <w:rFonts w:ascii="Symbol" w:hAnsi="Symbol"/>
      </w:rPr>
    </w:lvl>
    <w:lvl w:ilvl="7">
      <w:start w:val="1"/>
      <w:numFmt w:val="bullet"/>
      <w:lvlText w:val="o"/>
      <w:lvlJc w:val="left"/>
      <w:pPr>
        <w:spacing w:beforeAutospacing="0" w:afterAutospacing="0" w:line="240" w:lineRule="auto"/>
        <w:ind w:left="6327" w:hanging="360"/>
      </w:pPr>
      <w:rPr>
        <w:rFonts w:ascii="Courier New" w:hAnsi="Courier New"/>
      </w:rPr>
    </w:lvl>
    <w:lvl w:ilvl="8">
      <w:start w:val="1"/>
      <w:numFmt w:val="bullet"/>
      <w:lvlText w:val=""/>
      <w:lvlJc w:val="left"/>
      <w:pPr>
        <w:spacing w:beforeAutospacing="0" w:afterAutospacing="0" w:line="240" w:lineRule="auto"/>
        <w:ind w:left="7047" w:hanging="360"/>
      </w:pPr>
      <w:rPr>
        <w:rFonts w:ascii="Times New Roman" w:hAnsi="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sz w:val="22"/>
        <w:szCs w:val="22"/>
        <w:lang w:val="uk-UA" w:eastAsia="uk-UA" w:bidi="ar-SA"/>
      </w:rPr>
    </w:rPrDefault>
    <w:pPrDefault>
      <w:pPr>
        <w:keepNext w:val="0"/>
        <w:keepLines w:val="0"/>
        <w:pageBreakBefore w:val="0"/>
        <w:widowControl/>
        <w:suppressLineNumbers w:val="0"/>
        <w:shd w:val="clear" w:color="auto" w:fill="auto"/>
        <w:suppressAutoHyphens w:val="0"/>
        <w:bidi w:val="0"/>
        <w:spacing w:before="0" w:beforeAutospacing="0" w:after="200" w:afterAutospacing="0" w:line="276" w:lineRule="auto"/>
        <w:ind w:left="0" w:right="0" w:firstLine="0"/>
        <w:contextualSpacing w:val="0"/>
        <w:jc w:val="left"/>
        <w:outlineLvl w:val="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a"/>
    <w:pPr>
      <w:tabs>
        <w:tab w:val="center" w:pos="4677"/>
        <w:tab w:val="right" w:pos="9355"/>
      </w:tabs>
      <w:spacing w:beforeAutospacing="0" w:after="0" w:afterAutospacing="0" w:line="240" w:lineRule="auto"/>
    </w:pPr>
  </w:style>
  <w:style w:type="paragraph" w:styleId="Footer">
    <w:name w:val="footer"/>
    <w:basedOn w:val="Normal"/>
    <w:link w:val="a0"/>
    <w:pPr>
      <w:tabs>
        <w:tab w:val="center" w:pos="4677"/>
        <w:tab w:val="right" w:pos="9355"/>
      </w:tabs>
      <w:spacing w:beforeAutospacing="0" w:after="0" w:afterAutospacing="0" w:line="240" w:lineRule="auto"/>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Верхний колонтитул Знак"/>
    <w:basedOn w:val="DefaultParagraphFont"/>
    <w:link w:val="Header"/>
  </w:style>
  <w:style w:type="character" w:customStyle="1" w:styleId="a0">
    <w:name w:val="Нижний колонтитул Знак"/>
    <w:basedOn w:val="DefaultParagraphFont"/>
    <w:link w:val="Foote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25.0002</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ASKOD</cp:lastModifiedBy>
  <cp:revision>30</cp:revision>
  <dcterms:created xsi:type="dcterms:W3CDTF">2021-08-31T06:42:00Z</dcterms:created>
  <dcterms:modified xsi:type="dcterms:W3CDTF">2026-08-24T07:09:21Z</dcterms:modified>
</cp:coreProperties>
</file>