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 xml:space="preserve">ПРОЄКТ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ПВ-1027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 w:line="240" w:lineRule="auto"/>
        <w:ind w:left="10206"/>
        <w:jc w:val="both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</w:pPr>
      <w:permStart w:id="0" w:edGrp="everyone"/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</w:rPr>
        <w:t xml:space="preserve">Додаток </w:t>
      </w:r>
    </w:p>
    <w:p>
      <w:pPr>
        <w:widowControl/>
        <w:bidi w:val="0"/>
        <w:spacing w:beforeAutospacing="0" w:after="0" w:afterAutospacing="0" w:line="240" w:lineRule="auto"/>
        <w:ind w:left="8496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Середньострокового плану </w:t>
      </w:r>
    </w:p>
    <w:p>
      <w:pPr>
        <w:widowControl/>
        <w:bidi w:val="0"/>
        <w:spacing w:beforeAutospacing="0" w:after="0" w:afterAutospacing="0" w:line="240" w:lineRule="auto"/>
        <w:ind w:left="8496" w:right="0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пріоритетних публічних інвестицій </w:t>
      </w:r>
    </w:p>
    <w:p>
      <w:pPr>
        <w:widowControl/>
        <w:bidi w:val="0"/>
        <w:spacing w:beforeAutospacing="0" w:after="0" w:afterAutospacing="0" w:line="240" w:lineRule="auto"/>
        <w:ind w:left="7788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Броварської міської територіальної громади </w:t>
      </w:r>
    </w:p>
    <w:p>
      <w:pPr>
        <w:widowControl/>
        <w:bidi w:val="0"/>
        <w:spacing w:beforeAutospacing="0" w:after="0" w:afterAutospacing="0" w:line="240" w:lineRule="auto"/>
        <w:ind w:left="7788" w:right="0" w:firstLine="708"/>
        <w:jc w:val="both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                на 2027 - 2029 роки 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10206"/>
        <w:rPr>
          <w:rFonts w:ascii="Times New Roman" w:hAnsi="Times New Roman"/>
          <w:sz w:val="28"/>
          <w:szCs w:val="28"/>
          <w:lang w:val="ru-RU"/>
        </w:rPr>
      </w:pPr>
    </w:p>
    <w:p>
      <w:pPr>
        <w:spacing w:beforeAutospacing="0" w:after="0" w:afterAutospacing="0"/>
        <w:ind w:left="0"/>
        <w:rPr>
          <w:rFonts w:ascii="Times New Roman" w:hAnsi="Times New Roman"/>
          <w:b/>
          <w:bCs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szCs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/>
          <w:bCs w:val="0"/>
          <w:i w:val="0"/>
          <w:caps w:val="0"/>
          <w:smallCaps w:val="0"/>
          <w:noProof w:val="0"/>
          <w:vanish w:val="0"/>
          <w:color w:val="auto"/>
          <w:sz w:val="28"/>
          <w:szCs w:val="28"/>
          <w:u w:val="none"/>
          <w:shd w:val="clear" w:color="auto" w:fill="auto"/>
          <w:vertAlign w:val="baseline"/>
          <w:lang w:val="x-none"/>
        </w:rPr>
        <w:t>ОСНОВНІ НАПРЯМИ ПУБЛІЧНОГО ІНВЕСТУВАННЯ</w:t>
      </w:r>
    </w:p>
    <w:p>
      <w:pPr>
        <w:widowControl/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iCs/>
          <w:sz w:val="28"/>
          <w:szCs w:val="28"/>
        </w:rPr>
      </w:pPr>
    </w:p>
    <w:tbl>
      <w:tblPr>
        <w:tblW w:w="0" w:type="auto"/>
        <w:shd w:val="clear" w:color="auto" w:fill="FFFFFF"/>
        <w:tblLook w:val="04A0"/>
      </w:tblPr>
      <w:tblGrid>
        <w:gridCol w:w="1284"/>
        <w:gridCol w:w="1498"/>
        <w:gridCol w:w="1482"/>
        <w:gridCol w:w="734"/>
        <w:gridCol w:w="734"/>
        <w:gridCol w:w="734"/>
        <w:gridCol w:w="734"/>
      </w:tblGrid>
      <w:tr>
        <w:tblPrEx>
          <w:tblW w:w="0" w:type="auto"/>
          <w:shd w:val="clear" w:color="auto" w:fill="FFFFFF"/>
          <w:tblLook w:val="04A0"/>
        </w:tblPrEx>
        <w:tc>
          <w:tcPr>
            <w:tcW w:w="14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Пріоритетна галузь (сектор) для публічного інвестування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Муніципальна інфраструктура та послуги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Відповідальне управління за галузь: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Граничний сукупний обсяг публічних інвестицій на середньостроков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szCs w:val="22"/>
                <w:u w:val="none"/>
                <w:shd w:val="clear" w:color="auto" w:fill="auto"/>
                <w:vertAlign w:val="baseline"/>
                <w:cs w:val="0"/>
                <w:lang w:val="x-none"/>
              </w:rPr>
              <w:t>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 період на галузь (сектор, в межах доведеного фінансовим управлінням Броварської міської ради Броварського району Київської області)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224 136 735 грн. (кошти місцевого бюджету).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32"/>
                <w:szCs w:val="32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2"/>
                <w:szCs w:val="22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  <w:t>Потенційні інші джерела інвестування (гранти, донорські кошти, кредити тощо) – 2 289 159 342 грн.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Підсектор галузі (сектору) для публічного інвестування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Основний напрям публічного інвестування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Найменування цільового показника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Базове значення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(%)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Планове значення на 2027 р. (%)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Планове значення на 2028 р. (%)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Планове значення на 2029 р. (%)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Водопостачання та водовідведення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2.4 Забезпечення населення якісними комунальними послугами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забезпечення централізованого, контрольованого та облікованого приймання стічних вод від асенізаційних машин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пропускної спроможності водогонів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90%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Містобудування, благоустрій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2.2 Розвиток інженерної, логістичної, дорожньо-транспортної інфраструктури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Частка завершених безбар`єрних маршрутів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39%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Містобудування, благоустрій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2.6. Забезпечення збалансованого розвитку територій громади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забезпечення громади територією для поховання громадян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Містобудування, благоустрій</w:t>
            </w:r>
          </w:p>
        </w:tc>
        <w:tc>
          <w:tcPr>
            <w:tcW w:w="3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2.5 Екологічна безпека та охорона навколишнього природного середовища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Частка охоплених безпритульних собак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90%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забезпечення населення зонами відпочинку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95%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Містобудування, благоустрій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1.4 Створення умов для забезпечення рівних можливостей для розвитку усіх груп населення та формування згуртованого суспільства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Забезпечення міста інклюзивними майданчиками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90%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Захисні споруди об'єктів інфраструктури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2.1 Розвиток інфраструктури безпеки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10302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забезпечення захисними спорудами об`єктів інфраструктури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23%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24%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28%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14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Пріоритетна галузь (сектор) для публічного інвестування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Житло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Відповідальне управління за галузь: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Граничний сукупний обсяг публічних інвестицій на середньостроков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szCs w:val="22"/>
                <w:u w:val="none"/>
                <w:shd w:val="clear" w:color="auto" w:fill="auto"/>
                <w:vertAlign w:val="baseline"/>
                <w:cs w:val="0"/>
                <w:lang w:val="x-none"/>
              </w:rPr>
              <w:t xml:space="preserve">ий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період на галузь (сектор, в межах доведеного фінансовим управлінням Броварської міської ради Броварського району Київської області)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7 000 000 грн. (кошти місцевого бюджету).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  <w:t>Потенційні інші джерела інвестування (гранти, донорські кошти, кредити тощо) – 6 527 459 грн.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Енергоефективні рішення для житлових будівель</w:t>
            </w:r>
          </w:p>
        </w:tc>
        <w:tc>
          <w:tcPr>
            <w:tcW w:w="3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2.4 Забезпечення населення якісними комунальними послугами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Частка багатоквартирних будинків, у яких відновлено експлуатаційні показники та забезпечено безпечні умови проживання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45%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55%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Частка багатоквартирних будинків, у яких проведено заходи з термомодернізації / енергозбереження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40%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14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Пріоритетна галузь (сектор) для публічного інвестування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Транспорт та поштовий зв’язок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Відповідальне управління за галузь: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Граничний сукупний обсяг публічних інвестицій на середньостроков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szCs w:val="22"/>
                <w:u w:val="none"/>
                <w:shd w:val="clear" w:color="auto" w:fill="auto"/>
                <w:vertAlign w:val="baseline"/>
                <w:cs w:val="0"/>
                <w:lang w:val="x-none"/>
              </w:rPr>
              <w:t>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 період на галузь (сектор, в межах доведеного фінансовим управлінням Броварської міської ради Броварського району Київської області)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53 000 000 грн. (кошти місцевого бюджету).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  <w:t>Потенційні інші джерела інвестування (гранти, донорські кошти, кредити тощо) – 55 922 312 грн.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Розбудова та відновлення транспортної інфраструктури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2.2 Розвиток дорожньої інфраструктури та транспортної інфраструктури регіону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оновлення транспортної інфраструктури шляхом будівництва, реконструкції тощо.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30%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14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Пріоритетна галузь (сектор) для публічного інвестування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Освіта і наука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Відповідальне управління за галузь: Управління освіти і науки Броварської міської ради Броварського району Київської області;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Граничний сукупний обсяг публічних інвестицій на середньостроков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szCs w:val="22"/>
                <w:u w:val="none"/>
                <w:shd w:val="clear" w:color="auto" w:fill="auto"/>
                <w:vertAlign w:val="baseline"/>
                <w:cs w:val="0"/>
                <w:lang w:val="x-none"/>
              </w:rPr>
              <w:t>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 період на галузь (сектор, в межах доведеного фінансовим управлінням Броварської міської ради Броварського району Київської області)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250 374 000 грн. (кошти місцевого бюджету).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  <w:t>Потенційні інші джерела інвестування: кошти державного бюджету – 79 250 000 грн.; гранти, донорські кошти, кредити тощо – 916 483 084,12 грн.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Освіта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Забезпечення доступу до якісного та безпечного харчування в закладах освіти шляхом розвитку сучасної інфраструктури їдалень (харчоблоків)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Частка модернізованих їдалень (харчоблоків) у закладах освіти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54%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rPr>
          <w:trHeight w:val="2264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Освіта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Сучасний освітній простір та якісний зміст: лабораторії, майстерні, кабінети тощо.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розвитку сучасного освітнього середовища закладів загальної середньої освіти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30%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40%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Освіта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Розвиток інфраструктури закладів освіти шляхом модернізації та проведення ремонтів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оновленої інфраструктури закладів освіти шляхом проведення ремонтів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40%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Освіта</w:t>
            </w:r>
          </w:p>
        </w:tc>
        <w:tc>
          <w:tcPr>
            <w:tcW w:w="3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Створення інклюзивного освітнього середовища в закладах освіти та забезпечення допоміжними засобами для навчання дітей з особливими освітніми потребами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створення інклюзивного освітнього середовища в закладах освіти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65%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3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забезпечення допоміжними засобами для навчання дітей з особливими освітнім и потребами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65%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Освіта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Енергоефективність та енергонезалежність будівель закладів та установ освіти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зниження витрат на опалення та/або електроенергію після впровадження заходів з енергоефективності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30%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Освіта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Створення та модернізація мережі центрів інженерної освіти та подолання освітніх втрат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надолуження освітніх втрат у здобувачів освіти громади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Освіта 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Створення умов для рівного доступу до освіти шляхом розвитку інфраструктури перевезень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Частка забезпечення підвезенням учнів серед тих, хто його потребує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90%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Освіта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Облаштування захисних споруд цивільного захисту (укритів) у закладах та установах освіти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забезпечення закладів дошкільної освіти спорудами цивільного захисту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Освіта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Реконструкція, відновлення та нове будівництво інфраструктури закладів освіти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оновленої інфраструктури закладів освіти шляхом нового будівництва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75%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14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Пріоритетна галузь (сектор) для публічного інвестування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Охорона здоров’я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Відповідальний відділ за галузь: Відділ охорони здоров’я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Граничний сукупний обсяг публічних інвестицій на середньостроков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szCs w:val="22"/>
                <w:u w:val="none"/>
                <w:shd w:val="clear" w:color="auto" w:fill="auto"/>
                <w:vertAlign w:val="baseline"/>
                <w:cs w:val="0"/>
                <w:lang w:val="x-none"/>
              </w:rPr>
              <w:t>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 період на галузь (сектор, в межах доведеного фінансовим управлінням Броварської міської ради Броварського району Київської області)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55 250 000 грн. (кошти місцевого бюджету).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2"/>
                <w:szCs w:val="22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  <w:t>Потенційні інші джерела інвестування: кошти державного бюджету – 168 190 099 грн.; гранти, донорські кошти, кредити тощо – 33 772 350 грн.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rPr>
          <w:trHeight w:val="2576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Розбудова та модернізація системи охорони здоров’я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1.2. Формування доступної та спроможної мережі для надання якісних медичних послуг з урахуванням потреб різних верств населення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Забезпечення доступу до якісної медичної допомоги шляхом розбудови й модернізації об'єктів медичної інфраструктури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90%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14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Пріоритетна галузь (сектор) для публічного інвестування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Культура та інформація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Відповідальне управління за галузь: Управління культури, сім’ї та молоді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Граничний сукупний обсяг публічних інвестицій на середньостроков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szCs w:val="22"/>
                <w:u w:val="none"/>
                <w:shd w:val="clear" w:color="auto" w:fill="auto"/>
                <w:vertAlign w:val="baseline"/>
                <w:cs w:val="0"/>
                <w:lang w:val="x-none"/>
              </w:rPr>
              <w:t>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 період на галузь (сектор, в межах доведеного фінансовим управлінням Броварської міської ради Броварського району Київської області)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0,00 грн. (кошти місцевого бюджету).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  <w:t>Потенційні інші джерела інвестування (гранти, донорські кошти, кредити тощо) – 23 827 715,95 грн.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Культурні послуги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000000" w:themeColor="dark1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1.6 Формування всебічно розвиненої людини, сприяння її культурному та духовному розвитку, створення можливостей для творчого самовираження і самореалізації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Рівень забезпечення послугами у сфері культури мешканців громади 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90%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90%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14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Пріоритетна галузь (сектор) для публічного інвестування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Спорт, фізичне та молодіжне виховання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Відповідальний відділ за галузь: Відділ фізичної культури та спорту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Граничний сукупний обсяг публічних інвестицій на середньостроков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szCs w:val="22"/>
                <w:u w:val="none"/>
                <w:shd w:val="clear" w:color="auto" w:fill="auto"/>
                <w:vertAlign w:val="baseline"/>
                <w:cs w:val="0"/>
                <w:lang w:val="x-none"/>
              </w:rPr>
              <w:t>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 період на галузь (сектор, в межах доведеного фінансовим управлінням Броварської міської ради Броварського району Київської області)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2 000 000 грн. (кошти місцевого бюджету).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rPr>
          <w:trHeight w:val="3230"/>
        </w:trPr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Спорт та фізичне виховання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Частка доступності спортивних об’єктів комунальної власності для осіб з інвалідністю та інших маломобільних груп населення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14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Галузь (сектор) для публічного інвестування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Соціальна сфера 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Відповідальне управління за галузь: Управління соціального захисту населення Броварської міської ради Броварського району Київської області;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8"/>
                <w:szCs w:val="28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Граничний сукупний обсяг публічних інвестицій на середньостроков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szCs w:val="22"/>
                <w:u w:val="none"/>
                <w:shd w:val="clear" w:color="auto" w:fill="auto"/>
                <w:vertAlign w:val="baseline"/>
                <w:cs w:val="0"/>
                <w:lang w:val="x-none"/>
              </w:rPr>
              <w:t>ий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 xml:space="preserve"> період на галузь (сектор, в межах доведеного фінансовим управлінням Броварської міської ради Броварського району Київської області) – </w:t>
            </w:r>
            <w:r>
              <w:rPr>
                <w:rFonts w:ascii="Times New Roman" w:hAnsi="Times New Roman"/>
                <w:b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8 239 265 грн. (кошти місцевого бюджету).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4"/>
                <w:szCs w:val="24"/>
                <w:u w:val="none"/>
                <w:shd w:val="clear" w:color="auto" w:fill="auto"/>
                <w:vertAlign w:val="baseline"/>
                <w:lang w:val="x-none"/>
              </w:rPr>
              <w:t>Потенційні інші джерела інвестування (гранти, донорські кошти, кредити тощо) – 46 205 827 грн.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Інклюзія осіб з інвалідністю та система реабілітації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1.5. Забезпечення соціально незахищених категорій населення якісними і доступними соціальними послугами, підтримка осіб з інвалідністю та інших маломобільних груп населення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Рівень доступності для забезпечення реабілітаційними послугами осіб з інвалідністю та інших маломобільних груп населення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75%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</w:tr>
      <w:tr>
        <w:tblPrEx>
          <w:tblW w:w="0" w:type="auto"/>
          <w:shd w:val="clear" w:color="auto" w:fill="FFFFFF"/>
          <w:tblLook w:val="04A0"/>
        </w:tblPrEx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Інклюзія осіб з інвалідністю та система реабілітації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1.3. Створення належних умов для розвитку системи закладів фізичної культури і спорту, у тому числі для осіб з інвалідністю</w:t>
            </w:r>
          </w:p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Cs/>
                <w:sz w:val="28"/>
                <w:szCs w:val="28"/>
              </w:rPr>
            </w:pPr>
          </w:p>
        </w:tc>
        <w:tc>
          <w:tcPr>
            <w:tcW w:w="2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Забезпечення безпечного та зручного доступу до басейну всіх категорій громадян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60%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70%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widowControl/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smallCaps w:val="0"/>
                <w:noProof w:val="0"/>
                <w:vanish w:val="0"/>
                <w:color w:val="auto"/>
                <w:sz w:val="28"/>
                <w:szCs w:val="28"/>
                <w:u w:val="none"/>
                <w:shd w:val="clear" w:color="auto" w:fill="auto"/>
                <w:vertAlign w:val="baseline"/>
                <w:lang w:val="x-none"/>
              </w:rPr>
              <w:t>100%</w:t>
            </w:r>
          </w:p>
        </w:tc>
      </w:tr>
    </w:tbl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iCs/>
          <w:sz w:val="28"/>
          <w:szCs w:val="28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szCs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smallCaps w:val="0"/>
          <w:noProof w:val="0"/>
          <w:vanish w:val="0"/>
          <w:color w:val="auto"/>
          <w:sz w:val="28"/>
          <w:szCs w:val="28"/>
          <w:u w:val="none"/>
          <w:shd w:val="clear" w:color="auto" w:fill="auto"/>
          <w:vertAlign w:val="baseline"/>
          <w:lang w:val="x-none"/>
        </w:rPr>
        <w:t>Міський голова                                                                                                                                                       Ігор САПОЖКО</w:t>
      </w:r>
    </w:p>
    <w:p>
      <w:pPr>
        <w:spacing w:beforeAutospacing="0" w:after="0" w:afterAutospacing="0" w:line="240" w:lineRule="auto"/>
        <w:jc w:val="both"/>
        <w:rPr>
          <w:rFonts w:ascii="Times New Roman" w:hAnsi="Times New Roman"/>
          <w:iCs/>
          <w:sz w:val="28"/>
          <w:szCs w:val="28"/>
        </w:rPr>
      </w:pPr>
      <w:permEnd w:id="0"/>
    </w:p>
    <w:sectPr>
      <w:headerReference w:type="default" r:id="rId4"/>
      <w:footerReference w:type="default" r:id="rId5"/>
      <w:type w:val="nextPage"/>
      <w:pgSz w:w="16838" w:h="11906" w:orient="landscape" w:code="0"/>
      <w:pgMar w:top="1276" w:right="678" w:bottom="993" w:left="1701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rFonts w:ascii="Times New Roman" w:hAnsi="Times New Roman"/>
        <w:color w:val="7F7F7F" w:themeColor="text1" w:themeTint="80"/>
        <w:sz w:val="24"/>
        <w:szCs w:val="24"/>
      </w:rPr>
    </w:pPr>
    <w:bookmarkStart w:id="1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LX1+/OUtfG7actpljQCFP6aJ4t7Kvo1l8JlQFzuZ0M/Mw+pqoiojUmMUxAxoUYwPUK9pXAnM5N/8&#10;lyfBDwqXIQ==&#10;" w:salt="oql34ZFvcBva9MBnelngPg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25.0002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19</cp:revision>
  <dcterms:created xsi:type="dcterms:W3CDTF">2022-10-03T09:10:00Z</dcterms:created>
  <dcterms:modified xsi:type="dcterms:W3CDTF">2026-08-19T05:39:23Z</dcterms:modified>
</cp:coreProperties>
</file>