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ПРОЄКТ</w:t>
        <w:tab/>
      </w:r>
      <w:r>
        <w:rPr>
          <w:rFonts w:ascii="Times New Roman" w:hAnsi="Times New Roman"/>
          <w:sz w:val="28"/>
          <w:szCs w:val="28"/>
        </w:rPr>
        <w:t xml:space="preserve">№ </w:t>
      </w:r>
      <w:r>
        <w:rPr>
          <w:rFonts w:ascii="Times New Roman" w:hAnsi="Times New Roman"/>
          <w:sz w:val="28"/>
          <w:szCs w:val="28"/>
        </w:rPr>
        <w:t>ПВ-1027</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СЕРЕДНЬОСТРОКОВИЙ ПЛАН </w:t>
      </w: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ПРІОРИТЕТНИХ ПУБЛІЧНИХ ІНВЕСТИЦІЙ</w:t>
      </w: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БРОВАРСЬКОЇ МІСЬКОЇ ТЕРИТОРІАЛЬНОЇ ГРОМАДИ </w:t>
      </w: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НА 2027 - 2029 РОКИ </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Загальна частина </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Середньостроковий план пріоритетних публічних інвестицій</w:t>
      </w: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 Броварсько</w:t>
      </w:r>
      <w:r>
        <w:rPr>
          <w:rFonts w:ascii="Times New Roman" w:hAnsi="Times New Roman"/>
          <w:b w:val="0"/>
          <w:bCs w:val="0"/>
          <w:i w:val="0"/>
          <w:caps w:val="0"/>
          <w:smallCaps w:val="0"/>
          <w:noProof w:val="0"/>
          <w:vanish w:val="0"/>
          <w:color w:val="auto"/>
          <w:sz w:val="28"/>
          <w:u w:val="none"/>
          <w:shd w:val="clear" w:color="auto" w:fill="auto"/>
          <w:vertAlign w:val="baseline"/>
          <w:lang w:val="x-none"/>
        </w:rPr>
        <w:t>ї міської територіальної громади</w:t>
      </w: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 (далі - Середньостроковий план) розроблено відповідно до статтей 33</w:t>
      </w:r>
      <w:r>
        <w:rPr>
          <w:rFonts w:ascii="Times New Roman" w:hAnsi="Times New Roman"/>
          <w:b w:val="0"/>
          <w:bCs w:val="0"/>
          <w:i w:val="0"/>
          <w:caps w:val="0"/>
          <w:smallCaps w:val="0"/>
          <w:noProof w:val="0"/>
          <w:vanish w:val="0"/>
          <w:color w:val="auto"/>
          <w:sz w:val="28"/>
          <w:u w:val="none"/>
          <w:shd w:val="clear" w:color="auto" w:fill="auto"/>
          <w:vertAlign w:val="superscript"/>
          <w:lang w:val="x-none"/>
        </w:rPr>
        <w:t>1</w:t>
      </w:r>
      <w:r>
        <w:rPr>
          <w:rFonts w:ascii="Times New Roman" w:hAnsi="Times New Roman"/>
          <w:b w:val="0"/>
          <w:bCs w:val="0"/>
          <w:i w:val="0"/>
          <w:caps w:val="0"/>
          <w:smallCaps w:val="0"/>
          <w:noProof w:val="0"/>
          <w:vanish w:val="0"/>
          <w:color w:val="auto"/>
          <w:sz w:val="28"/>
          <w:u w:val="none"/>
          <w:shd w:val="clear" w:color="auto" w:fill="auto"/>
          <w:vertAlign w:val="baseline"/>
          <w:lang w:val="x-none"/>
        </w:rPr>
        <w:t>, 75</w:t>
      </w:r>
      <w:r>
        <w:rPr>
          <w:rFonts w:ascii="Times New Roman" w:hAnsi="Times New Roman"/>
          <w:b w:val="0"/>
          <w:bCs w:val="0"/>
          <w:i w:val="0"/>
          <w:caps w:val="0"/>
          <w:smallCaps w:val="0"/>
          <w:noProof w:val="0"/>
          <w:vanish w:val="0"/>
          <w:color w:val="auto"/>
          <w:sz w:val="28"/>
          <w:u w:val="none"/>
          <w:shd w:val="clear" w:color="auto" w:fill="auto"/>
          <w:vertAlign w:val="superscript"/>
          <w:lang w:val="x-none"/>
        </w:rPr>
        <w:t>2</w:t>
      </w: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(зі змінами).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проектах (далі - проект) та програмах публічних інвестицій (далі - програма).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Середньостроковий план визначає: </w:t>
      </w:r>
    </w:p>
    <w:p>
      <w:pPr>
        <w:widowControl/>
        <w:numPr>
          <w:ilvl w:val="0"/>
          <w:numId w:val="1"/>
        </w:numPr>
        <w:tabs>
          <w:tab w:val="left" w:pos="0"/>
        </w:tabs>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здійснення публічних інвестицій відповідно до стратегічних цілей розвитку Броварської міської територіальної громади до 2027 року; </w:t>
      </w:r>
    </w:p>
    <w:p>
      <w:pPr>
        <w:widowControl/>
        <w:numPr>
          <w:ilvl w:val="0"/>
          <w:numId w:val="1"/>
        </w:numPr>
        <w:tabs>
          <w:tab w:val="left" w:pos="0"/>
        </w:tabs>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пріоритетні галузі (сектори) для публічного інвестування;</w:t>
      </w:r>
    </w:p>
    <w:p>
      <w:pPr>
        <w:widowControl/>
        <w:numPr>
          <w:ilvl w:val="0"/>
          <w:numId w:val="1"/>
        </w:numPr>
        <w:tabs>
          <w:tab w:val="left" w:pos="0"/>
        </w:tabs>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основні напрями публічного інвестування, у тому числі: за діючими проектами та програмами, відповідний орієнтовний розподіл коштів за рахунок різних джерел фінансування;</w:t>
      </w:r>
    </w:p>
    <w:p>
      <w:pPr>
        <w:widowControl/>
        <w:numPr>
          <w:ilvl w:val="0"/>
          <w:numId w:val="1"/>
        </w:numPr>
        <w:tabs>
          <w:tab w:val="left" w:pos="0"/>
        </w:tabs>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підсектори галузей (секторів) для публічного інвестування.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Сфера дії Середньострокового плану включає публічні інвестиції, що спрямовані на реалізацію проектів та програм. </w:t>
      </w:r>
    </w:p>
    <w:p>
      <w:pPr>
        <w:widowControl/>
        <w:bidi w:val="0"/>
        <w:spacing w:beforeAutospacing="0" w:after="0" w:afterAutospacing="0" w:line="240" w:lineRule="auto"/>
        <w:ind w:left="0" w:right="0" w:firstLine="567"/>
        <w:jc w:val="both"/>
        <w:rPr>
          <w:rFonts w:ascii="Times New Roman" w:hAnsi="Times New Roman"/>
          <w:iCs/>
          <w:sz w:val="28"/>
          <w:szCs w:val="28"/>
        </w:rPr>
      </w:pPr>
    </w:p>
    <w:p>
      <w:pPr>
        <w:widowControl/>
        <w:bidi w:val="0"/>
        <w:spacing w:beforeAutospacing="0" w:after="0" w:afterAutospacing="0" w:line="240" w:lineRule="auto"/>
        <w:ind w:left="36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Описова частина</w:t>
      </w:r>
    </w:p>
    <w:p>
      <w:pPr>
        <w:widowControl/>
        <w:bidi w:val="0"/>
        <w:spacing w:beforeAutospacing="0" w:after="0" w:afterAutospacing="0" w:line="240" w:lineRule="auto"/>
        <w:ind w:left="36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Середньостроковий план розроблено управлінням економіки та інвестицій виконавчого комітету Броварської міської ради Броварського району Київської області на підставі пропозицій розпорядників коштів відповідно до цілей і завдань, визначених Стратегією розвитку Броварської міської територіальної громади до 2027 року, яка затверджена рішенням Броварської міської ради Броварського району Київської області від 31.07.2025 № 2203-96-08, у межах орієнтовного граничного сукупного обсягу публічних інвестицій на середньостроковий період, доведеного фінансовим управлінням Броварської міської ради Броварського району Київської області. </w:t>
      </w:r>
    </w:p>
    <w:p>
      <w:pPr>
        <w:widowControl/>
        <w:bidi w:val="0"/>
        <w:spacing w:beforeAutospacing="0" w:after="0" w:afterAutospacing="0" w:line="240" w:lineRule="auto"/>
        <w:ind w:left="360" w:right="0"/>
        <w:jc w:val="center"/>
        <w:rPr>
          <w:rFonts w:ascii="Times New Roman" w:hAnsi="Times New Roman"/>
          <w:iCs/>
          <w:sz w:val="28"/>
          <w:szCs w:val="28"/>
        </w:rPr>
      </w:pPr>
    </w:p>
    <w:p>
      <w:pPr>
        <w:widowControl/>
        <w:bidi w:val="0"/>
        <w:spacing w:beforeAutospacing="0" w:after="0" w:afterAutospacing="0" w:line="240" w:lineRule="auto"/>
        <w:ind w:left="360" w:right="0"/>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Наскрізні стратегічні цілі здійснення публічних інвестицій</w:t>
      </w:r>
    </w:p>
    <w:p>
      <w:pPr>
        <w:widowControl/>
        <w:bidi w:val="0"/>
        <w:spacing w:beforeAutospacing="0" w:after="0" w:afterAutospacing="0" w:line="240" w:lineRule="auto"/>
        <w:ind w:left="36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На 2027-2029 роки наскрізними стратегічними цілями є енергоефективність, цифровізація, реагування на зміни клімату, гендерна рівність та безбар’єрність (у разі можливості їх застосування).</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Реалізація наскрізних стратегічних цілей відбувається з урахуванням стратегічних цілей громади: відновлення та розвиток людського потенціалу, створення безпечних та комфортних умов для життя мешканців громади, наближення до європейських стандартів та підвищення конкурентоспроможності економіки громади.</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Стратегічні цілі мають ключове значення для досягнення сталого розвитку громади.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безбар’єрності,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 </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 xml:space="preserve">Пріоритетні галузі (сектори) для публічного інвестування </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Пріоритетні галузі (сектори) для публічного інвестування, що містяться в Середньостроковому плані є ключовими для Броварської міської територіальної громади, які спрямовуються на середньостроковий період.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До пріоритетних галузей (секторів) для публічного інвестування у 2027-2029 роках належать: </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Муніципальна інфраструктура та послуги;</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Житло;</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Транспорт та послуги поштового зв’язку;</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Освіта і наука;</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Охорона здоров’я;</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Культура та інформація;</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Спорт, фізичне та молодіжне виховання;</w:t>
      </w:r>
    </w:p>
    <w:p>
      <w:pPr>
        <w:widowControl/>
        <w:numPr>
          <w:ilvl w:val="0"/>
          <w:numId w:val="2"/>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Соціальна сфера.</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З метою досягнення стратегічних цілей розвитку Броварської міської територіальної громади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громадян протягом 2027-2029 років Середньостроковим планом пропонується визначити 8 ключових секторів (галузей) для публічного інвестування. </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Підсектори галузей (секторів) для публічного інвестування</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Підсектори галузей (секторів) для публічного інвестування визначають конкретні сфери діяльності, що потребують фінансування, що дозволяє деталізувати пріоритети та оптимізувати використання місцевих коштів.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У межах кожної пріоритетної галузі (сектора) для публічного інвестування формуються підсектори, що відображають ключові напрями розвитку, які потребують залучення публічних інвестицій.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Перелік підсекторів галузей (секторів) для публічного інвестування визначено відповідно до напрямків Стратегії розвитку Броварської міської територіальної громади до 2027 року, що зазначені у Додатку до Середньострокового плану. </w:t>
      </w:r>
    </w:p>
    <w:p>
      <w:pPr>
        <w:widowControl/>
        <w:bidi w:val="0"/>
        <w:spacing w:beforeAutospacing="0" w:after="0" w:afterAutospacing="0" w:line="240" w:lineRule="auto"/>
        <w:ind w:left="0" w:right="0" w:firstLine="567"/>
        <w:jc w:val="center"/>
        <w:rPr>
          <w:rFonts w:ascii="Times New Roman" w:hAnsi="Times New Roman"/>
          <w:iCs/>
          <w:sz w:val="28"/>
          <w:szCs w:val="28"/>
        </w:rPr>
      </w:pPr>
    </w:p>
    <w:p>
      <w:pPr>
        <w:widowControl/>
        <w:bidi w:val="0"/>
        <w:spacing w:beforeAutospacing="0" w:after="0" w:afterAutospacing="0" w:line="240" w:lineRule="auto"/>
        <w:ind w:left="0" w:right="0" w:firstLine="567"/>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Основні напрями публічного інвестування</w:t>
      </w:r>
    </w:p>
    <w:p>
      <w:pPr>
        <w:widowControl/>
        <w:bidi w:val="0"/>
        <w:spacing w:beforeAutospacing="0" w:after="0" w:afterAutospacing="0" w:line="240" w:lineRule="auto"/>
        <w:ind w:left="0" w:right="0" w:firstLine="567"/>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Основні напрями публічного інвестування узгоджуються із оперативними цілями Стратегії розвитку Броварської міської територіальної громади до                  2027 року та мають найвищий рівень пріоритетності серед інших напрямів відповідної галузі (сектора) для отримання фінансування.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Формування основних напрямів публічного інвестування здійснюється управлінням економіки та інвестицій виконавчого комітету Броварської міської ради Броварського району Київської області на основі пропозицій управлінь та відділів Броварської міської ради Броварського району Київської області, визначених Стратегією розвитку Броварської міської територіальної громади до 2027 року.</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Напрям публічного інвестування визначає сферу діяльності громади у межах відповідної галузі (сектору) для публічного інвестування, в яку спрямовуються публічні кошти для подальшої підготовки та реалізації проектів та/або програм з метою досягнення відповідного завдання документа стратегічного планування.</w:t>
      </w:r>
    </w:p>
    <w:p>
      <w:pPr>
        <w:widowControl/>
        <w:bidi w:val="0"/>
        <w:spacing w:beforeAutospacing="0" w:after="0" w:afterAutospacing="0" w:line="240" w:lineRule="auto"/>
        <w:ind w:left="0" w:right="0"/>
        <w:jc w:val="left"/>
        <w:rPr>
          <w:rFonts w:ascii="Times New Roman" w:hAnsi="Times New Roman"/>
          <w:b w:val="0"/>
          <w:bCs w:val="0"/>
          <w:i/>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Фінансова структура публічних інвестицій</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Орієнтовний граничний сукупний обсяг публічних інвестицій на                     2027 – 2029 роки в розрізі джерел фінансового забезпечення та за роками становить: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righ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 xml:space="preserve">Грн. </w:t>
      </w:r>
    </w:p>
    <w:tbl>
      <w:tblPr>
        <w:tblW w:w="9632" w:type="dxa"/>
        <w:shd w:val="clear" w:color="auto" w:fill="FFFFFF"/>
        <w:tblLayout w:type="fixed"/>
        <w:tblLook w:val="04A0"/>
      </w:tblPr>
      <w:tblGrid>
        <w:gridCol w:w="2101"/>
        <w:gridCol w:w="2006"/>
        <w:gridCol w:w="2019"/>
        <w:gridCol w:w="1485"/>
        <w:gridCol w:w="2021"/>
      </w:tblGrid>
      <w:tr>
        <w:tblPrEx>
          <w:tblW w:w="9632" w:type="dxa"/>
          <w:shd w:val="clear" w:color="auto" w:fill="FFFFFF"/>
          <w:tblLayout w:type="fixed"/>
          <w:tblLook w:val="04A0"/>
        </w:tblPrEx>
        <w:tc>
          <w:tcPr>
            <w:tcW w:w="2101"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Показник</w:t>
            </w:r>
          </w:p>
        </w:tc>
        <w:tc>
          <w:tcPr>
            <w:tcW w:w="2006"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2027 рік (прогноз)</w:t>
            </w:r>
          </w:p>
        </w:tc>
        <w:tc>
          <w:tcPr>
            <w:tcW w:w="2019"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2028 рік (прогноз)</w:t>
            </w:r>
          </w:p>
        </w:tc>
        <w:tc>
          <w:tcPr>
            <w:tcW w:w="1485"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2029 рік (прогноз)</w:t>
            </w:r>
          </w:p>
        </w:tc>
        <w:tc>
          <w:tcPr>
            <w:tcW w:w="2021"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Разом 2027-2029 роки (прогноз)</w:t>
            </w:r>
          </w:p>
        </w:tc>
      </w:tr>
      <w:tr>
        <w:tblPrEx>
          <w:tblW w:w="9632" w:type="dxa"/>
          <w:shd w:val="clear" w:color="auto" w:fill="FFFFFF"/>
          <w:tblLayout w:type="fixed"/>
          <w:tblLook w:val="04A0"/>
        </w:tblPrEx>
        <w:tc>
          <w:tcPr>
            <w:tcW w:w="2101"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Місцевий бюджет</w:t>
            </w:r>
          </w:p>
        </w:tc>
        <w:tc>
          <w:tcPr>
            <w:tcW w:w="2006"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200 000 000</w:t>
            </w:r>
          </w:p>
        </w:tc>
        <w:tc>
          <w:tcPr>
            <w:tcW w:w="2019"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200 000 000</w:t>
            </w:r>
          </w:p>
        </w:tc>
        <w:tc>
          <w:tcPr>
            <w:tcW w:w="1485"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200 000 000</w:t>
            </w:r>
          </w:p>
        </w:tc>
        <w:tc>
          <w:tcPr>
            <w:tcW w:w="2021"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600 000 000</w:t>
            </w:r>
          </w:p>
        </w:tc>
      </w:tr>
      <w:tr>
        <w:tblPrEx>
          <w:tblW w:w="9632" w:type="dxa"/>
          <w:shd w:val="clear" w:color="auto" w:fill="FFFFFF"/>
          <w:tblLayout w:type="fixed"/>
          <w:tblLook w:val="04A0"/>
        </w:tblPrEx>
        <w:tc>
          <w:tcPr>
            <w:tcW w:w="2101"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Державний бюджет</w:t>
            </w:r>
          </w:p>
        </w:tc>
        <w:tc>
          <w:tcPr>
            <w:tcW w:w="2006"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186 643 815,25</w:t>
            </w:r>
          </w:p>
        </w:tc>
        <w:tc>
          <w:tcPr>
            <w:tcW w:w="2019"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42 296 283,75</w:t>
            </w:r>
          </w:p>
        </w:tc>
        <w:tc>
          <w:tcPr>
            <w:tcW w:w="1485"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18 500 000</w:t>
            </w:r>
          </w:p>
        </w:tc>
        <w:tc>
          <w:tcPr>
            <w:tcW w:w="2021"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247 440 099</w:t>
            </w:r>
          </w:p>
        </w:tc>
      </w:tr>
      <w:tr>
        <w:tblPrEx>
          <w:tblW w:w="9632" w:type="dxa"/>
          <w:shd w:val="clear" w:color="auto" w:fill="FFFFFF"/>
          <w:tblLayout w:type="fixed"/>
          <w:tblLook w:val="04A0"/>
        </w:tblPrEx>
        <w:tc>
          <w:tcPr>
            <w:tcW w:w="2101"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Кошти, не заборонені чинним законодавством України</w:t>
            </w:r>
          </w:p>
        </w:tc>
        <w:tc>
          <w:tcPr>
            <w:tcW w:w="2006"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1 767 715 464,12</w:t>
            </w:r>
          </w:p>
        </w:tc>
        <w:tc>
          <w:tcPr>
            <w:tcW w:w="2019"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866 698 752,95</w:t>
            </w:r>
          </w:p>
        </w:tc>
        <w:tc>
          <w:tcPr>
            <w:tcW w:w="1485"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737 483 873</w:t>
            </w:r>
          </w:p>
        </w:tc>
        <w:tc>
          <w:tcPr>
            <w:tcW w:w="2021"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iCs/>
                <w:sz w:val="28"/>
                <w:szCs w:val="28"/>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3 371 898 090,07</w:t>
            </w:r>
          </w:p>
        </w:tc>
      </w:tr>
      <w:tr>
        <w:tblPrEx>
          <w:tblW w:w="9632" w:type="dxa"/>
          <w:shd w:val="clear" w:color="auto" w:fill="FFFFFF"/>
          <w:tblLayout w:type="fixed"/>
          <w:tblLook w:val="04A0"/>
        </w:tblPrEx>
        <w:tc>
          <w:tcPr>
            <w:tcW w:w="2101"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РАЗОМ</w:t>
            </w:r>
          </w:p>
        </w:tc>
        <w:tc>
          <w:tcPr>
            <w:tcW w:w="2006" w:type="dxa"/>
            <w:tcBorders>
              <w:top w:val="single" w:sz="4" w:space="0" w:color="auto"/>
              <w:left w:val="single" w:sz="4" w:space="0" w:color="auto"/>
              <w:bottom w:val="single" w:sz="4" w:space="0" w:color="auto"/>
              <w:right w:val="single" w:sz="4" w:space="0" w:color="auto"/>
            </w:tcBorders>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2 154 359 279,37</w:t>
            </w:r>
          </w:p>
        </w:tc>
        <w:tc>
          <w:tcPr>
            <w:tcW w:w="2019" w:type="dxa"/>
            <w:tcBorders>
              <w:top w:val="single" w:sz="4" w:space="0" w:color="auto"/>
              <w:left w:val="single" w:sz="4" w:space="0" w:color="auto"/>
              <w:bottom w:val="single" w:sz="4" w:space="0" w:color="auto"/>
              <w:right w:val="single" w:sz="4" w:space="0" w:color="auto"/>
            </w:tcBorders>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1 108 995 036,70</w:t>
            </w:r>
          </w:p>
        </w:tc>
        <w:tc>
          <w:tcPr>
            <w:tcW w:w="1485" w:type="dxa"/>
            <w:tcBorders>
              <w:top w:val="single" w:sz="4" w:space="0" w:color="auto"/>
              <w:left w:val="single" w:sz="4" w:space="0" w:color="auto"/>
              <w:bottom w:val="single" w:sz="4" w:space="0" w:color="auto"/>
              <w:right w:val="single" w:sz="4" w:space="0" w:color="auto"/>
            </w:tcBorders>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955 983 873</w:t>
            </w:r>
          </w:p>
        </w:tc>
        <w:tc>
          <w:tcPr>
            <w:tcW w:w="2021" w:type="dxa"/>
            <w:tcBorders>
              <w:top w:val="single" w:sz="4" w:space="0" w:color="auto"/>
              <w:left w:val="single" w:sz="4" w:space="0" w:color="auto"/>
              <w:bottom w:val="single" w:sz="4" w:space="0" w:color="auto"/>
              <w:right w:val="single" w:sz="4" w:space="0" w:color="auto"/>
            </w:tcBorders>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4 219 338 189,07</w:t>
            </w:r>
          </w:p>
        </w:tc>
      </w:tr>
    </w:tbl>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Розподіл орієнтовного граничного сукупного обсягу публічних інвестицій у розрізі галузей (секторів) на 2027 - 2029 роки, доведеного фінансовим управлінням Броварської міської ради Броварського району Київської області, у межах орієнтовного граничного сукупного обсягу публічних інвестицій на середньостроковий період має таку структуру:</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567"/>
        <w:jc w:val="right"/>
        <w:rPr>
          <w:rFonts w:ascii="Times New Roman" w:hAnsi="Times New Roman"/>
          <w:b w:val="0"/>
          <w:bCs w:val="0"/>
          <w:i w:val="0"/>
          <w:caps w:val="0"/>
          <w:smallCaps w:val="0"/>
          <w:noProof w:val="0"/>
          <w:vanish w:val="0"/>
          <w:color w:val="auto"/>
          <w:sz w:val="26"/>
          <w:u w:val="none"/>
          <w:shd w:val="clear" w:color="auto" w:fill="auto"/>
          <w:vertAlign w:val="baseline"/>
          <w:lang w:val="x-none"/>
        </w:rPr>
      </w:pPr>
      <w:r>
        <w:rPr>
          <w:rFonts w:ascii="Times New Roman" w:hAnsi="Times New Roman"/>
          <w:b w:val="0"/>
          <w:bCs w:val="0"/>
          <w:i w:val="0"/>
          <w:caps w:val="0"/>
          <w:smallCaps w:val="0"/>
          <w:noProof w:val="0"/>
          <w:vanish w:val="0"/>
          <w:color w:val="auto"/>
          <w:sz w:val="26"/>
          <w:u w:val="none"/>
          <w:shd w:val="clear" w:color="auto" w:fill="auto"/>
          <w:vertAlign w:val="baseline"/>
          <w:lang w:val="x-none"/>
        </w:rPr>
        <w:t xml:space="preserve">Грн. </w:t>
      </w:r>
    </w:p>
    <w:tbl>
      <w:tblPr>
        <w:tblW w:w="0" w:type="auto"/>
        <w:shd w:val="clear" w:color="auto" w:fill="FFFFFF"/>
        <w:tblLook w:val="04A0"/>
      </w:tblPr>
      <w:tblGrid>
        <w:gridCol w:w="1544"/>
        <w:gridCol w:w="1224"/>
        <w:gridCol w:w="1225"/>
        <w:gridCol w:w="1225"/>
        <w:gridCol w:w="1982"/>
      </w:tblGrid>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Галузь (сектор)</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Граничний розподіл на 2027 рік</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Граничний розподіл на 2028 рік</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Граничний розподіл на 2029 рік</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Граничний розподіл на середньостроковий період</w:t>
            </w:r>
          </w:p>
        </w:tc>
      </w:tr>
      <w:tr>
        <w:tblPrEx>
          <w:tblW w:w="0" w:type="auto"/>
          <w:shd w:val="clear" w:color="auto" w:fill="FFFFFF"/>
          <w:tblLook w:val="04A0"/>
        </w:tblPrEx>
        <w:trPr>
          <w:trHeight w:val="917"/>
        </w:trPr>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Муніципальна інфраструктура та послуги</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58 273 735</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101 863 000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64 000 000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224 136 735</w:t>
            </w:r>
          </w:p>
        </w:tc>
      </w:tr>
      <w:tr>
        <w:tblPrEx>
          <w:tblW w:w="0" w:type="auto"/>
          <w:shd w:val="clear" w:color="auto" w:fill="FFFFFF"/>
          <w:tblLook w:val="04A0"/>
        </w:tblPrEx>
        <w:trPr>
          <w:trHeight w:val="476"/>
        </w:trPr>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Житло</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2 000 000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2 000 000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3 000 000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7 000 000</w:t>
            </w:r>
          </w:p>
        </w:tc>
      </w:tr>
      <w:tr>
        <w:tblPrEx>
          <w:tblW w:w="0" w:type="auto"/>
          <w:shd w:val="clear" w:color="auto" w:fill="FFFFFF"/>
          <w:tblLook w:val="04A0"/>
        </w:tblPrEx>
        <w:trPr>
          <w:trHeight w:val="540"/>
        </w:trPr>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Транспорт та послуги поштового зв’язку</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10 000 000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3 000 000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40 000 000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53 000 000</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Освіта і наука</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72 987 000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84 387 000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93 000 000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250 374 000</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Охорона здоров’я</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47 500 000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7 750 000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55 250 000</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Культура а інформація</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Спорт, фізичне та молодіжне виховання</w:t>
            </w:r>
          </w:p>
        </w:tc>
        <w:tc>
          <w:tcPr>
            <w:tcW w:w="1682"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1 000 000</w:t>
            </w:r>
          </w:p>
        </w:tc>
        <w:tc>
          <w:tcPr>
            <w:tcW w:w="1683"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1 000 000</w:t>
            </w:r>
          </w:p>
        </w:tc>
        <w:tc>
          <w:tcPr>
            <w:tcW w:w="1683"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2494" w:type="dxa"/>
            <w:tcBorders>
              <w:top w:val="single" w:sz="4" w:space="0" w:color="auto"/>
              <w:left w:val="single" w:sz="4" w:space="0" w:color="auto"/>
              <w:bottom w:val="single" w:sz="4" w:space="0" w:color="auto"/>
              <w:right w:val="single" w:sz="4" w:space="0" w:color="auto"/>
            </w:tcBorders>
            <w:vAlign w:val="center"/>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2 000 000</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val="0"/>
                <w:bCs w:val="0"/>
                <w:i w:val="0"/>
                <w:caps w:val="0"/>
                <w:smallCaps w:val="0"/>
                <w:noProof w:val="0"/>
                <w:vanish w:val="0"/>
                <w:color w:val="auto"/>
                <w:sz w:val="25"/>
                <w:u w:val="none"/>
                <w:shd w:val="clear" w:color="auto" w:fill="auto"/>
                <w:vertAlign w:val="baseline"/>
                <w:lang w:val="x-none"/>
              </w:rPr>
            </w:pPr>
            <w:r>
              <w:rPr>
                <w:rFonts w:ascii="Times New Roman" w:hAnsi="Times New Roman"/>
                <w:b w:val="0"/>
                <w:bCs w:val="0"/>
                <w:i w:val="0"/>
                <w:caps w:val="0"/>
                <w:smallCaps w:val="0"/>
                <w:noProof w:val="0"/>
                <w:vanish w:val="0"/>
                <w:color w:val="auto"/>
                <w:sz w:val="25"/>
                <w:u w:val="none"/>
                <w:shd w:val="clear" w:color="auto" w:fill="auto"/>
                <w:vertAlign w:val="baseline"/>
                <w:lang w:val="x-none"/>
              </w:rPr>
              <w:t>Соціальна сфера</w:t>
            </w:r>
          </w:p>
        </w:tc>
        <w:tc>
          <w:tcPr>
            <w:tcW w:w="1682"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8 239 265</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1683"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pPr>
              <w:widowControl/>
              <w:bidi w:val="0"/>
              <w:spacing w:beforeAutospacing="0" w:after="0" w:afterAutospacing="0" w:line="240" w:lineRule="auto"/>
              <w:ind w:left="0" w:right="0"/>
              <w:jc w:val="center"/>
              <w:rPr>
                <w:rFonts w:ascii="Times New Roman" w:hAnsi="Times New Roman"/>
                <w:b w:val="0"/>
                <w:bCs w:val="0"/>
                <w:i w:val="0"/>
                <w:caps w:val="0"/>
                <w:smallCaps w:val="0"/>
                <w:noProof w:val="0"/>
                <w:vanish w:val="0"/>
                <w:color w:val="000000"/>
                <w:sz w:val="25"/>
                <w:u w:val="none"/>
                <w:shd w:val="clear" w:color="auto" w:fill="auto"/>
                <w:vertAlign w:val="baseline"/>
                <w:lang w:val="x-none"/>
              </w:rPr>
            </w:pPr>
            <w:r>
              <w:rPr>
                <w:rFonts w:ascii="Times New Roman" w:hAnsi="Times New Roman"/>
                <w:b w:val="0"/>
                <w:bCs w:val="0"/>
                <w:i w:val="0"/>
                <w:caps w:val="0"/>
                <w:smallCaps w:val="0"/>
                <w:noProof w:val="0"/>
                <w:vanish w:val="0"/>
                <w:color w:val="000000"/>
                <w:sz w:val="25"/>
                <w:u w:val="none"/>
                <w:shd w:val="clear" w:color="auto" w:fill="auto"/>
                <w:vertAlign w:val="baseline"/>
                <w:lang w:val="x-none"/>
              </w:rPr>
              <w:t>8 239 265</w:t>
            </w:r>
          </w:p>
        </w:tc>
      </w:tr>
      <w:tr>
        <w:tblPrEx>
          <w:tblW w:w="0" w:type="auto"/>
          <w:shd w:val="clear" w:color="auto" w:fill="FFFFFF"/>
          <w:tblLook w:val="04A0"/>
        </w:tblPrEx>
        <w:tc>
          <w:tcPr>
            <w:tcW w:w="1946"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left"/>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Загальний результат</w:t>
            </w:r>
          </w:p>
        </w:tc>
        <w:tc>
          <w:tcPr>
            <w:tcW w:w="1682"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200 000 000</w:t>
            </w:r>
          </w:p>
        </w:tc>
        <w:tc>
          <w:tcPr>
            <w:tcW w:w="1683"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200 000 000</w:t>
            </w:r>
          </w:p>
        </w:tc>
        <w:tc>
          <w:tcPr>
            <w:tcW w:w="1683"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200 000 000</w:t>
            </w:r>
          </w:p>
        </w:tc>
        <w:tc>
          <w:tcPr>
            <w:tcW w:w="2494" w:type="dxa"/>
            <w:tcBorders>
              <w:top w:val="single" w:sz="4" w:space="0" w:color="auto"/>
              <w:left w:val="single" w:sz="4" w:space="0" w:color="auto"/>
              <w:bottom w:val="single" w:sz="4" w:space="0" w:color="auto"/>
              <w:right w:val="single" w:sz="4" w:space="0" w:color="auto"/>
            </w:tcBorders>
            <w:hideMark/>
          </w:tcPr>
          <w:p>
            <w:pPr>
              <w:widowControl/>
              <w:bidi w:val="0"/>
              <w:spacing w:beforeAutospacing="0" w:after="0" w:afterAutospacing="0" w:line="240" w:lineRule="auto"/>
              <w:ind w:left="0" w:right="0"/>
              <w:jc w:val="center"/>
              <w:rPr>
                <w:rFonts w:ascii="Times New Roman" w:hAnsi="Times New Roman"/>
                <w:b/>
                <w:bCs w:val="0"/>
                <w:i w:val="0"/>
                <w:caps w:val="0"/>
                <w:smallCaps w:val="0"/>
                <w:noProof w:val="0"/>
                <w:vanish w:val="0"/>
                <w:color w:val="auto"/>
                <w:sz w:val="25"/>
                <w:u w:val="none"/>
                <w:shd w:val="clear" w:color="auto" w:fill="auto"/>
                <w:vertAlign w:val="baseline"/>
                <w:lang w:val="x-none"/>
              </w:rPr>
            </w:pPr>
            <w:r>
              <w:rPr>
                <w:rFonts w:ascii="Times New Roman" w:hAnsi="Times New Roman"/>
                <w:b/>
                <w:bCs w:val="0"/>
                <w:i w:val="0"/>
                <w:caps w:val="0"/>
                <w:smallCaps w:val="0"/>
                <w:noProof w:val="0"/>
                <w:vanish w:val="0"/>
                <w:color w:val="auto"/>
                <w:sz w:val="25"/>
                <w:u w:val="none"/>
                <w:shd w:val="clear" w:color="auto" w:fill="auto"/>
                <w:vertAlign w:val="baseline"/>
                <w:lang w:val="x-none"/>
              </w:rPr>
              <w:t>600 000 000</w:t>
            </w:r>
          </w:p>
        </w:tc>
      </w:tr>
    </w:tbl>
    <w:p>
      <w:pPr>
        <w:widowControl/>
        <w:bidi w:val="0"/>
        <w:spacing w:beforeAutospacing="0" w:after="0" w:afterAutospacing="0" w:line="240" w:lineRule="auto"/>
        <w:ind w:left="0" w:right="0"/>
        <w:jc w:val="left"/>
        <w:rPr>
          <w:rFonts w:ascii="Times New Roman" w:hAnsi="Times New Roman"/>
          <w:b w:val="0"/>
          <w:bCs w:val="0"/>
          <w:i/>
          <w:caps w:val="0"/>
          <w:small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jc w:val="center"/>
        <w:rPr>
          <w:rFonts w:ascii="Times New Roman" w:hAnsi="Times New Roman"/>
          <w:b/>
          <w:bCs/>
          <w:i w:val="0"/>
          <w:iCs w:val="0"/>
          <w:caps w:val="0"/>
          <w:smallCaps w:val="0"/>
          <w:noProof w:val="0"/>
          <w:vanish w:val="0"/>
          <w:color w:val="auto"/>
          <w:sz w:val="28"/>
          <w:u w:val="none"/>
          <w:shd w:val="clear" w:color="auto" w:fill="auto"/>
          <w:vertAlign w:val="baseline"/>
          <w:lang w:val="x-none"/>
        </w:rPr>
      </w:pPr>
      <w:r>
        <w:rPr>
          <w:rFonts w:ascii="Times New Roman" w:hAnsi="Times New Roman"/>
          <w:b/>
          <w:bCs/>
          <w:i w:val="0"/>
          <w:iCs w:val="0"/>
          <w:caps w:val="0"/>
          <w:smallCaps w:val="0"/>
          <w:noProof w:val="0"/>
          <w:vanish w:val="0"/>
          <w:color w:val="auto"/>
          <w:sz w:val="28"/>
          <w:u w:val="none"/>
          <w:shd w:val="clear" w:color="auto" w:fill="auto"/>
          <w:vertAlign w:val="baseline"/>
          <w:lang w:val="x-none"/>
        </w:rPr>
        <w:t>Підсумки та перспективи</w:t>
      </w:r>
    </w:p>
    <w:p>
      <w:pPr>
        <w:widowControl/>
        <w:bidi w:val="0"/>
        <w:spacing w:beforeAutospacing="0" w:after="0" w:afterAutospacing="0" w:line="240" w:lineRule="auto"/>
        <w:ind w:left="0" w:right="0"/>
        <w:jc w:val="center"/>
        <w:rPr>
          <w:rFonts w:ascii="Times New Roman" w:hAnsi="Times New Roman"/>
          <w:iCs/>
          <w:sz w:val="28"/>
          <w:szCs w:val="28"/>
        </w:rPr>
      </w:pP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Середньостроковий план є основним документом, що формує основу для якісно нового підходу до управління публічними інвестиціями в Броварській міській територіальній громаді.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Визначення наскрізних стратегічних цілей, узгодження з наявними стратегічними документами, продовження та завершення розпочатих проектів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 Це сприятиме ефективному використанню як попередньо вкладених, так і поточних публічних інвестицій, а також створить чітке розуміння пріоритетних сфер, що потребують місцевої, державної підтримки та донорської допомоги у середньостроковому періоді.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Важливо зазначити, що лише ті проекти та програми, що відповідають основним напрямам публічного інвестування, визначеним у СПІ на 2027-2029 роки, можуть бути включені в Єдиний проектний портфель публічних інвестицій громади та, відповідно, зможуть отримати фінансування за рахунок коштів місцевого бюджету, державного бюджету та інших коштів, не заборонених чинним законодавством України. </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Підготовка проектів та програм передбачає обов’язкове визначення напряму публічного інвестування у відповідній галузі (секторі), до якого відноситься проект чи програма, а також узгодження мети та цілей проекту зі Стратегією розвитку Броварської міської територіальної громади до 2027 року.</w:t>
      </w:r>
    </w:p>
    <w:p>
      <w:pPr>
        <w:widowControl/>
        <w:bidi w:val="0"/>
        <w:spacing w:beforeAutospacing="0" w:after="0" w:afterAutospacing="0" w:line="240"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Важливими передумовами успішної реалізації СПІ у 2027–2029 роках є: </w:t>
      </w:r>
    </w:p>
    <w:p>
      <w:pPr>
        <w:widowControl/>
        <w:numPr>
          <w:ilvl w:val="0"/>
          <w:numId w:val="3"/>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належне функціонування Єдиної цифрової екосистеми управління публічними інвестиціями та інших державних інформаційних систем, впровадження їх у громаді; </w:t>
      </w:r>
    </w:p>
    <w:p>
      <w:pPr>
        <w:widowControl/>
        <w:numPr>
          <w:ilvl w:val="0"/>
          <w:numId w:val="3"/>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підвищення якості підготовки публічних інвестиційних проектів та програм, зокрема шляхом застосування уніфікованих методологічних підходів; </w:t>
      </w:r>
    </w:p>
    <w:p>
      <w:pPr>
        <w:widowControl/>
        <w:numPr>
          <w:ilvl w:val="0"/>
          <w:numId w:val="3"/>
        </w:numPr>
        <w:bidi w:val="0"/>
        <w:spacing w:beforeAutospacing="0" w:after="0" w:afterAutospacing="0" w:line="240" w:lineRule="auto"/>
        <w:ind w:left="0" w:right="0" w:firstLine="426"/>
        <w:contextualSpacing w:val="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забезпечення досягнення результатів та цільових показників напрямів публічного інвестування. </w:t>
      </w:r>
    </w:p>
    <w:p>
      <w:pPr>
        <w:widowControl/>
        <w:bidi w:val="0"/>
        <w:spacing w:beforeAutospacing="0" w:after="0" w:afterAutospacing="0" w:line="240" w:lineRule="auto"/>
        <w:ind w:left="0" w:right="0"/>
        <w:jc w:val="both"/>
        <w:rPr>
          <w:rFonts w:ascii="Times New Roman" w:hAnsi="Times New Roman"/>
          <w:iCs/>
          <w:sz w:val="28"/>
          <w:szCs w:val="28"/>
        </w:rPr>
      </w:pPr>
    </w:p>
    <w:p>
      <w:pPr>
        <w:widowControl/>
        <w:bidi w:val="0"/>
        <w:spacing w:beforeAutospacing="0" w:after="0" w:afterAutospacing="0" w:line="240" w:lineRule="auto"/>
        <w:ind w:left="0" w:right="0"/>
        <w:jc w:val="both"/>
        <w:rPr>
          <w:rFonts w:ascii="Times New Roman" w:hAnsi="Times New Roman"/>
          <w:iCs/>
          <w:sz w:val="28"/>
          <w:szCs w:val="28"/>
        </w:rPr>
      </w:pPr>
    </w:p>
    <w:p>
      <w:pPr>
        <w:widowControl/>
        <w:tabs>
          <w:tab w:val="left" w:pos="7088"/>
        </w:tabs>
        <w:bidi w:val="0"/>
        <w:spacing w:beforeAutospacing="0" w:after="0"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Міський голова                                                                             Ігор САПОЖКО</w:t>
      </w:r>
    </w:p>
    <w:p>
      <w:pPr>
        <w:spacing w:beforeAutospacing="0" w:after="0" w:afterAutospacing="0" w:line="240" w:lineRule="auto"/>
        <w:ind w:left="142"/>
        <w:jc w:val="both"/>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0"/>
      <w:numFmt w:val="bullet"/>
      <w:lvlText w:val="-"/>
      <w:lvlJc w:val="left"/>
      <w:pPr>
        <w:spacing w:beforeAutospacing="0" w:afterAutospacing="0" w:line="240" w:lineRule="auto"/>
        <w:ind w:left="720" w:hanging="360"/>
      </w:pPr>
      <w:rPr>
        <w:rFonts w:ascii="Times New Roman" w:hAnsi="Times New Roman"/>
      </w:rPr>
    </w:lvl>
    <w:lvl w:ilvl="1">
      <w:start w:val="1"/>
      <w:numFmt w:val="bullet"/>
      <w:lvlText w:val="o"/>
      <w:lvlJc w:val="left"/>
      <w:pPr>
        <w:spacing w:beforeAutospacing="0" w:afterAutospacing="0" w:line="240" w:lineRule="auto"/>
        <w:ind w:left="1440" w:hanging="360"/>
      </w:pPr>
      <w:rPr>
        <w:rFonts w:ascii="Courier New" w:hAnsi="Courier New"/>
      </w:rPr>
    </w:lvl>
    <w:lvl w:ilvl="2">
      <w:start w:val="1"/>
      <w:numFmt w:val="bullet"/>
      <w:lvlText w:val=""/>
      <w:lvlJc w:val="left"/>
      <w:pPr>
        <w:spacing w:beforeAutospacing="0" w:afterAutospacing="0" w:line="240" w:lineRule="auto"/>
        <w:ind w:left="2160" w:hanging="360"/>
      </w:pPr>
      <w:rPr>
        <w:rFonts w:ascii="Times New Roman" w:hAnsi="Times New Roman"/>
      </w:rPr>
    </w:lvl>
    <w:lvl w:ilvl="3">
      <w:start w:val="1"/>
      <w:numFmt w:val="bullet"/>
      <w:lvlText w:val=""/>
      <w:lvlJc w:val="left"/>
      <w:pPr>
        <w:spacing w:beforeAutospacing="0" w:afterAutospacing="0" w:line="240" w:lineRule="auto"/>
        <w:ind w:left="2880" w:hanging="360"/>
      </w:pPr>
      <w:rPr>
        <w:rFonts w:ascii="Symbol" w:hAnsi="Symbol"/>
      </w:rPr>
    </w:lvl>
    <w:lvl w:ilvl="4">
      <w:start w:val="1"/>
      <w:numFmt w:val="bullet"/>
      <w:lvlText w:val="o"/>
      <w:lvlJc w:val="left"/>
      <w:pPr>
        <w:spacing w:beforeAutospacing="0" w:afterAutospacing="0" w:line="240" w:lineRule="auto"/>
        <w:ind w:left="3600" w:hanging="360"/>
      </w:pPr>
      <w:rPr>
        <w:rFonts w:ascii="Courier New" w:hAnsi="Courier New"/>
      </w:rPr>
    </w:lvl>
    <w:lvl w:ilvl="5">
      <w:start w:val="1"/>
      <w:numFmt w:val="bullet"/>
      <w:lvlText w:val=""/>
      <w:lvlJc w:val="left"/>
      <w:pPr>
        <w:spacing w:beforeAutospacing="0" w:afterAutospacing="0" w:line="240" w:lineRule="auto"/>
        <w:ind w:left="4320" w:hanging="360"/>
      </w:pPr>
      <w:rPr>
        <w:rFonts w:ascii="Times New Roman" w:hAnsi="Times New Roman"/>
      </w:rPr>
    </w:lvl>
    <w:lvl w:ilvl="6">
      <w:start w:val="1"/>
      <w:numFmt w:val="bullet"/>
      <w:lvlText w:val=""/>
      <w:lvlJc w:val="left"/>
      <w:pPr>
        <w:spacing w:beforeAutospacing="0" w:afterAutospacing="0" w:line="240" w:lineRule="auto"/>
        <w:ind w:left="5040" w:hanging="360"/>
      </w:pPr>
      <w:rPr>
        <w:rFonts w:ascii="Symbol" w:hAnsi="Symbol"/>
      </w:rPr>
    </w:lvl>
    <w:lvl w:ilvl="7">
      <w:start w:val="1"/>
      <w:numFmt w:val="bullet"/>
      <w:lvlText w:val="o"/>
      <w:lvlJc w:val="left"/>
      <w:pPr>
        <w:spacing w:beforeAutospacing="0" w:afterAutospacing="0" w:line="240" w:lineRule="auto"/>
        <w:ind w:left="5760" w:hanging="360"/>
      </w:pPr>
      <w:rPr>
        <w:rFonts w:ascii="Courier New" w:hAnsi="Courier New"/>
      </w:rPr>
    </w:lvl>
    <w:lvl w:ilvl="8">
      <w:start w:val="1"/>
      <w:numFmt w:val="bullet"/>
      <w:lvlText w:val=""/>
      <w:lvlJc w:val="left"/>
      <w:pPr>
        <w:spacing w:beforeAutospacing="0" w:afterAutospacing="0" w:line="240" w:lineRule="auto"/>
        <w:ind w:left="6480" w:hanging="360"/>
      </w:pPr>
      <w:rPr>
        <w:rFonts w:ascii="Times New Roman" w:hAnsi="Times New Roman"/>
      </w:rPr>
    </w:lvl>
  </w:abstractNum>
  <w:abstractNum w:abstractNumId="1">
    <w:nsid w:val="00000002"/>
    <w:multiLevelType w:val="hybridMultilevel"/>
    <w:tmpl w:val="00000000"/>
    <w:lvl w:ilvl="0">
      <w:start w:val="0"/>
      <w:numFmt w:val="bullet"/>
      <w:lvlText w:val="-"/>
      <w:lvlJc w:val="left"/>
      <w:pPr>
        <w:spacing w:beforeAutospacing="0" w:afterAutospacing="0" w:line="240" w:lineRule="auto"/>
        <w:ind w:left="1287" w:hanging="360"/>
      </w:pPr>
      <w:rPr>
        <w:rFonts w:ascii="Times New Roman" w:hAnsi="Times New Roman"/>
      </w:rPr>
    </w:lvl>
    <w:lvl w:ilvl="1">
      <w:start w:val="1"/>
      <w:numFmt w:val="bullet"/>
      <w:lvlText w:val="o"/>
      <w:lvlJc w:val="left"/>
      <w:pPr>
        <w:spacing w:beforeAutospacing="0" w:afterAutospacing="0" w:line="240" w:lineRule="auto"/>
        <w:ind w:left="2007" w:hanging="360"/>
      </w:pPr>
      <w:rPr>
        <w:rFonts w:ascii="Courier New" w:hAnsi="Courier New"/>
      </w:rPr>
    </w:lvl>
    <w:lvl w:ilvl="2">
      <w:start w:val="1"/>
      <w:numFmt w:val="bullet"/>
      <w:lvlText w:val=""/>
      <w:lvlJc w:val="left"/>
      <w:pPr>
        <w:spacing w:beforeAutospacing="0" w:afterAutospacing="0" w:line="240" w:lineRule="auto"/>
        <w:ind w:left="2727" w:hanging="360"/>
      </w:pPr>
      <w:rPr>
        <w:rFonts w:ascii="Times New Roman" w:hAnsi="Times New Roman"/>
      </w:rPr>
    </w:lvl>
    <w:lvl w:ilvl="3">
      <w:start w:val="1"/>
      <w:numFmt w:val="bullet"/>
      <w:lvlText w:val=""/>
      <w:lvlJc w:val="left"/>
      <w:pPr>
        <w:spacing w:beforeAutospacing="0" w:afterAutospacing="0" w:line="240" w:lineRule="auto"/>
        <w:ind w:left="3447" w:hanging="360"/>
      </w:pPr>
      <w:rPr>
        <w:rFonts w:ascii="Symbol" w:hAnsi="Symbol"/>
      </w:rPr>
    </w:lvl>
    <w:lvl w:ilvl="4">
      <w:start w:val="1"/>
      <w:numFmt w:val="bullet"/>
      <w:lvlText w:val="o"/>
      <w:lvlJc w:val="left"/>
      <w:pPr>
        <w:spacing w:beforeAutospacing="0" w:afterAutospacing="0" w:line="240" w:lineRule="auto"/>
        <w:ind w:left="4167" w:hanging="360"/>
      </w:pPr>
      <w:rPr>
        <w:rFonts w:ascii="Courier New" w:hAnsi="Courier New"/>
      </w:rPr>
    </w:lvl>
    <w:lvl w:ilvl="5">
      <w:start w:val="1"/>
      <w:numFmt w:val="bullet"/>
      <w:lvlText w:val=""/>
      <w:lvlJc w:val="left"/>
      <w:pPr>
        <w:spacing w:beforeAutospacing="0" w:afterAutospacing="0" w:line="240" w:lineRule="auto"/>
        <w:ind w:left="4887" w:hanging="360"/>
      </w:pPr>
      <w:rPr>
        <w:rFonts w:ascii="Times New Roman" w:hAnsi="Times New Roman"/>
      </w:rPr>
    </w:lvl>
    <w:lvl w:ilvl="6">
      <w:start w:val="1"/>
      <w:numFmt w:val="bullet"/>
      <w:lvlText w:val=""/>
      <w:lvlJc w:val="left"/>
      <w:pPr>
        <w:spacing w:beforeAutospacing="0" w:afterAutospacing="0" w:line="240" w:lineRule="auto"/>
        <w:ind w:left="5607" w:hanging="360"/>
      </w:pPr>
      <w:rPr>
        <w:rFonts w:ascii="Symbol" w:hAnsi="Symbol"/>
      </w:rPr>
    </w:lvl>
    <w:lvl w:ilvl="7">
      <w:start w:val="1"/>
      <w:numFmt w:val="bullet"/>
      <w:lvlText w:val="o"/>
      <w:lvlJc w:val="left"/>
      <w:pPr>
        <w:spacing w:beforeAutospacing="0" w:afterAutospacing="0" w:line="240" w:lineRule="auto"/>
        <w:ind w:left="6327" w:hanging="360"/>
      </w:pPr>
      <w:rPr>
        <w:rFonts w:ascii="Courier New" w:hAnsi="Courier New"/>
      </w:rPr>
    </w:lvl>
    <w:lvl w:ilvl="8">
      <w:start w:val="1"/>
      <w:numFmt w:val="bullet"/>
      <w:lvlText w:val=""/>
      <w:lvlJc w:val="left"/>
      <w:pPr>
        <w:spacing w:beforeAutospacing="0" w:afterAutospacing="0" w:line="240" w:lineRule="auto"/>
        <w:ind w:left="7047" w:hanging="360"/>
      </w:pPr>
      <w:rPr>
        <w:rFonts w:ascii="Times New Roman" w:hAnsi="Times New Roman"/>
      </w:rPr>
    </w:lvl>
  </w:abstractNum>
  <w:abstractNum w:abstractNumId="2">
    <w:nsid w:val="00000003"/>
    <w:multiLevelType w:val="hybridMultilevel"/>
    <w:tmpl w:val="00000000"/>
    <w:lvl w:ilvl="0">
      <w:start w:val="0"/>
      <w:numFmt w:val="bullet"/>
      <w:lvlText w:val="-"/>
      <w:lvlJc w:val="left"/>
      <w:pPr>
        <w:spacing w:beforeAutospacing="0" w:afterAutospacing="0" w:line="240" w:lineRule="auto"/>
        <w:ind w:left="1287" w:hanging="360"/>
      </w:pPr>
      <w:rPr>
        <w:rFonts w:ascii="Times New Roman" w:hAnsi="Times New Roman"/>
      </w:rPr>
    </w:lvl>
    <w:lvl w:ilvl="1">
      <w:start w:val="1"/>
      <w:numFmt w:val="bullet"/>
      <w:lvlText w:val="o"/>
      <w:lvlJc w:val="left"/>
      <w:pPr>
        <w:spacing w:beforeAutospacing="0" w:afterAutospacing="0" w:line="240" w:lineRule="auto"/>
        <w:ind w:left="2007" w:hanging="360"/>
      </w:pPr>
      <w:rPr>
        <w:rFonts w:ascii="Courier New" w:hAnsi="Courier New"/>
      </w:rPr>
    </w:lvl>
    <w:lvl w:ilvl="2">
      <w:start w:val="1"/>
      <w:numFmt w:val="bullet"/>
      <w:lvlText w:val=""/>
      <w:lvlJc w:val="left"/>
      <w:pPr>
        <w:spacing w:beforeAutospacing="0" w:afterAutospacing="0" w:line="240" w:lineRule="auto"/>
        <w:ind w:left="2727" w:hanging="360"/>
      </w:pPr>
      <w:rPr>
        <w:rFonts w:ascii="Times New Roman" w:hAnsi="Times New Roman"/>
      </w:rPr>
    </w:lvl>
    <w:lvl w:ilvl="3">
      <w:start w:val="1"/>
      <w:numFmt w:val="bullet"/>
      <w:lvlText w:val=""/>
      <w:lvlJc w:val="left"/>
      <w:pPr>
        <w:spacing w:beforeAutospacing="0" w:afterAutospacing="0" w:line="240" w:lineRule="auto"/>
        <w:ind w:left="3447" w:hanging="360"/>
      </w:pPr>
      <w:rPr>
        <w:rFonts w:ascii="Symbol" w:hAnsi="Symbol"/>
      </w:rPr>
    </w:lvl>
    <w:lvl w:ilvl="4">
      <w:start w:val="1"/>
      <w:numFmt w:val="bullet"/>
      <w:lvlText w:val="o"/>
      <w:lvlJc w:val="left"/>
      <w:pPr>
        <w:spacing w:beforeAutospacing="0" w:afterAutospacing="0" w:line="240" w:lineRule="auto"/>
        <w:ind w:left="4167" w:hanging="360"/>
      </w:pPr>
      <w:rPr>
        <w:rFonts w:ascii="Courier New" w:hAnsi="Courier New"/>
      </w:rPr>
    </w:lvl>
    <w:lvl w:ilvl="5">
      <w:start w:val="1"/>
      <w:numFmt w:val="bullet"/>
      <w:lvlText w:val=""/>
      <w:lvlJc w:val="left"/>
      <w:pPr>
        <w:spacing w:beforeAutospacing="0" w:afterAutospacing="0" w:line="240" w:lineRule="auto"/>
        <w:ind w:left="4887" w:hanging="360"/>
      </w:pPr>
      <w:rPr>
        <w:rFonts w:ascii="Times New Roman" w:hAnsi="Times New Roman"/>
      </w:rPr>
    </w:lvl>
    <w:lvl w:ilvl="6">
      <w:start w:val="1"/>
      <w:numFmt w:val="bullet"/>
      <w:lvlText w:val=""/>
      <w:lvlJc w:val="left"/>
      <w:pPr>
        <w:spacing w:beforeAutospacing="0" w:afterAutospacing="0" w:line="240" w:lineRule="auto"/>
        <w:ind w:left="5607" w:hanging="360"/>
      </w:pPr>
      <w:rPr>
        <w:rFonts w:ascii="Symbol" w:hAnsi="Symbol"/>
      </w:rPr>
    </w:lvl>
    <w:lvl w:ilvl="7">
      <w:start w:val="1"/>
      <w:numFmt w:val="bullet"/>
      <w:lvlText w:val="o"/>
      <w:lvlJc w:val="left"/>
      <w:pPr>
        <w:spacing w:beforeAutospacing="0" w:afterAutospacing="0" w:line="240" w:lineRule="auto"/>
        <w:ind w:left="6327" w:hanging="360"/>
      </w:pPr>
      <w:rPr>
        <w:rFonts w:ascii="Courier New" w:hAnsi="Courier New"/>
      </w:rPr>
    </w:lvl>
    <w:lvl w:ilvl="8">
      <w:start w:val="1"/>
      <w:numFmt w:val="bullet"/>
      <w:lvlText w:val=""/>
      <w:lvlJc w:val="left"/>
      <w:pPr>
        <w:spacing w:beforeAutospacing="0" w:afterAutospacing="0" w:line="240" w:lineRule="auto"/>
        <w:ind w:left="7047" w:hanging="360"/>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25.0002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51</cp:revision>
  <dcterms:created xsi:type="dcterms:W3CDTF">2021-08-31T06:42:00Z</dcterms:created>
  <dcterms:modified xsi:type="dcterms:W3CDTF">2026-08-19T05:37:06Z</dcterms:modified>
</cp:coreProperties>
</file>