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16.xml" ContentType="application/vnd.ms-office.chartcolorstyle+xml"/>
  <Override PartName="/word/charts/chart/colors17.xml" ContentType="application/vnd.ms-office.chartcolorstyle+xml"/>
  <Override PartName="/word/charts/chart/colors18.xml" ContentType="application/vnd.ms-office.chartcolorstyle+xml"/>
  <Override PartName="/word/charts/chart/colors19.xml" ContentType="application/vnd.ms-office.chartcolorstyle+xml"/>
  <Override PartName="/word/charts/chart/colors2.xml" ContentType="application/vnd.ms-office.chartcolorstyle+xml"/>
  <Override PartName="/word/charts/chart/colors20.xml" ContentType="application/vnd.ms-office.chartcolorstyle+xml"/>
  <Override PartName="/word/charts/chart/colors21.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16.xml" ContentType="application/vnd.ms-office.chartstyle+xml"/>
  <Override PartName="/word/charts/chart/style17.xml" ContentType="application/vnd.ms-office.chartstyle+xml"/>
  <Override PartName="/word/charts/chart/style18.xml" ContentType="application/vnd.ms-office.chartstyle+xml"/>
  <Override PartName="/word/charts/chart/style19.xml" ContentType="application/vnd.ms-office.chartstyle+xml"/>
  <Override PartName="/word/charts/chart/style2.xml" ContentType="application/vnd.ms-office.chartstyle+xml"/>
  <Override PartName="/word/charts/chart/style20.xml" ContentType="application/vnd.ms-office.chartstyle+xml"/>
  <Override PartName="/word/charts/chart/style21.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16.xml" ContentType="application/vnd.openxmlformats-officedocument.themeOverride+xml"/>
  <Override PartName="/word/theme/themeOverride17.xml" ContentType="application/vnd.openxmlformats-officedocument.themeOverride+xml"/>
  <Override PartName="/word/theme/themeOverride18.xml" ContentType="application/vnd.openxmlformats-officedocument.themeOverride+xml"/>
  <Override PartName="/word/theme/themeOverride19.xml" ContentType="application/vnd.openxmlformats-officedocument.themeOverride+xml"/>
  <Override PartName="/word/theme/themeOverride2.xml" ContentType="application/vnd.openxmlformats-officedocument.themeOverride+xml"/>
  <Override PartName="/word/theme/themeOverride20.xml" ContentType="application/vnd.openxmlformats-officedocument.themeOverride+xml"/>
  <Override PartName="/word/theme/themeOverride21.xml" ContentType="application/vnd.openxmlformats-officedocument.themeOverride+xml"/>
  <Override PartName="/word/theme/themeOverride22.xml" ContentType="application/vnd.openxmlformats-officedocument.themeOverride+xml"/>
  <Override PartName="/word/theme/themeOverride23.xml" ContentType="application/vnd.openxmlformats-officedocument.themeOverride+xml"/>
  <Override PartName="/word/theme/themeOverride24.xml" ContentType="application/vnd.openxmlformats-officedocument.themeOverride+xml"/>
  <Override PartName="/word/theme/themeOverride25.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01307E" w:rsidP="0001307E" w14:paraId="4D27B319" w14:textId="6202AAC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ПС-398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07A55" w:rsidRPr="00407A55" w:rsidP="00407A55" w14:paraId="06F32447" w14:textId="77777777">
      <w:pPr>
        <w:spacing w:after="0" w:line="240" w:lineRule="auto"/>
        <w:ind w:firstLine="567"/>
        <w:jc w:val="center"/>
        <w:rPr>
          <w:rFonts w:ascii="Times New Roman" w:eastAsia="Times New Roman" w:hAnsi="Times New Roman" w:cs="Times New Roman"/>
          <w:b/>
          <w:sz w:val="27"/>
          <w:szCs w:val="27"/>
          <w:lang w:eastAsia="ru-RU"/>
        </w:rPr>
      </w:pPr>
      <w:r w:rsidRPr="00407A55">
        <w:rPr>
          <w:rFonts w:ascii="Times New Roman" w:eastAsia="Times New Roman" w:hAnsi="Times New Roman" w:cs="Times New Roman"/>
          <w:b/>
          <w:sz w:val="27"/>
          <w:szCs w:val="27"/>
          <w:lang w:eastAsia="ru-RU"/>
        </w:rPr>
        <w:t>Звіт про виконання</w:t>
      </w:r>
    </w:p>
    <w:p w:rsidR="00407A55" w:rsidRPr="00407A55" w:rsidP="00407A55" w14:paraId="38C37695" w14:textId="77777777">
      <w:pPr>
        <w:spacing w:after="0" w:line="240" w:lineRule="auto"/>
        <w:ind w:firstLine="567"/>
        <w:jc w:val="center"/>
        <w:rPr>
          <w:rFonts w:ascii="Times New Roman" w:eastAsia="Times New Roman" w:hAnsi="Times New Roman" w:cs="Times New Roman"/>
          <w:b/>
          <w:sz w:val="27"/>
          <w:szCs w:val="27"/>
          <w:lang w:eastAsia="ru-RU"/>
        </w:rPr>
      </w:pPr>
      <w:r w:rsidRPr="00407A55">
        <w:rPr>
          <w:rFonts w:ascii="Times New Roman" w:eastAsia="Times New Roman" w:hAnsi="Times New Roman" w:cs="Times New Roman"/>
          <w:b/>
          <w:sz w:val="27"/>
          <w:szCs w:val="27"/>
          <w:lang w:eastAsia="ru-RU"/>
        </w:rPr>
        <w:t xml:space="preserve"> Програми соціально-економічного та культурного розвитку Броварської міської територіальної громади</w:t>
      </w:r>
    </w:p>
    <w:p w:rsidR="00407A55" w:rsidRPr="00407A55" w:rsidP="00407A55" w14:paraId="3DA91436" w14:textId="77777777">
      <w:pPr>
        <w:spacing w:after="0" w:line="240" w:lineRule="auto"/>
        <w:ind w:firstLine="567"/>
        <w:jc w:val="center"/>
        <w:rPr>
          <w:rFonts w:ascii="Times New Roman" w:eastAsia="Times New Roman" w:hAnsi="Times New Roman" w:cs="Times New Roman"/>
          <w:b/>
          <w:sz w:val="27"/>
          <w:szCs w:val="27"/>
          <w:lang w:eastAsia="ru-RU"/>
        </w:rPr>
      </w:pPr>
      <w:r w:rsidRPr="00407A55">
        <w:rPr>
          <w:rFonts w:ascii="Times New Roman" w:eastAsia="Times New Roman" w:hAnsi="Times New Roman" w:cs="Times New Roman"/>
          <w:b/>
          <w:sz w:val="27"/>
          <w:szCs w:val="27"/>
          <w:lang w:eastAsia="ru-RU"/>
        </w:rPr>
        <w:t>за І півріччя 2026 року</w:t>
      </w:r>
    </w:p>
    <w:p w:rsidR="00407A55" w:rsidRPr="00407A55" w:rsidP="00407A55" w14:paraId="1A792C8B" w14:textId="77777777">
      <w:pPr>
        <w:spacing w:after="0" w:line="240" w:lineRule="auto"/>
        <w:ind w:firstLine="567"/>
        <w:jc w:val="center"/>
        <w:rPr>
          <w:rFonts w:ascii="Times New Roman" w:eastAsia="Times New Roman" w:hAnsi="Times New Roman" w:cs="Times New Roman"/>
          <w:b/>
          <w:sz w:val="27"/>
          <w:szCs w:val="27"/>
          <w:lang w:eastAsia="ru-RU"/>
        </w:rPr>
      </w:pPr>
    </w:p>
    <w:p w:rsidR="00407A55" w:rsidRPr="00407A55" w:rsidP="00407A55" w14:paraId="35AE8A91" w14:textId="77777777">
      <w:pPr>
        <w:shd w:val="clear" w:color="auto" w:fill="FFFFFF"/>
        <w:spacing w:after="0" w:line="240" w:lineRule="auto"/>
        <w:ind w:firstLine="567"/>
        <w:contextualSpacing/>
        <w:jc w:val="both"/>
        <w:rPr>
          <w:rFonts w:ascii="Times New Roman" w:eastAsia="Times New Roman" w:hAnsi="Times New Roman" w:cs="Times New Roman"/>
          <w:b/>
          <w:sz w:val="27"/>
          <w:szCs w:val="27"/>
          <w:lang w:eastAsia="ru-RU"/>
        </w:rPr>
      </w:pPr>
      <w:bookmarkStart w:id="1" w:name="_Hlk108764492"/>
      <w:r w:rsidRPr="00407A55">
        <w:rPr>
          <w:rFonts w:ascii="Times New Roman" w:eastAsia="Times New Roman" w:hAnsi="Times New Roman" w:cs="Times New Roman"/>
          <w:sz w:val="27"/>
          <w:szCs w:val="27"/>
          <w:lang w:eastAsia="ru-RU"/>
        </w:rPr>
        <w:t>На виконання основних завдань «Стратегії розвитку Київської області на 2021-2027 роки», затвердженої рішенням Київської обласної ради від 19.12.2019 №</w:t>
      </w:r>
      <w:r w:rsidRPr="00407A55">
        <w:rPr>
          <w:rFonts w:ascii="Times New Roman" w:eastAsia="Times New Roman" w:hAnsi="Times New Roman" w:cs="Times New Roman"/>
          <w:sz w:val="27"/>
          <w:szCs w:val="27"/>
          <w:lang w:val="ru-RU" w:eastAsia="ru-RU"/>
        </w:rPr>
        <w:t> </w:t>
      </w:r>
      <w:r w:rsidRPr="00407A55">
        <w:rPr>
          <w:rFonts w:ascii="Times New Roman" w:eastAsia="Times New Roman" w:hAnsi="Times New Roman" w:cs="Times New Roman"/>
          <w:sz w:val="27"/>
          <w:szCs w:val="27"/>
          <w:lang w:eastAsia="ru-RU"/>
        </w:rPr>
        <w:t>789-32-</w:t>
      </w:r>
      <w:r w:rsidRPr="00407A55">
        <w:rPr>
          <w:rFonts w:ascii="Times New Roman" w:eastAsia="Times New Roman" w:hAnsi="Times New Roman" w:cs="Times New Roman"/>
          <w:sz w:val="27"/>
          <w:szCs w:val="27"/>
          <w:lang w:val="ru-RU" w:eastAsia="ru-RU"/>
        </w:rPr>
        <w:t>VII</w:t>
      </w:r>
      <w:r w:rsidRPr="00407A55">
        <w:rPr>
          <w:rFonts w:ascii="Times New Roman" w:eastAsia="Times New Roman" w:hAnsi="Times New Roman" w:cs="Times New Roman"/>
          <w:sz w:val="27"/>
          <w:szCs w:val="27"/>
          <w:lang w:eastAsia="ru-RU"/>
        </w:rPr>
        <w:t xml:space="preserve"> (зі</w:t>
      </w:r>
      <w:r w:rsidRPr="00407A55">
        <w:rPr>
          <w:rFonts w:ascii="Times New Roman" w:eastAsia="Times New Roman" w:hAnsi="Times New Roman" w:cs="Times New Roman"/>
          <w:sz w:val="27"/>
          <w:szCs w:val="27"/>
          <w:lang w:val="ru-RU" w:eastAsia="ru-RU"/>
        </w:rPr>
        <w:t> </w:t>
      </w:r>
      <w:r w:rsidRPr="00407A55">
        <w:rPr>
          <w:rFonts w:ascii="Times New Roman" w:eastAsia="Times New Roman" w:hAnsi="Times New Roman" w:cs="Times New Roman"/>
          <w:sz w:val="27"/>
          <w:szCs w:val="27"/>
          <w:lang w:eastAsia="ru-RU"/>
        </w:rPr>
        <w:t>змінами); Бюджетної декларації на 2026-2028 роки, затвердженої постановою Кабінету Міністрів України від 27 червня 2025 року № 774; ц</w:t>
      </w:r>
      <w:r w:rsidRPr="00407A55">
        <w:rPr>
          <w:rFonts w:ascii="Times New Roman" w:eastAsia="Times New Roman" w:hAnsi="Times New Roman" w:cs="Times New Roman"/>
          <w:color w:val="000000"/>
          <w:sz w:val="27"/>
          <w:szCs w:val="27"/>
          <w:lang w:eastAsia="ru-RU"/>
        </w:rPr>
        <w:t>ілей сталого розвитку України на період до 2030 року (Указ Президента України від 30.09.2019 № 722); завдань щодо досягнення</w:t>
      </w:r>
      <w:r w:rsidRPr="00407A55">
        <w:rPr>
          <w:rFonts w:ascii="Times New Roman" w:eastAsia="Times New Roman" w:hAnsi="Times New Roman" w:cs="Times New Roman"/>
          <w:color w:val="000000"/>
          <w:sz w:val="27"/>
          <w:szCs w:val="27"/>
          <w:lang w:val="ru-RU" w:eastAsia="ru-RU"/>
        </w:rPr>
        <w:t> </w:t>
      </w:r>
      <w:hyperlink r:id="rId4" w:tgtFrame="_blank" w:history="1">
        <w:r w:rsidRPr="00407A55">
          <w:rPr>
            <w:rFonts w:ascii="Times New Roman" w:eastAsia="Times New Roman" w:hAnsi="Times New Roman" w:cs="Times New Roman"/>
            <w:color w:val="000000"/>
            <w:sz w:val="27"/>
            <w:szCs w:val="27"/>
            <w:lang w:eastAsia="ru-RU"/>
          </w:rPr>
          <w:t>Цілей сталого розвитку на період до 2030 року</w:t>
        </w:r>
      </w:hyperlink>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 xml:space="preserve">та індикаторів їх досягнення (затверджених розпорядженням Кабінету Міністрів України від 29 листопада 2024 р. № 1190-р «Деякі питання забезпечення досягнення Цілей сталого розвитку в Україні»); державної стратегії регіонального розвитку на 2021-2027 роки, затвердженої постановою Кабінету Міністрів України від </w:t>
      </w:r>
      <w:r w:rsidRPr="00407A55">
        <w:rPr>
          <w:rFonts w:ascii="Times New Roman" w:eastAsia="Times New Roman" w:hAnsi="Times New Roman" w:cs="Times New Roman"/>
          <w:color w:val="000000"/>
          <w:spacing w:val="-4"/>
          <w:sz w:val="27"/>
          <w:szCs w:val="27"/>
          <w:lang w:eastAsia="ru-RU"/>
        </w:rPr>
        <w:t>05.08.2020 № 695 (зі змінами)</w:t>
      </w:r>
      <w:r w:rsidRPr="00407A55">
        <w:rPr>
          <w:rFonts w:ascii="Times New Roman" w:eastAsia="Times New Roman" w:hAnsi="Times New Roman" w:cs="Times New Roman"/>
          <w:color w:val="000000"/>
          <w:sz w:val="27"/>
          <w:szCs w:val="27"/>
          <w:lang w:eastAsia="ru-RU"/>
        </w:rPr>
        <w:t>; п</w:t>
      </w:r>
      <w:r w:rsidRPr="00407A55">
        <w:rPr>
          <w:rFonts w:ascii="Times New Roman" w:eastAsia="Times New Roman" w:hAnsi="Times New Roman" w:cs="Times New Roman"/>
          <w:spacing w:val="-4"/>
          <w:sz w:val="27"/>
          <w:szCs w:val="27"/>
          <w:lang w:eastAsia="ru-RU"/>
        </w:rPr>
        <w:t>лану заходів на 2025-2027 роки з реалізації Державної стратегії регіонального розвитку на 2021-2027 роки, затвердженого розпорядженням Кабінету Міністрів України від 25 вересня 2025 року № 1047-р; п</w:t>
      </w:r>
      <w:r w:rsidRPr="00407A55">
        <w:rPr>
          <w:rFonts w:ascii="Times New Roman" w:eastAsia="Times New Roman" w:hAnsi="Times New Roman" w:cs="Times New Roman"/>
          <w:color w:val="000000"/>
          <w:sz w:val="27"/>
          <w:szCs w:val="27"/>
          <w:lang w:eastAsia="ru-RU"/>
        </w:rPr>
        <w:t>рогнозу економічного і соціального розвитку України на 2024-2026 роки, затвердженого постановою Кабінету Міністрів України від</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15.12.2023 №</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1315; стратегії розвитку Броварської міської територіальної громади</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 xml:space="preserve"> до 2027 року та Плану заходів з реалізації Стратегії розвитку Броварської міської територіальної громади</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 xml:space="preserve"> до 2027 року, затвердженої рішенням сесії Броварської міської ради Броварського району Київської області від 31.07.2025 № 2203-96-08;</w:t>
      </w:r>
      <w:bookmarkEnd w:id="1"/>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sz w:val="27"/>
          <w:szCs w:val="27"/>
          <w:lang w:eastAsia="ru-RU"/>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2026 рік, затвердженої рішенням Броварської міської ради Броварського району </w:t>
      </w:r>
      <w:r w:rsidRPr="00407A55">
        <w:rPr>
          <w:rFonts w:ascii="Times New Roman" w:eastAsia="Times New Roman" w:hAnsi="Times New Roman" w:cs="Times New Roman"/>
          <w:color w:val="000000"/>
          <w:sz w:val="27"/>
          <w:szCs w:val="27"/>
          <w:lang w:eastAsia="ru-RU"/>
        </w:rPr>
        <w:t>Київської області від 29.01.2026 № 2521-110-08 (зі змінами) у Броварській міській територіальній громаді (далі - громада) протягом І півріччя 2026 року проведена відповідна</w:t>
      </w:r>
      <w:r w:rsidRPr="00407A55">
        <w:rPr>
          <w:rFonts w:ascii="Times New Roman" w:eastAsia="Times New Roman" w:hAnsi="Times New Roman" w:cs="Times New Roman"/>
          <w:sz w:val="27"/>
          <w:szCs w:val="27"/>
          <w:lang w:eastAsia="ru-RU"/>
        </w:rPr>
        <w:t xml:space="preserve"> робота.</w:t>
      </w:r>
      <w:r w:rsidRPr="00407A55">
        <w:rPr>
          <w:rFonts w:ascii="Times New Roman" w:eastAsia="Times New Roman" w:hAnsi="Times New Roman" w:cs="Times New Roman"/>
          <w:b/>
          <w:sz w:val="27"/>
          <w:szCs w:val="27"/>
          <w:lang w:eastAsia="ru-RU"/>
        </w:rPr>
        <w:t xml:space="preserve">      </w:t>
      </w:r>
    </w:p>
    <w:p w:rsidR="00407A55" w:rsidRPr="00407A55" w:rsidP="00407A55" w14:paraId="0406ADC1" w14:textId="77777777">
      <w:pPr>
        <w:shd w:val="clear" w:color="auto" w:fill="FFFFFF"/>
        <w:spacing w:after="0" w:line="240" w:lineRule="auto"/>
        <w:ind w:firstLine="567"/>
        <w:contextualSpacing/>
        <w:jc w:val="both"/>
        <w:rPr>
          <w:rFonts w:ascii="Times New Roman" w:eastAsia="Times New Roman" w:hAnsi="Times New Roman" w:cs="Times New Roman"/>
          <w:b/>
          <w:sz w:val="27"/>
          <w:szCs w:val="27"/>
          <w:lang w:eastAsia="ru-RU"/>
        </w:rPr>
      </w:pPr>
      <w:r w:rsidRPr="00407A55">
        <w:rPr>
          <w:rFonts w:ascii="Times New Roman" w:eastAsia="Times New Roman" w:hAnsi="Times New Roman" w:cs="Times New Roman"/>
          <w:b/>
          <w:sz w:val="27"/>
          <w:szCs w:val="27"/>
          <w:lang w:eastAsia="ru-RU"/>
        </w:rPr>
        <w:t xml:space="preserve">                                    </w:t>
      </w:r>
    </w:p>
    <w:p w:rsidR="00407A55" w:rsidRPr="00407A55" w:rsidP="00407A55" w14:paraId="0F4466C2" w14:textId="77777777">
      <w:pPr>
        <w:spacing w:after="0" w:line="240" w:lineRule="auto"/>
        <w:ind w:firstLine="567"/>
        <w:contextualSpacing/>
        <w:jc w:val="center"/>
        <w:rPr>
          <w:rFonts w:ascii="Times New Roman" w:eastAsia="Times New Roman" w:hAnsi="Times New Roman" w:cs="Times New Roman"/>
          <w:b/>
          <w:bCs/>
          <w:i/>
          <w:iCs/>
          <w:sz w:val="27"/>
          <w:szCs w:val="27"/>
        </w:rPr>
      </w:pPr>
      <w:r w:rsidRPr="00407A55">
        <w:rPr>
          <w:rFonts w:ascii="Times New Roman" w:eastAsia="Times New Roman" w:hAnsi="Times New Roman" w:cs="Times New Roman"/>
          <w:b/>
          <w:bCs/>
          <w:i/>
          <w:iCs/>
          <w:sz w:val="27"/>
          <w:szCs w:val="27"/>
        </w:rPr>
        <w:t>Безпека життєдіяльності та цивільний захист</w:t>
      </w:r>
    </w:p>
    <w:p w:rsidR="00407A55" w:rsidRPr="00407A55" w:rsidP="00407A55" w14:paraId="4E26E94E" w14:textId="77777777">
      <w:pPr>
        <w:widowControl w:val="0"/>
        <w:spacing w:after="0" w:line="240" w:lineRule="auto"/>
        <w:ind w:firstLine="567"/>
        <w:jc w:val="both"/>
        <w:rPr>
          <w:rFonts w:ascii="Times New Roman" w:eastAsia="Calibri" w:hAnsi="Times New Roman" w:cs="Times New Roman"/>
          <w:color w:val="000000"/>
          <w:sz w:val="27"/>
          <w:szCs w:val="27"/>
          <w:lang w:eastAsia="en-US"/>
        </w:rPr>
      </w:pPr>
      <w:bookmarkStart w:id="2" w:name="_Hlk219895690"/>
      <w:r w:rsidRPr="00407A55">
        <w:rPr>
          <w:rFonts w:ascii="Times New Roman" w:eastAsia="Calibri" w:hAnsi="Times New Roman" w:cs="Times New Roman"/>
          <w:color w:val="000000"/>
          <w:sz w:val="27"/>
          <w:szCs w:val="27"/>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407A55" w:rsidRPr="00407A55" w:rsidP="00407A55" w14:paraId="45D14474"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Calibri" w:hAnsi="Times New Roman" w:cs="Times New Roman"/>
          <w:color w:val="000000"/>
          <w:sz w:val="27"/>
          <w:szCs w:val="27"/>
          <w:lang w:eastAsia="ru-RU"/>
        </w:rPr>
        <w:t xml:space="preserve">З початку повномасштабної агресії російської федерації проти України на території громади пошкоджень зазнали </w:t>
      </w:r>
      <w:r w:rsidRPr="00407A55">
        <w:rPr>
          <w:rFonts w:ascii="Times New Roman" w:eastAsia="Times New Roman" w:hAnsi="Times New Roman" w:cs="Times New Roman"/>
          <w:color w:val="000000"/>
          <w:sz w:val="27"/>
          <w:szCs w:val="27"/>
          <w:lang w:eastAsia="ru-RU"/>
        </w:rPr>
        <w:t xml:space="preserve">172 житлових будинків громади, з них 140 приватних будинків та 32 багатоквартирних житлових будинків. </w:t>
      </w:r>
    </w:p>
    <w:p w:rsidR="00407A55" w:rsidRPr="00407A55" w:rsidP="00407A55" w14:paraId="083BFE4B" w14:textId="77777777">
      <w:pPr>
        <w:spacing w:after="0" w:line="240" w:lineRule="auto"/>
        <w:ind w:firstLine="567"/>
        <w:jc w:val="both"/>
        <w:rPr>
          <w:rFonts w:ascii="Times New Roman" w:eastAsia="Times New Roman" w:hAnsi="Times New Roman" w:cs="Times New Roman"/>
          <w:b/>
          <w:bCs/>
          <w:sz w:val="27"/>
          <w:szCs w:val="27"/>
          <w:lang w:val="ru-RU"/>
        </w:rPr>
      </w:pPr>
      <w:r w:rsidRPr="00407A55">
        <w:rPr>
          <w:rFonts w:ascii="Times New Roman" w:eastAsia="Times New Roman" w:hAnsi="Times New Roman" w:cs="Times New Roman"/>
          <w:color w:val="000000"/>
          <w:sz w:val="27"/>
          <w:szCs w:val="27"/>
          <w:lang w:val="ru-RU" w:eastAsia="ru-RU"/>
        </w:rPr>
        <w:t xml:space="preserve">Для відновлення домогосподарств у І півріччі 2026 року за рахунок коштів місцевого бюджету відповідно місцевої програми «З турботою про кожного» виплачено компенсацію постраждалим у сумі </w:t>
      </w:r>
      <w:r w:rsidRPr="00407A55">
        <w:rPr>
          <w:rFonts w:ascii="Times New Roman" w:eastAsia="Times New Roman" w:hAnsi="Times New Roman" w:cs="Times New Roman"/>
          <w:sz w:val="27"/>
          <w:szCs w:val="27"/>
          <w:lang w:val="ru-RU"/>
        </w:rPr>
        <w:t>4 115,7 тис.грн.</w:t>
      </w:r>
      <w:r w:rsidRPr="00407A55">
        <w:rPr>
          <w:rFonts w:ascii="Times New Roman" w:eastAsia="Times New Roman" w:hAnsi="Times New Roman" w:cs="Times New Roman"/>
          <w:color w:val="000000"/>
          <w:sz w:val="27"/>
          <w:szCs w:val="27"/>
          <w:lang w:val="ru-RU" w:eastAsia="ru-RU"/>
        </w:rPr>
        <w:t xml:space="preserve"> </w:t>
      </w:r>
    </w:p>
    <w:p w:rsidR="00407A55" w:rsidRPr="00407A55" w:rsidP="00407A55" w14:paraId="00974929"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sz w:val="27"/>
          <w:szCs w:val="27"/>
          <w:lang w:val="ru-RU" w:eastAsia="ru-RU"/>
        </w:rPr>
        <w:t>Відповідно до державної програми «єВідновлення» кількість власників пошкодженого та знищеного майна, які звернулися за допомогою (станом на 30.06.2026), становить 142 особи.</w:t>
      </w:r>
      <w:r w:rsidRPr="00407A55">
        <w:rPr>
          <w:rFonts w:ascii="Times New Roman" w:eastAsia="Times New Roman" w:hAnsi="Times New Roman" w:cs="Times New Roman"/>
          <w:color w:val="000000"/>
          <w:sz w:val="27"/>
          <w:szCs w:val="27"/>
          <w:lang w:val="ru-RU" w:eastAsia="ru-RU"/>
        </w:rPr>
        <w:t xml:space="preserve"> </w:t>
      </w:r>
    </w:p>
    <w:p w:rsidR="00407A55" w:rsidRPr="00407A55" w:rsidP="00407A55" w14:paraId="46DE4911"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sz w:val="27"/>
          <w:szCs w:val="27"/>
          <w:lang w:val="ru-RU" w:eastAsia="ru-RU"/>
        </w:rPr>
        <w:t>Відповідно до «Програм</w:t>
      </w:r>
      <w:r w:rsidRPr="00407A55">
        <w:rPr>
          <w:rFonts w:ascii="Times New Roman" w:eastAsia="Times New Roman" w:hAnsi="Times New Roman" w:cs="Times New Roman"/>
          <w:sz w:val="27"/>
          <w:szCs w:val="27"/>
          <w:lang w:eastAsia="ru-RU"/>
        </w:rPr>
        <w:t>и</w:t>
      </w:r>
      <w:r w:rsidRPr="00407A55">
        <w:rPr>
          <w:rFonts w:ascii="Times New Roman" w:eastAsia="Times New Roman" w:hAnsi="Times New Roman" w:cs="Times New Roman"/>
          <w:sz w:val="27"/>
          <w:szCs w:val="27"/>
          <w:lang w:val="ru-RU" w:eastAsia="ru-RU"/>
        </w:rPr>
        <w:t xml:space="preserve"> капітального, поточного ремонту та реконструкції об'єктів житлового фонду Броварської міської територіальної громади Київської області на 2025-2029 роки» </w:t>
      </w:r>
      <w:r w:rsidRPr="00407A55">
        <w:rPr>
          <w:rFonts w:ascii="Times New Roman" w:eastAsia="Times New Roman" w:hAnsi="Times New Roman" w:cs="Times New Roman"/>
          <w:sz w:val="27"/>
          <w:szCs w:val="27"/>
          <w:lang w:eastAsia="ru-RU"/>
        </w:rPr>
        <w:t>виконано роботи з</w:t>
      </w:r>
      <w:r w:rsidRPr="00407A55">
        <w:rPr>
          <w:rFonts w:ascii="Times New Roman" w:eastAsia="Times New Roman" w:hAnsi="Times New Roman" w:cs="Times New Roman"/>
          <w:sz w:val="27"/>
          <w:szCs w:val="27"/>
          <w:lang w:val="ru-RU" w:eastAsia="ru-RU"/>
        </w:rPr>
        <w:t xml:space="preserve"> капітальн</w:t>
      </w:r>
      <w:r w:rsidRPr="00407A55">
        <w:rPr>
          <w:rFonts w:ascii="Times New Roman" w:eastAsia="Times New Roman" w:hAnsi="Times New Roman" w:cs="Times New Roman"/>
          <w:sz w:val="27"/>
          <w:szCs w:val="27"/>
          <w:lang w:eastAsia="ru-RU"/>
        </w:rPr>
        <w:t>ого</w:t>
      </w:r>
      <w:r w:rsidRPr="00407A55">
        <w:rPr>
          <w:rFonts w:ascii="Times New Roman" w:eastAsia="Times New Roman" w:hAnsi="Times New Roman" w:cs="Times New Roman"/>
          <w:sz w:val="27"/>
          <w:szCs w:val="27"/>
          <w:lang w:val="ru-RU" w:eastAsia="ru-RU"/>
        </w:rPr>
        <w:t xml:space="preserve"> ремонт</w:t>
      </w:r>
      <w:r w:rsidRPr="00407A55">
        <w:rPr>
          <w:rFonts w:ascii="Times New Roman" w:eastAsia="Times New Roman" w:hAnsi="Times New Roman" w:cs="Times New Roman"/>
          <w:sz w:val="27"/>
          <w:szCs w:val="27"/>
          <w:lang w:eastAsia="ru-RU"/>
        </w:rPr>
        <w:t>у</w:t>
      </w:r>
      <w:r w:rsidRPr="00407A55">
        <w:rPr>
          <w:rFonts w:ascii="Times New Roman" w:eastAsia="Times New Roman" w:hAnsi="Times New Roman" w:cs="Times New Roman"/>
          <w:sz w:val="27"/>
          <w:szCs w:val="27"/>
          <w:lang w:val="ru-RU" w:eastAsia="ru-RU"/>
        </w:rPr>
        <w:t xml:space="preserve"> (для ліквідації надзвичайної ситуації внаслідок збройної агресії) конструктивних елементів багатоквартирного будинку по вул. Чорних Запорожців, 54-А м. Бровари Броварського району Київської області</w:t>
      </w:r>
      <w:r w:rsidRPr="00407A55">
        <w:rPr>
          <w:rFonts w:ascii="Times New Roman" w:eastAsia="Times New Roman" w:hAnsi="Times New Roman" w:cs="Times New Roman"/>
          <w:sz w:val="27"/>
          <w:szCs w:val="27"/>
          <w:lang w:eastAsia="ru-RU"/>
        </w:rPr>
        <w:t xml:space="preserve"> на суму </w:t>
      </w:r>
      <w:r w:rsidRPr="00407A55">
        <w:rPr>
          <w:rFonts w:ascii="Times New Roman" w:eastAsia="Times New Roman" w:hAnsi="Times New Roman" w:cs="Times New Roman"/>
          <w:sz w:val="27"/>
          <w:szCs w:val="27"/>
          <w:lang w:val="ru-RU" w:eastAsia="ru-RU"/>
        </w:rPr>
        <w:t>962,4 тис. грн.</w:t>
      </w:r>
    </w:p>
    <w:p w:rsidR="00407A55" w:rsidRPr="00407A55" w:rsidP="00407A55" w14:paraId="58A5DA3B"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З метою надання допомоги власникам пошкодженого майна діє Програма проведення робіт з обстеження пошкоджених об`єктів Броварської міської територіальної громади на 2025-2026 роки" від 30.01.2025р. №1965-86-08 (зі змінами), яка профінансована в І півріччі 2026 року на суму 126,16 тис. грн.</w:t>
      </w:r>
    </w:p>
    <w:p w:rsidR="00407A55" w:rsidRPr="00407A55" w:rsidP="00407A55" w14:paraId="6DB1F28E"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у 2026 році діють місцеві програми: </w:t>
      </w:r>
    </w:p>
    <w:p w:rsidR="00407A55" w:rsidRPr="00407A55" w:rsidP="00407A55" w14:paraId="5EB32BB8" w14:textId="77777777">
      <w:pPr>
        <w:numPr>
          <w:ilvl w:val="0"/>
          <w:numId w:val="12"/>
        </w:numPr>
        <w:spacing w:after="0" w:line="240" w:lineRule="auto"/>
        <w:ind w:left="0"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4 851,3 тис. грн.; </w:t>
      </w:r>
    </w:p>
    <w:p w:rsidR="00407A55" w:rsidRPr="00407A55" w:rsidP="00407A55" w14:paraId="1AA10EAF" w14:textId="77777777">
      <w:pPr>
        <w:numPr>
          <w:ilvl w:val="0"/>
          <w:numId w:val="12"/>
        </w:numPr>
        <w:spacing w:after="0" w:line="240" w:lineRule="auto"/>
        <w:ind w:left="0"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Програма заходів з територіальної оборони в Броварській міській територіальній громаді на 2026 рік – 84 850,7 тис. грн.;</w:t>
      </w:r>
    </w:p>
    <w:p w:rsidR="00407A55" w:rsidRPr="00407A55" w:rsidP="00407A55" w14:paraId="2FBD0513" w14:textId="77777777">
      <w:pPr>
        <w:numPr>
          <w:ilvl w:val="0"/>
          <w:numId w:val="12"/>
        </w:numPr>
        <w:spacing w:after="0" w:line="240" w:lineRule="auto"/>
        <w:ind w:left="0"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Цільова 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 – 8 936,0 тис. грн.;</w:t>
      </w:r>
    </w:p>
    <w:p w:rsidR="00407A55" w:rsidRPr="00407A55" w:rsidP="00407A55" w14:paraId="017877E8" w14:textId="77777777">
      <w:pPr>
        <w:numPr>
          <w:ilvl w:val="0"/>
          <w:numId w:val="12"/>
        </w:numPr>
        <w:spacing w:after="0" w:line="240" w:lineRule="auto"/>
        <w:ind w:left="0"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 xml:space="preserve">Програма стійкості та забезпечення </w:t>
      </w:r>
      <w:r w:rsidRPr="00407A55">
        <w:rPr>
          <w:rFonts w:ascii="Times New Roman" w:eastAsia="Times New Roman" w:hAnsi="Times New Roman" w:cs="Times New Roman"/>
          <w:sz w:val="27"/>
          <w:szCs w:val="27"/>
          <w:lang w:val="ru-RU" w:eastAsia="ru-RU"/>
        </w:rPr>
        <w:t>життєдіяльності</w:t>
      </w:r>
      <w:r w:rsidRPr="00407A55">
        <w:rPr>
          <w:rFonts w:ascii="Times New Roman" w:eastAsia="Times New Roman" w:hAnsi="Times New Roman" w:cs="Times New Roman"/>
          <w:color w:val="000000"/>
          <w:sz w:val="27"/>
          <w:szCs w:val="27"/>
          <w:lang w:val="ru-RU" w:eastAsia="ru-RU"/>
        </w:rPr>
        <w:t xml:space="preserve"> Броварської міської територіальної громади Київської області на 2023-2027 роки – 13 976,1 тис. грн.; </w:t>
      </w:r>
    </w:p>
    <w:p w:rsidR="00407A55" w:rsidRPr="00407A55" w:rsidP="00407A55" w14:paraId="059CB622" w14:textId="77777777">
      <w:pPr>
        <w:numPr>
          <w:ilvl w:val="0"/>
          <w:numId w:val="12"/>
        </w:numPr>
        <w:spacing w:after="0" w:line="240" w:lineRule="auto"/>
        <w:ind w:left="0" w:firstLine="567"/>
        <w:rPr>
          <w:rFonts w:ascii="Times New Roman" w:eastAsia="Times New Roman" w:hAnsi="Times New Roman" w:cs="Times New Roman"/>
          <w:b/>
          <w:bCs/>
          <w:sz w:val="27"/>
          <w:szCs w:val="27"/>
          <w:lang w:val="ru-RU" w:eastAsia="ru-RU"/>
        </w:rPr>
      </w:pPr>
      <w:r w:rsidRPr="00407A55">
        <w:rPr>
          <w:rFonts w:ascii="Times New Roman" w:eastAsia="Times New Roman" w:hAnsi="Times New Roman" w:cs="Times New Roman"/>
          <w:color w:val="000000"/>
          <w:sz w:val="27"/>
          <w:szCs w:val="27"/>
          <w:lang w:val="ru-RU" w:eastAsia="ru-RU"/>
        </w:rPr>
        <w:t>Програма «Безпечна громада» на 2025-2029 роки – 2 269,8</w:t>
      </w:r>
      <w:r w:rsidRPr="00407A55">
        <w:rPr>
          <w:rFonts w:ascii="Times New Roman" w:eastAsia="Times New Roman" w:hAnsi="Times New Roman" w:cs="Times New Roman"/>
          <w:b/>
          <w:bCs/>
          <w:sz w:val="27"/>
          <w:szCs w:val="27"/>
          <w:lang w:val="ru-RU" w:eastAsia="ru-RU"/>
        </w:rPr>
        <w:t xml:space="preserve"> </w:t>
      </w:r>
      <w:r w:rsidRPr="00407A55">
        <w:rPr>
          <w:rFonts w:ascii="Times New Roman" w:eastAsia="Times New Roman" w:hAnsi="Times New Roman" w:cs="Times New Roman"/>
          <w:color w:val="000000"/>
          <w:sz w:val="27"/>
          <w:szCs w:val="27"/>
          <w:lang w:val="ru-RU" w:eastAsia="ru-RU"/>
        </w:rPr>
        <w:t>тис. грн.</w:t>
      </w:r>
      <w:r w:rsidRPr="00407A55">
        <w:rPr>
          <w:rFonts w:ascii="Times New Roman" w:eastAsia="Times New Roman" w:hAnsi="Times New Roman" w:cs="Times New Roman"/>
          <w:b/>
          <w:bCs/>
          <w:sz w:val="27"/>
          <w:szCs w:val="27"/>
          <w:lang w:val="ru-RU" w:eastAsia="ru-RU"/>
        </w:rPr>
        <w:t xml:space="preserve"> </w:t>
      </w:r>
    </w:p>
    <w:p w:rsidR="00407A55" w:rsidRPr="00407A55" w:rsidP="00407A55" w14:paraId="6803E854" w14:textId="77777777">
      <w:pPr>
        <w:spacing w:after="0" w:line="240" w:lineRule="auto"/>
        <w:ind w:firstLine="567"/>
        <w:contextualSpacing/>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407A55" w:rsidRPr="00407A55" w:rsidP="00407A55" w14:paraId="78F4C9C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7"/>
          <w:szCs w:val="27"/>
          <w:lang w:val="uk" w:eastAsia="ru-RU"/>
        </w:rPr>
      </w:pPr>
      <w:r w:rsidRPr="00407A55">
        <w:rPr>
          <w:rFonts w:ascii="Times New Roman" w:eastAsia="Times New Roman" w:hAnsi="Times New Roman" w:cs="Times New Roman"/>
          <w:color w:val="000000"/>
          <w:sz w:val="27"/>
          <w:szCs w:val="27"/>
          <w:lang w:val="ru-RU" w:eastAsia="ru-RU"/>
        </w:rPr>
        <w:t>Д</w:t>
      </w:r>
      <w:r w:rsidRPr="00407A55">
        <w:rPr>
          <w:rFonts w:ascii="Times New Roman" w:eastAsia="Times New Roman" w:hAnsi="Times New Roman" w:cs="Times New Roman"/>
          <w:color w:val="000000"/>
          <w:sz w:val="27"/>
          <w:szCs w:val="27"/>
          <w:lang w:val="uk" w:eastAsia="ru-RU"/>
        </w:rPr>
        <w:t>ля захисту населення громади фонд захисних споруд цивільного захисту станом на 30.06.2026 налічує 8</w:t>
      </w:r>
      <w:r w:rsidRPr="00407A55">
        <w:rPr>
          <w:rFonts w:ascii="Times New Roman" w:eastAsia="Times New Roman" w:hAnsi="Times New Roman" w:cs="Times New Roman"/>
          <w:color w:val="000000"/>
          <w:sz w:val="27"/>
          <w:szCs w:val="27"/>
          <w:lang w:val="ru-RU" w:eastAsia="ru-RU"/>
        </w:rPr>
        <w:t>5</w:t>
      </w:r>
      <w:r w:rsidRPr="00407A55">
        <w:rPr>
          <w:rFonts w:ascii="Times New Roman" w:eastAsia="Times New Roman" w:hAnsi="Times New Roman" w:cs="Times New Roman"/>
          <w:color w:val="000000"/>
          <w:sz w:val="27"/>
          <w:szCs w:val="27"/>
          <w:lang w:val="uk" w:eastAsia="ru-RU"/>
        </w:rPr>
        <w:t xml:space="preserve"> одиниці місткістю 33706 осіб (забезпечує укриття 29 % населення), з них: 23 сховища місткістю 10420 осіб, 12 протирадіаційних укриттів місткістю 3270 осіб; 50 найпростіших укриттів місткістю 20016 осіб.</w:t>
      </w:r>
    </w:p>
    <w:p w:rsidR="00407A55" w:rsidRPr="00407A55" w:rsidP="00407A55" w14:paraId="61ED70B1"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Населенню громади надано онлайн-доступ до інформації про наявні захисні споруди цивільного захисту громади за посиланням </w:t>
      </w:r>
      <w:hyperlink r:id="rId5" w:history="1">
        <w:r w:rsidRPr="00407A55">
          <w:rPr>
            <w:rFonts w:ascii="Times New Roman" w:eastAsia="Times New Roman" w:hAnsi="Times New Roman" w:cs="Times New Roman"/>
            <w:color w:val="0000FF"/>
            <w:sz w:val="27"/>
            <w:szCs w:val="27"/>
            <w:u w:val="single"/>
            <w:lang w:eastAsia="ru-RU"/>
          </w:rPr>
          <w:t>https://brovary-rada.gov.ua/meshkantsiu/bezpeka</w:t>
        </w:r>
      </w:hyperlink>
      <w:r w:rsidRPr="00407A55">
        <w:rPr>
          <w:rFonts w:ascii="Times New Roman" w:eastAsia="Times New Roman" w:hAnsi="Times New Roman" w:cs="Times New Roman"/>
          <w:sz w:val="27"/>
          <w:szCs w:val="27"/>
          <w:lang w:eastAsia="ru-RU"/>
        </w:rPr>
        <w:t xml:space="preserve">, та Київської області за посиланням: </w:t>
      </w:r>
      <w:hyperlink r:id="rId6" w:history="1">
        <w:r w:rsidRPr="00407A55">
          <w:rPr>
            <w:rFonts w:ascii="Times New Roman" w:eastAsia="Times New Roman" w:hAnsi="Times New Roman" w:cs="Times New Roman"/>
            <w:color w:val="0000FF"/>
            <w:sz w:val="27"/>
            <w:szCs w:val="27"/>
            <w:u w:val="single"/>
            <w:lang w:eastAsia="ru-RU"/>
          </w:rPr>
          <w:t>https://koda.gov.ua/gromadskosti/vidkryti-dani/ukryttya/</w:t>
        </w:r>
      </w:hyperlink>
      <w:r w:rsidRPr="00407A55">
        <w:rPr>
          <w:rFonts w:ascii="Times New Roman" w:eastAsia="Times New Roman" w:hAnsi="Times New Roman" w:cs="Times New Roman"/>
          <w:sz w:val="27"/>
          <w:szCs w:val="27"/>
          <w:lang w:eastAsia="ru-RU"/>
        </w:rPr>
        <w:t xml:space="preserve">. </w:t>
      </w:r>
    </w:p>
    <w:p w:rsidR="00407A55" w:rsidRPr="00407A55" w:rsidP="00407A55" w14:paraId="6D092651" w14:textId="77777777">
      <w:pPr>
        <w:spacing w:after="0" w:line="240" w:lineRule="auto"/>
        <w:ind w:firstLine="567"/>
        <w:jc w:val="both"/>
        <w:rPr>
          <w:rFonts w:ascii="Times New Roman" w:eastAsia="Calibri" w:hAnsi="Times New Roman" w:cs="Times New Roman"/>
          <w:color w:val="000000"/>
          <w:sz w:val="27"/>
          <w:szCs w:val="27"/>
          <w:lang w:eastAsia="en-US"/>
        </w:rPr>
      </w:pPr>
      <w:r w:rsidRPr="00407A55">
        <w:rPr>
          <w:rFonts w:ascii="Times New Roman" w:eastAsia="Calibri" w:hAnsi="Times New Roman" w:cs="Times New Roman"/>
          <w:color w:val="000000"/>
          <w:sz w:val="27"/>
          <w:szCs w:val="27"/>
          <w:lang w:eastAsia="en-US"/>
        </w:rPr>
        <w:t>У випадку аварійного відключення електроенергії передбачено функціонування 8  стаціонарних «Пунктів незламності».</w:t>
      </w:r>
    </w:p>
    <w:p w:rsidR="00407A55" w:rsidRPr="00407A55" w:rsidP="00407A55" w14:paraId="130FE079" w14:textId="77777777">
      <w:pPr>
        <w:widowControl w:val="0"/>
        <w:tabs>
          <w:tab w:val="center" w:pos="4820"/>
          <w:tab w:val="right" w:pos="9641"/>
        </w:tabs>
        <w:snapToGrid w:val="0"/>
        <w:spacing w:after="0" w:line="240" w:lineRule="auto"/>
        <w:ind w:firstLine="567"/>
        <w:contextualSpacing/>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У селах Требухів та Княжичі діють поліцейські станції,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407A55" w:rsidRPr="00407A55" w:rsidP="00407A55" w14:paraId="63233CEC" w14:textId="77777777">
      <w:pPr>
        <w:widowControl w:val="0"/>
        <w:tabs>
          <w:tab w:val="center" w:pos="4820"/>
          <w:tab w:val="right" w:pos="9641"/>
        </w:tabs>
        <w:snapToGrid w:val="0"/>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В одинадцяти ліцеях громади організовано  роботу «класів безпеки» (№ 2, № 3, № 4 ім. С.І. Олійника, № 5 ім. Василя Стуса, № 7, № 9, № 10, № 11, Княжицькому, Требухівському та початковій школі № 12).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фахівців.</w:t>
      </w:r>
    </w:p>
    <w:p w:rsidR="00407A55" w:rsidRPr="00407A55" w:rsidP="00407A55" w14:paraId="59E52810"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У громаді реалізується проєкт «Офіцери Служби освітньої безпеки (СОБ)», який спрямований на захист дітей в умовах повномасштабної війни та формування надійного безпекового середовища після її завершення. У рамках проєкту офіцери СОБ проводять навчання, тренування та консультації з питань безпеки в умовах надзвичайних ситуацій, організовують інформаційно-роз’яснювальну роботу з учнями та їх батьками, спрямовану на запобігання втягуванню підлітків у протиправну діяльність під час воєнного стану. Також здійснюється профілактика правопорушень серед дітей та надаються роз’яснення щодо відповідальності за протиправні дії в умовах війни. Загалом у закладах загальної середньої освіти працюють 10 офіцерів (у ліцеях № 1, № 4 ім. С.І. Олійника, № 5 ім. Василя Стуса,  № 6, № 7, № 10, № 11, початкова школа № 12, Княжицький та Требухівський). Планується забезпечити всі заклади офіцерами, у зв’язку з чим наразі проводяться конкурсні відбори та відповідне навчання.</w:t>
      </w:r>
    </w:p>
    <w:p w:rsidR="00407A55" w:rsidRPr="00407A55" w:rsidP="00407A55" w14:paraId="473ED118" w14:textId="77777777">
      <w:pPr>
        <w:widowControl w:val="0"/>
        <w:spacing w:after="0" w:line="240" w:lineRule="auto"/>
        <w:ind w:firstLine="567"/>
        <w:jc w:val="both"/>
        <w:rPr>
          <w:rFonts w:ascii="Times New Roman" w:eastAsia="Calibri" w:hAnsi="Times New Roman" w:cs="Times New Roman"/>
          <w:color w:val="000000"/>
          <w:sz w:val="27"/>
          <w:szCs w:val="27"/>
          <w:lang w:val="ru-RU" w:eastAsia="ru-RU"/>
        </w:rPr>
      </w:pPr>
      <w:r w:rsidRPr="00407A55">
        <w:rPr>
          <w:rFonts w:ascii="Times New Roman" w:eastAsia="Calibri" w:hAnsi="Times New Roman" w:cs="Times New Roman"/>
          <w:color w:val="000000"/>
          <w:sz w:val="27"/>
          <w:szCs w:val="27"/>
          <w:lang w:val="ru-RU" w:eastAsia="ru-RU"/>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222 камери відеоспостереження.</w:t>
      </w:r>
    </w:p>
    <w:p w:rsidR="00407A55" w:rsidRPr="00407A55" w:rsidP="00407A55" w14:paraId="4FE8530B"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В місті Бровари впроваджується пілотний проект ДУ ЦІТ Міністерства внутрішніх справ України з додаткової фіксації встановленими комплексами автоматичної фото- та відеофіксації правопорушень у сфері забезпечення безпеки дорожнього руху (далі – КАФ), саме: перевищення встановлених обмежень швидкості руху транспортними засобами, проїзд на заборонений сигнал світлофора. Чотири установлених КАФ в м. Бровари вже працюють на перехрестях вул. Київської – вул. Шевченка та вул. Київської – вул. Героїв України – вул. Чорновола В’ячеслава (перевищення встановлених обмежень швидкості руху транспортними засобами), ще 2 КАФ на перехресті вул. Київської – вул. Відродження – вул. Красницького повіту працюють у тестовому режимі (перевищення встановлених обмежень швидкості руху транспортними засобами, проїзд на заборонений сигнал світлофора). Наразі документи для фіксації КАФ проїзд на заборонений сигнал світлофора перебувають на погодженні в Департаменті патрульної поліції Національної поліції України. </w:t>
      </w:r>
    </w:p>
    <w:p w:rsidR="00407A55" w:rsidRPr="00407A55" w:rsidP="00407A55" w14:paraId="1EC6B839"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sz w:val="27"/>
          <w:szCs w:val="27"/>
          <w:lang w:val="ru-RU" w:eastAsia="ru-RU"/>
        </w:rPr>
        <w:t>В м. Бровари встановлено 30 світлофорних об’єкта, 29 з яких під’єднані до резервних джерел живлення, що дозволяє їм працювати</w:t>
      </w:r>
      <w:r w:rsidRPr="00407A55">
        <w:rPr>
          <w:rFonts w:ascii="Times New Roman" w:eastAsia="Times New Roman" w:hAnsi="Times New Roman" w:cs="Times New Roman"/>
          <w:color w:val="000000"/>
          <w:sz w:val="27"/>
          <w:szCs w:val="27"/>
          <w:lang w:val="ru-RU" w:eastAsia="ru-RU"/>
        </w:rPr>
        <w:t xml:space="preserve"> за відсутності електроенергії та забезпечує комфортний і безпечний рух транспорту і пішоходів. </w:t>
      </w:r>
    </w:p>
    <w:p w:rsidR="00407A55" w:rsidRPr="00407A55" w:rsidP="00407A55" w14:paraId="48961369" w14:textId="77777777">
      <w:pPr>
        <w:spacing w:after="0" w:line="240" w:lineRule="auto"/>
        <w:ind w:firstLine="567"/>
        <w:contextualSpacing/>
        <w:jc w:val="both"/>
        <w:rPr>
          <w:rFonts w:ascii="Times New Roman" w:eastAsia="Times New Roman" w:hAnsi="Times New Roman" w:cs="Times New Roman"/>
          <w:color w:val="000000"/>
          <w:sz w:val="27"/>
          <w:szCs w:val="27"/>
        </w:rPr>
      </w:pPr>
      <w:r w:rsidRPr="00407A55">
        <w:rPr>
          <w:rFonts w:ascii="Times New Roman" w:eastAsia="Times New Roman" w:hAnsi="Times New Roman" w:cs="Times New Roman"/>
          <w:color w:val="000000"/>
          <w:sz w:val="27"/>
          <w:szCs w:val="27"/>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центр підготовки населення до цивільної оборони» (далі – Центр), який проводить базові курси, з підготовки курсантів, які розуміють необхідність базових військових навичок в умовах повномасштабної війни.</w:t>
      </w:r>
    </w:p>
    <w:p w:rsidR="00407A55" w:rsidRPr="00407A55" w:rsidP="00407A55" w14:paraId="40737F88" w14:textId="77777777">
      <w:pPr>
        <w:spacing w:after="0" w:line="240" w:lineRule="auto"/>
        <w:ind w:firstLine="567"/>
        <w:contextualSpacing/>
        <w:jc w:val="both"/>
        <w:rPr>
          <w:rFonts w:ascii="Times New Roman" w:eastAsia="Times New Roman" w:hAnsi="Times New Roman" w:cs="Times New Roman"/>
          <w:color w:val="000000"/>
          <w:sz w:val="27"/>
          <w:szCs w:val="27"/>
        </w:rPr>
      </w:pPr>
      <w:r w:rsidRPr="00407A55">
        <w:rPr>
          <w:rFonts w:ascii="Times New Roman" w:eastAsia="Times New Roman" w:hAnsi="Times New Roman" w:cs="Times New Roman"/>
          <w:color w:val="000000"/>
          <w:sz w:val="27"/>
          <w:szCs w:val="27"/>
        </w:rPr>
        <w:t>Протягом І півріччя 2026 року Центр провів  5 курсів навчання для 140 осіб. Крім того, спільно з Броварським центром національно-патріотичного виховання проведено курс з тактичної підготовки та тактичної медицини для 100 дітей.</w:t>
      </w:r>
    </w:p>
    <w:bookmarkEnd w:id="2"/>
    <w:p w:rsidR="00407A55" w:rsidRPr="00407A55" w:rsidP="00407A55" w14:paraId="29F05CD3" w14:textId="77777777">
      <w:pPr>
        <w:spacing w:after="0" w:line="240" w:lineRule="auto"/>
        <w:ind w:firstLine="567"/>
        <w:jc w:val="both"/>
        <w:rPr>
          <w:rFonts w:ascii="Times New Roman" w:eastAsia="Times New Roman" w:hAnsi="Times New Roman" w:cs="Times New Roman"/>
          <w:sz w:val="27"/>
          <w:szCs w:val="27"/>
          <w:lang w:eastAsia="ru-RU"/>
        </w:rPr>
      </w:pPr>
    </w:p>
    <w:p w:rsidR="00407A55" w:rsidRPr="00407A55" w:rsidP="00407A55" w14:paraId="0525CB05" w14:textId="77777777">
      <w:pPr>
        <w:autoSpaceDE w:val="0"/>
        <w:autoSpaceDN w:val="0"/>
        <w:adjustRightInd w:val="0"/>
        <w:spacing w:after="0" w:line="240" w:lineRule="auto"/>
        <w:ind w:firstLine="567"/>
        <w:jc w:val="both"/>
        <w:rPr>
          <w:rFonts w:ascii="Times New Roman" w:eastAsia="Times New Roman" w:hAnsi="Times New Roman" w:cs="Times New Roman"/>
          <w:b/>
          <w:i/>
          <w:sz w:val="27"/>
          <w:szCs w:val="27"/>
          <w:lang w:eastAsia="ru-RU"/>
        </w:rPr>
      </w:pPr>
      <w:r w:rsidRPr="00407A55">
        <w:rPr>
          <w:rFonts w:ascii="Times New Roman" w:eastAsia="Times New Roman" w:hAnsi="Times New Roman" w:cs="Times New Roman"/>
          <w:b/>
          <w:sz w:val="27"/>
          <w:szCs w:val="27"/>
          <w:lang w:eastAsia="ru-RU"/>
        </w:rPr>
        <w:t xml:space="preserve">                              </w:t>
      </w:r>
      <w:r w:rsidRPr="00407A55">
        <w:rPr>
          <w:rFonts w:ascii="Times New Roman" w:eastAsia="Times New Roman" w:hAnsi="Times New Roman" w:cs="Times New Roman"/>
          <w:b/>
          <w:i/>
          <w:sz w:val="27"/>
          <w:szCs w:val="27"/>
          <w:lang w:eastAsia="ru-RU"/>
        </w:rPr>
        <w:t>Соціальний захист населення</w:t>
      </w:r>
    </w:p>
    <w:p w:rsidR="00407A55" w:rsidRPr="00407A55" w:rsidP="00407A55" w14:paraId="15EA336B" w14:textId="77777777">
      <w:pPr>
        <w:shd w:val="clear" w:color="auto" w:fill="FFFFFF"/>
        <w:spacing w:after="0" w:line="240" w:lineRule="auto"/>
        <w:ind w:firstLine="567"/>
        <w:contextualSpacing/>
        <w:jc w:val="both"/>
        <w:rPr>
          <w:rFonts w:ascii="Times New Roman" w:eastAsia="Times New Roman" w:hAnsi="Times New Roman" w:cs="Times New Roman"/>
          <w:color w:val="000000"/>
          <w:sz w:val="27"/>
          <w:szCs w:val="27"/>
        </w:rPr>
      </w:pPr>
      <w:r w:rsidRPr="00407A55">
        <w:rPr>
          <w:rFonts w:ascii="Times New Roman" w:eastAsia="Times New Roman" w:hAnsi="Times New Roman" w:cs="Times New Roman"/>
          <w:color w:val="000000"/>
          <w:sz w:val="27"/>
          <w:szCs w:val="27"/>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407A55" w:rsidRPr="00407A55" w:rsidP="00407A55" w14:paraId="54C356FA"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Відповідно реєстру Броварської міської територіальної громади станом на 01.07.2026 року в громаді зареєстровано 116686 осіб, в тому числі: місто Бровари – 104222 особи, село Княжичі – 5854 особи, село Требухів – 6571 особа, село Сотницьке – 39 осіб.</w:t>
      </w:r>
    </w:p>
    <w:p w:rsidR="00407A55" w:rsidRPr="00407A55" w:rsidP="00407A55" w14:paraId="480BD46C" w14:textId="77777777">
      <w:pPr>
        <w:spacing w:after="0" w:line="240" w:lineRule="auto"/>
        <w:ind w:firstLine="567"/>
        <w:jc w:val="center"/>
        <w:rPr>
          <w:rFonts w:ascii="Times New Roman" w:eastAsia="Times New Roman" w:hAnsi="Times New Roman" w:cs="Times New Roman"/>
          <w:b/>
          <w:bCs/>
          <w:color w:val="000000"/>
          <w:sz w:val="27"/>
          <w:szCs w:val="27"/>
          <w:lang w:eastAsia="ru-RU"/>
        </w:rPr>
      </w:pPr>
    </w:p>
    <w:p w:rsidR="00407A55" w:rsidRPr="00407A55" w:rsidP="00407A55" w14:paraId="64EC9D1E" w14:textId="1895DB54">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 xml:space="preserve">Населення Броварської міської територіальної </w:t>
      </w:r>
    </w:p>
    <w:p w:rsidR="00407A55" w:rsidRPr="00407A55" w:rsidP="00407A55" w14:paraId="6454821B" w14:textId="77777777">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громади у 2025-2026 роках, (осіб)</w:t>
      </w:r>
    </w:p>
    <w:p w:rsidR="00407A55" w:rsidRPr="00407A55" w:rsidP="00407A55" w14:paraId="19102977" w14:textId="07FB3848">
      <w:pPr>
        <w:spacing w:after="0" w:line="240" w:lineRule="auto"/>
        <w:ind w:firstLine="567"/>
        <w:jc w:val="both"/>
        <w:rPr>
          <w:rFonts w:ascii="Times New Roman" w:eastAsia="Times New Roman" w:hAnsi="Times New Roman" w:cs="Times New Roman"/>
          <w:noProof/>
          <w:sz w:val="27"/>
          <w:szCs w:val="27"/>
          <w:lang w:val="ru-RU" w:eastAsia="ru-RU"/>
        </w:rPr>
      </w:pPr>
      <w:r w:rsidRPr="00407A55">
        <w:rPr>
          <w:rFonts w:ascii="Times New Roman" w:eastAsia="Times New Roman" w:hAnsi="Times New Roman" w:cs="Times New Roman"/>
          <w:noProof/>
          <w:sz w:val="27"/>
          <w:szCs w:val="27"/>
          <w:lang w:val="ru-RU" w:eastAsia="ru-RU"/>
        </w:rPr>
        <w:drawing>
          <wp:inline distT="0" distB="0" distL="0" distR="0">
            <wp:extent cx="5265420" cy="2933065"/>
            <wp:effectExtent l="0" t="0" r="11430" b="63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07A55" w:rsidRPr="00407A55" w:rsidP="00407A55" w14:paraId="3B1036F9" w14:textId="77777777">
      <w:pPr>
        <w:spacing w:after="0" w:line="240" w:lineRule="auto"/>
        <w:ind w:firstLine="567"/>
        <w:jc w:val="center"/>
        <w:rPr>
          <w:rFonts w:ascii="Times New Roman" w:eastAsia="Times New Roman" w:hAnsi="Times New Roman" w:cs="Times New Roman"/>
          <w:b/>
          <w:bCs/>
          <w:noProof/>
          <w:sz w:val="27"/>
          <w:szCs w:val="27"/>
          <w:lang w:eastAsia="ru-RU"/>
        </w:rPr>
      </w:pPr>
    </w:p>
    <w:p w:rsidR="00407A55" w:rsidP="00407A55" w14:paraId="1C62E673" w14:textId="77777777">
      <w:pPr>
        <w:spacing w:after="0" w:line="240" w:lineRule="auto"/>
        <w:ind w:firstLine="567"/>
        <w:jc w:val="center"/>
        <w:rPr>
          <w:rFonts w:ascii="Times New Roman" w:eastAsia="Times New Roman" w:hAnsi="Times New Roman" w:cs="Times New Roman"/>
          <w:b/>
          <w:bCs/>
          <w:noProof/>
          <w:sz w:val="27"/>
          <w:szCs w:val="27"/>
          <w:lang w:eastAsia="ru-RU"/>
        </w:rPr>
      </w:pPr>
    </w:p>
    <w:p w:rsidR="00407A55" w:rsidP="00407A55" w14:paraId="50E195E2" w14:textId="77777777">
      <w:pPr>
        <w:spacing w:after="0" w:line="240" w:lineRule="auto"/>
        <w:ind w:firstLine="567"/>
        <w:jc w:val="center"/>
        <w:rPr>
          <w:rFonts w:ascii="Times New Roman" w:eastAsia="Times New Roman" w:hAnsi="Times New Roman" w:cs="Times New Roman"/>
          <w:b/>
          <w:bCs/>
          <w:noProof/>
          <w:sz w:val="27"/>
          <w:szCs w:val="27"/>
          <w:lang w:eastAsia="ru-RU"/>
        </w:rPr>
      </w:pPr>
    </w:p>
    <w:p w:rsidR="00407A55" w:rsidP="00407A55" w14:paraId="23D3CBCF" w14:textId="77777777">
      <w:pPr>
        <w:spacing w:after="0" w:line="240" w:lineRule="auto"/>
        <w:ind w:firstLine="567"/>
        <w:jc w:val="center"/>
        <w:rPr>
          <w:rFonts w:ascii="Times New Roman" w:eastAsia="Times New Roman" w:hAnsi="Times New Roman" w:cs="Times New Roman"/>
          <w:b/>
          <w:bCs/>
          <w:noProof/>
          <w:sz w:val="27"/>
          <w:szCs w:val="27"/>
          <w:lang w:eastAsia="ru-RU"/>
        </w:rPr>
      </w:pPr>
    </w:p>
    <w:p w:rsidR="00407A55" w:rsidP="00407A55" w14:paraId="6BC3EB08" w14:textId="77777777">
      <w:pPr>
        <w:spacing w:after="0" w:line="240" w:lineRule="auto"/>
        <w:ind w:firstLine="567"/>
        <w:jc w:val="center"/>
        <w:rPr>
          <w:rFonts w:ascii="Times New Roman" w:eastAsia="Times New Roman" w:hAnsi="Times New Roman" w:cs="Times New Roman"/>
          <w:b/>
          <w:bCs/>
          <w:noProof/>
          <w:sz w:val="27"/>
          <w:szCs w:val="27"/>
          <w:lang w:eastAsia="ru-RU"/>
        </w:rPr>
      </w:pPr>
    </w:p>
    <w:p w:rsidR="00407A55" w:rsidRPr="00407A55" w:rsidP="00407A55" w14:paraId="4F48248F" w14:textId="0F3E8012">
      <w:pPr>
        <w:spacing w:after="0" w:line="240" w:lineRule="auto"/>
        <w:ind w:firstLine="567"/>
        <w:jc w:val="center"/>
        <w:rPr>
          <w:rFonts w:ascii="Times New Roman" w:eastAsia="Times New Roman" w:hAnsi="Times New Roman" w:cs="Times New Roman"/>
          <w:b/>
          <w:bCs/>
          <w:noProof/>
          <w:sz w:val="27"/>
          <w:szCs w:val="27"/>
          <w:lang w:eastAsia="ru-RU"/>
        </w:rPr>
      </w:pPr>
      <w:r w:rsidRPr="00407A55">
        <w:rPr>
          <w:rFonts w:ascii="Times New Roman" w:eastAsia="Times New Roman" w:hAnsi="Times New Roman" w:cs="Times New Roman"/>
          <w:b/>
          <w:bCs/>
          <w:noProof/>
          <w:sz w:val="27"/>
          <w:szCs w:val="27"/>
          <w:lang w:eastAsia="ru-RU"/>
        </w:rPr>
        <w:t>Демографічний стан у громаді у 2025-2026 роках, (осіб)</w:t>
      </w:r>
    </w:p>
    <w:p w:rsidR="00407A55" w:rsidRPr="00407A55" w:rsidP="00407A55" w14:paraId="1DAF6695" w14:textId="3C3F9D3C">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661660" cy="2656840"/>
            <wp:effectExtent l="0" t="0" r="15240" b="1016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7A55" w:rsidRPr="00407A55" w:rsidP="00407A55" w14:paraId="6CFF136E" w14:textId="77777777">
      <w:pPr>
        <w:shd w:val="clear" w:color="auto" w:fill="FFFFFF"/>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У зв’язку з продовженням активних бойових дій у низці регіонів України станом на 01.07.2026 в Єдиній інформаційній базі внутрішньо переміщених осіб (далі - ВПО) перебувало 23267 ВПО, в тому числі 4370 дітей. Порівняно з початком 2026 року чисельність ВПО збільшилась на 542 особи.</w:t>
      </w:r>
    </w:p>
    <w:p w:rsidR="00407A55" w:rsidRPr="00407A55" w:rsidP="00407A55" w14:paraId="109950BC" w14:textId="77777777">
      <w:pPr>
        <w:shd w:val="clear" w:color="auto" w:fill="FFFFFF"/>
        <w:spacing w:after="0" w:line="240" w:lineRule="auto"/>
        <w:ind w:firstLine="567"/>
        <w:contextualSpacing/>
        <w:jc w:val="both"/>
        <w:rPr>
          <w:rFonts w:ascii="Times New Roman" w:eastAsia="Times New Roman" w:hAnsi="Times New Roman" w:cs="Times New Roman"/>
          <w:color w:val="000000"/>
          <w:sz w:val="27"/>
          <w:szCs w:val="27"/>
          <w:lang w:eastAsia="ru-RU"/>
        </w:rPr>
      </w:pPr>
    </w:p>
    <w:p w:rsidR="00407A55" w:rsidRPr="00407A55" w:rsidP="00407A55" w14:paraId="64BAF3D1" w14:textId="77777777">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 xml:space="preserve">Кількість зареєстрованих внутрішньо переміщених осіб </w:t>
      </w:r>
    </w:p>
    <w:p w:rsidR="00407A55" w:rsidRPr="00407A55" w:rsidP="00407A55" w14:paraId="7328899D" w14:textId="77777777">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в Броварській міській територіальній громаді, (осіб)</w:t>
      </w:r>
    </w:p>
    <w:p w:rsidR="00407A55" w:rsidRPr="00407A55" w:rsidP="00407A55" w14:paraId="7534536D" w14:textId="1359A9FE">
      <w:pPr>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585460" cy="2549525"/>
            <wp:effectExtent l="0" t="0" r="15240" b="317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7A55" w:rsidRPr="00407A55" w:rsidP="00407A55" w14:paraId="7371857D" w14:textId="77777777">
      <w:pPr>
        <w:spacing w:after="0" w:line="240" w:lineRule="auto"/>
        <w:ind w:firstLine="567"/>
        <w:jc w:val="center"/>
        <w:rPr>
          <w:rFonts w:ascii="Times New Roman" w:eastAsia="Times New Roman" w:hAnsi="Times New Roman" w:cs="Times New Roman"/>
          <w:b/>
          <w:bCs/>
          <w:color w:val="000000"/>
          <w:sz w:val="27"/>
          <w:szCs w:val="27"/>
          <w:lang w:eastAsia="ru-RU"/>
        </w:rPr>
      </w:pPr>
    </w:p>
    <w:p w:rsidR="00407A55" w:rsidRPr="00407A55" w:rsidP="00407A55" w14:paraId="651B0737"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Для ВПО в громаді функціонує модульне містечко, яке облаштоване всім необхідним для проживання. Проживання в модульному містечку безкоштовне. Станом на 01.07.2026 проживало 157 осіб.  </w:t>
      </w:r>
    </w:p>
    <w:p w:rsidR="00407A55" w:rsidRPr="00407A55" w:rsidP="00407A55" w14:paraId="58F0BE18"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20142,0 тис. грн.</w:t>
      </w:r>
    </w:p>
    <w:p w:rsidR="00407A55" w:rsidRPr="00407A55" w:rsidP="00407A55" w14:paraId="26B974E3" w14:textId="77777777">
      <w:pPr>
        <w:spacing w:after="0" w:line="240" w:lineRule="auto"/>
        <w:ind w:firstLine="567"/>
        <w:jc w:val="both"/>
        <w:rPr>
          <w:rFonts w:ascii="Times New Roman" w:eastAsia="Times New Roman" w:hAnsi="Times New Roman" w:cs="Times New Roman"/>
          <w:sz w:val="27"/>
          <w:szCs w:val="27"/>
          <w:lang w:val="ru-RU" w:eastAsia="ru-RU"/>
        </w:rPr>
      </w:pPr>
    </w:p>
    <w:p w:rsidR="00407A55" w:rsidRPr="00407A55" w:rsidP="00407A55" w14:paraId="33C5FDF6" w14:textId="77777777">
      <w:pPr>
        <w:spacing w:after="0" w:line="240" w:lineRule="auto"/>
        <w:ind w:firstLine="567"/>
        <w:jc w:val="center"/>
        <w:rPr>
          <w:rFonts w:ascii="Times New Roman" w:eastAsia="Times New Roman" w:hAnsi="Times New Roman" w:cs="Times New Roman"/>
          <w:b/>
          <w:bCs/>
          <w:sz w:val="27"/>
          <w:szCs w:val="27"/>
          <w:lang w:eastAsia="ru-RU"/>
        </w:rPr>
      </w:pPr>
    </w:p>
    <w:p w:rsidR="00407A55" w:rsidRPr="00407A55" w:rsidP="00407A55" w14:paraId="4DAC8382" w14:textId="77777777">
      <w:pPr>
        <w:spacing w:after="0" w:line="240" w:lineRule="auto"/>
        <w:ind w:firstLine="567"/>
        <w:jc w:val="center"/>
        <w:rPr>
          <w:rFonts w:ascii="Times New Roman" w:eastAsia="Times New Roman" w:hAnsi="Times New Roman" w:cs="Times New Roman"/>
          <w:b/>
          <w:bCs/>
          <w:sz w:val="27"/>
          <w:szCs w:val="27"/>
          <w:lang w:eastAsia="ru-RU"/>
        </w:rPr>
      </w:pPr>
    </w:p>
    <w:p w:rsidR="00407A55" w:rsidRPr="00407A55" w:rsidP="00407A55" w14:paraId="59D80B5D"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Фінансування заходів програми «З турботою про кожного»</w:t>
      </w:r>
    </w:p>
    <w:p w:rsidR="00407A55" w:rsidRPr="00407A55" w:rsidP="00407A55" w14:paraId="5038C720"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 xml:space="preserve"> у 2025-2026 роках, (тис. грн.)</w:t>
      </w:r>
    </w:p>
    <w:p w:rsidR="00407A55" w:rsidRPr="00407A55" w:rsidP="00407A55" w14:paraId="2D3BF663" w14:textId="69CF6ADC">
      <w:pPr>
        <w:spacing w:after="0" w:line="240" w:lineRule="auto"/>
        <w:ind w:firstLine="567"/>
        <w:jc w:val="center"/>
        <w:rPr>
          <w:rFonts w:ascii="Times New Roman" w:eastAsia="Times New Roman" w:hAnsi="Times New Roman" w:cs="Times New Roman"/>
          <w:noProof/>
          <w:sz w:val="27"/>
          <w:szCs w:val="27"/>
          <w:lang w:val="ru-RU" w:eastAsia="ru-RU"/>
        </w:rPr>
      </w:pPr>
      <w:r w:rsidRPr="00407A55">
        <w:rPr>
          <w:rFonts w:ascii="Times New Roman" w:eastAsia="Times New Roman" w:hAnsi="Times New Roman" w:cs="Times New Roman"/>
          <w:noProof/>
          <w:sz w:val="27"/>
          <w:szCs w:val="27"/>
          <w:lang w:val="ru-RU" w:eastAsia="ru-RU"/>
        </w:rPr>
        <w:drawing>
          <wp:inline distT="0" distB="0" distL="0" distR="0">
            <wp:extent cx="5760720" cy="2751455"/>
            <wp:effectExtent l="0" t="0" r="11430" b="1079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7A55" w:rsidRPr="00407A55" w:rsidP="00407A55" w14:paraId="7067ECAF" w14:textId="77777777">
      <w:pPr>
        <w:tabs>
          <w:tab w:val="left" w:pos="426"/>
          <w:tab w:val="left" w:pos="2410"/>
        </w:tabs>
        <w:spacing w:after="0" w:line="240" w:lineRule="auto"/>
        <w:ind w:firstLine="567"/>
        <w:jc w:val="both"/>
        <w:rPr>
          <w:rFonts w:ascii="Times New Roman" w:eastAsia="Times New Roman" w:hAnsi="Times New Roman" w:cs="Times New Roman"/>
          <w:color w:val="000000"/>
          <w:sz w:val="27"/>
          <w:szCs w:val="27"/>
          <w:shd w:val="clear" w:color="auto" w:fill="FFFFFF"/>
        </w:rPr>
      </w:pPr>
      <w:r w:rsidRPr="00407A55">
        <w:rPr>
          <w:rFonts w:ascii="Times New Roman" w:eastAsia="Calibri" w:hAnsi="Times New Roman" w:cs="Times New Roman"/>
          <w:color w:val="000000"/>
          <w:sz w:val="27"/>
          <w:szCs w:val="27"/>
          <w:shd w:val="clear" w:color="auto" w:fill="FFFFFF"/>
          <w:lang w:eastAsia="en-US"/>
        </w:rPr>
        <w:t xml:space="preserve">В громаді запроваджена послуга «Соціальне таксі», яка надається мешканцям громади, </w:t>
      </w:r>
      <w:r w:rsidRPr="00407A55">
        <w:rPr>
          <w:rFonts w:ascii="Times New Roman" w:eastAsia="Times New Roman" w:hAnsi="Times New Roman" w:cs="Times New Roman"/>
          <w:color w:val="000000"/>
          <w:sz w:val="27"/>
          <w:szCs w:val="27"/>
          <w:shd w:val="clear" w:color="auto" w:fill="FFFFFF"/>
        </w:rPr>
        <w:t>які не можуть самостійно пересуватися або пересуваються з використанням допоміжних засобів реабілітації, та не можуть скористатися громадським транспортом. У І півріччі 2026 року здійснено 270 послуг.</w:t>
      </w:r>
    </w:p>
    <w:p w:rsidR="00407A55" w:rsidRPr="00407A55" w:rsidP="00407A55" w14:paraId="5DEFE2AB"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Станом на 01.07.2026 року на обліку в управлінні перебувало 197 одержувачів компенсацій, з них: 187 - одержувачі компенсацій з надання соціальних послуг, 7 - одержувачі компенсації «Муніципальна няня» та 3 одержувача одноразової допомоги, що постраждали від торгівлі людьми.</w:t>
      </w:r>
    </w:p>
    <w:p w:rsidR="00407A55" w:rsidRPr="00407A55" w:rsidP="00407A55" w14:paraId="56D7A5F1"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За рахунок коштів державного бюджету у 1 півріччі 2026 року профінансовано компенсації в сумі 498,98 тис. грн.</w:t>
      </w:r>
    </w:p>
    <w:p w:rsidR="00407A55" w:rsidRPr="00407A55" w:rsidP="00407A55" w14:paraId="2A05F701"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 xml:space="preserve">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1749 осіб, які потребують соціальних послуг, з них 1481 одиноких та самотньо проживаючих. </w:t>
      </w:r>
    </w:p>
    <w:p w:rsidR="00407A55" w:rsidRPr="00407A55" w:rsidP="00407A55" w14:paraId="41E19CC8"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У звітному періоді Броварським міським територіальним центром соціального обслуговування надано 69197 послуг. У відділенні стаціонарного догляду перебуває 12 осіб, крім того щоденно надаються гарячі обіди 116 особам.</w:t>
      </w:r>
    </w:p>
    <w:p w:rsidR="00407A55" w:rsidRPr="00407A55" w:rsidP="00407A55" w14:paraId="07488013"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У Міському центрі комплексної реабілітації дітей з інвалідністю Броварської міської ради Броварського району Київської області (далі – Центр) станом на 01.07.2026 на обліку перебувало 255 дітей, які потребують реабілітації.</w:t>
      </w:r>
    </w:p>
    <w:p w:rsidR="00407A55" w:rsidRPr="00407A55" w:rsidP="00407A55" w14:paraId="0365FD19"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В Центрі функціонують: діагностично-консультативне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Працівниками Центру надано 30910 реабілітаційних послуг для дітей з інвалідністю.</w:t>
      </w:r>
    </w:p>
    <w:p w:rsidR="00407A55" w:rsidRPr="00407A55" w:rsidP="00407A55" w14:paraId="7AAB514A" w14:textId="77777777">
      <w:pPr>
        <w:tabs>
          <w:tab w:val="left" w:pos="426"/>
        </w:tabs>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 xml:space="preserve">Станом на 01.07.2026 на обліку в управлінні соціального захисту населення перебувало 4104 осіб, постраждалих внаслідок аварії на ЧАЕС, з них: 1645 ліквідаторів першої, другої та третьої  категорії, 1666 евакуйованих та відселених із забруднених територій, 483 потерпілих дітей, 310 вдів померлих громадян із числа ліквідаторів, смерть яких пов’язана з Чорнобильською катастрофою.  </w:t>
      </w:r>
    </w:p>
    <w:p w:rsidR="00407A55" w:rsidRPr="00407A55" w:rsidP="00407A55" w14:paraId="195A8057" w14:textId="77777777">
      <w:pPr>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Станом на 30.06.2026 року з</w:t>
      </w:r>
      <w:r w:rsidRPr="00407A55">
        <w:rPr>
          <w:rFonts w:ascii="Times New Roman" w:eastAsia="Times New Roman" w:hAnsi="Times New Roman" w:cs="Times New Roman"/>
          <w:sz w:val="27"/>
          <w:szCs w:val="27"/>
          <w:lang w:val="ru-RU" w:eastAsia="ru-RU"/>
        </w:rPr>
        <w:t>афіксован</w:t>
      </w:r>
      <w:r w:rsidRPr="00407A55">
        <w:rPr>
          <w:rFonts w:ascii="Times New Roman" w:eastAsia="Times New Roman" w:hAnsi="Times New Roman" w:cs="Times New Roman"/>
          <w:sz w:val="27"/>
          <w:szCs w:val="27"/>
          <w:lang w:eastAsia="ru-RU"/>
        </w:rPr>
        <w:t>а</w:t>
      </w:r>
      <w:r w:rsidRPr="00407A55">
        <w:rPr>
          <w:rFonts w:ascii="Times New Roman" w:eastAsia="Times New Roman" w:hAnsi="Times New Roman" w:cs="Times New Roman"/>
          <w:sz w:val="27"/>
          <w:szCs w:val="27"/>
          <w:lang w:val="ru-RU" w:eastAsia="ru-RU"/>
        </w:rPr>
        <w:t xml:space="preserve"> заборгованість із виплати заробітної плати на підприємствах громади</w:t>
      </w:r>
      <w:r w:rsidRPr="00407A55">
        <w:rPr>
          <w:rFonts w:ascii="Times New Roman" w:eastAsia="Times New Roman" w:hAnsi="Times New Roman" w:cs="Times New Roman"/>
          <w:sz w:val="27"/>
          <w:szCs w:val="27"/>
        </w:rPr>
        <w:t>:</w:t>
      </w:r>
    </w:p>
    <w:p w:rsidR="00407A55" w:rsidRPr="00407A55" w:rsidP="00407A55" w14:paraId="3FFA5835" w14:textId="77777777">
      <w:pPr>
        <w:numPr>
          <w:ilvl w:val="0"/>
          <w:numId w:val="13"/>
        </w:numPr>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ДП «Завод порошкової металургії» - у сумі 24308,1 тис. грн;</w:t>
      </w:r>
    </w:p>
    <w:p w:rsidR="00407A55" w:rsidRPr="00407A55" w:rsidP="00407A55" w14:paraId="0216B17D" w14:textId="77777777">
      <w:pPr>
        <w:numPr>
          <w:ilvl w:val="0"/>
          <w:numId w:val="13"/>
        </w:numPr>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ДП СЛГП «Укрспирт» - 52394,1 тис. грн.</w:t>
      </w:r>
    </w:p>
    <w:p w:rsidR="00407A55" w:rsidRPr="00407A55" w:rsidP="00407A55" w14:paraId="3BA3BFC8"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В звітному періоді для вирішення проблеми легалізації виплати заробітної плати та зайнятості населення проведено наступні заходи, а саме:</w:t>
      </w:r>
    </w:p>
    <w:p w:rsidR="00407A55" w:rsidRPr="00407A55" w:rsidP="00407A55" w14:paraId="14013E6B"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xml:space="preserve">- за інформацією Головного управління ДПС у Київській області  суб’єктам господарювання направлено 69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407A55" w:rsidRPr="00407A55" w:rsidP="00407A55" w14:paraId="0EC4426D"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xml:space="preserve">- проведено 4 засідання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w:t>
      </w:r>
    </w:p>
    <w:p w:rsidR="00407A55" w:rsidRPr="00407A55" w:rsidP="00407A55" w14:paraId="1A3501E1"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проведено 4 засідання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w:t>
      </w:r>
    </w:p>
    <w:p w:rsidR="00407A55" w:rsidRPr="00407A55" w:rsidP="00407A55" w14:paraId="7E95C3A4"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xml:space="preserve">- проведено інформаційно-роз’яснювальну роботу з суб’єктами господарювання щодо додержання законодавства про працю – 53; </w:t>
      </w:r>
    </w:p>
    <w:p w:rsidR="00407A55" w:rsidRPr="00407A55" w:rsidP="00407A55" w14:paraId="527F5F8A"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проведено повідомну реєстрацію 18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w:t>
      </w:r>
    </w:p>
    <w:p w:rsidR="00407A55" w:rsidRPr="00407A55" w:rsidP="00407A55" w14:paraId="7B811FCC"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xml:space="preserve">За інформацією Головного управління Пенсійного фонду України у Київській області (далі – Пенсійний фонд) на обліку станом на 30.06.2026 перебувало 32313 пенсіонерів громади, середній розмір пенсії становив 7807,02 грн., мінімальна пенсія – 2595 грн. </w:t>
      </w:r>
    </w:p>
    <w:p w:rsidR="00407A55" w:rsidRPr="00407A55" w:rsidP="00407A55" w14:paraId="23ADE02E" w14:textId="77777777">
      <w:pPr>
        <w:spacing w:after="0" w:line="240" w:lineRule="auto"/>
        <w:ind w:firstLine="567"/>
        <w:jc w:val="center"/>
        <w:rPr>
          <w:rFonts w:ascii="Times New Roman" w:eastAsia="Times New Roman" w:hAnsi="Times New Roman" w:cs="Times New Roman"/>
          <w:b/>
          <w:bCs/>
          <w:i/>
          <w:iCs/>
          <w:sz w:val="27"/>
          <w:szCs w:val="27"/>
          <w:lang w:eastAsia="ru-RU"/>
        </w:rPr>
      </w:pPr>
      <w:bookmarkStart w:id="3" w:name="n3"/>
      <w:bookmarkEnd w:id="3"/>
      <w:r w:rsidRPr="00407A55">
        <w:rPr>
          <w:rFonts w:ascii="Times New Roman" w:eastAsia="Times New Roman" w:hAnsi="Times New Roman" w:cs="Times New Roman"/>
          <w:b/>
          <w:bCs/>
          <w:i/>
          <w:iCs/>
          <w:sz w:val="27"/>
          <w:szCs w:val="27"/>
          <w:lang w:eastAsia="ru-RU"/>
        </w:rPr>
        <w:t>Середній розмір пенсій</w:t>
      </w:r>
    </w:p>
    <w:p w:rsidR="00407A55" w:rsidRPr="00407A55" w:rsidP="00407A55" w14:paraId="607DFCFB" w14:textId="77777777">
      <w:pPr>
        <w:spacing w:after="0" w:line="240" w:lineRule="auto"/>
        <w:ind w:firstLine="567"/>
        <w:jc w:val="center"/>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b/>
          <w:bCs/>
          <w:i/>
          <w:iCs/>
          <w:sz w:val="27"/>
          <w:szCs w:val="27"/>
          <w:lang w:eastAsia="ru-RU"/>
        </w:rPr>
        <w:t>в Броварській міській територіальній громаді, (грн.)</w:t>
      </w:r>
    </w:p>
    <w:p w:rsidR="00407A55" w:rsidRPr="00407A55" w:rsidP="00407A55" w14:paraId="5C5F12D5" w14:textId="4A2725A8">
      <w:pPr>
        <w:spacing w:after="0" w:line="240" w:lineRule="auto"/>
        <w:ind w:firstLine="567"/>
        <w:jc w:val="center"/>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338445" cy="2560320"/>
            <wp:effectExtent l="0" t="0" r="14605" b="1143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7A55" w:rsidRPr="00407A55" w:rsidP="00407A55" w14:paraId="46625390" w14:textId="77777777">
      <w:pPr>
        <w:spacing w:after="0" w:line="240" w:lineRule="auto"/>
        <w:ind w:firstLine="567"/>
        <w:jc w:val="both"/>
        <w:rPr>
          <w:rFonts w:ascii="Times New Roman" w:eastAsia="Times New Roman" w:hAnsi="Times New Roman" w:cs="Times New Roman"/>
          <w:noProof/>
          <w:sz w:val="27"/>
          <w:szCs w:val="27"/>
          <w:lang w:val="ru-RU" w:eastAsia="ru-RU"/>
        </w:rPr>
      </w:pPr>
    </w:p>
    <w:p w:rsidR="00407A55" w:rsidRPr="00407A55" w:rsidP="00407A55" w14:paraId="452CA184"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Надходження власних коштів на рахунки Пенсійного фонду (по страхових внесках та відшкодуванню пенсій призначених на пільгових умовах) склали</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1 560,0</w:t>
      </w:r>
      <w:r w:rsidRPr="00407A55">
        <w:rPr>
          <w:rFonts w:ascii="Times New Roman" w:eastAsia="Times New Roman" w:hAnsi="Times New Roman" w:cs="Times New Roman"/>
          <w:sz w:val="27"/>
          <w:szCs w:val="27"/>
          <w:lang w:val="ru-RU" w:eastAsia="ru-RU"/>
        </w:rPr>
        <w:t xml:space="preserve"> тис. грн, план виконано на 100%.  </w:t>
      </w:r>
    </w:p>
    <w:p w:rsidR="00407A55" w:rsidRPr="00407A55" w:rsidP="00407A55" w14:paraId="5C3D1580"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Кількість боржників станом на 01.07.2026 становить 28. Загальна сума заборгованості перед Пенсійним фондом становить 60 334,51</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тис. грн. Борг платників, з безнадійним боргом – 6 42032</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тис. грн, дієвий борг становить 53 914,19</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тис. грн, в тому числі по відшкодуванню пільгових пенсій 58 552,90</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тис. грн.</w:t>
      </w:r>
    </w:p>
    <w:p w:rsidR="00407A55" w:rsidRPr="00407A55" w:rsidP="00407A55" w14:paraId="2E6EB375"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Найбільші суми заборгованості серед економічно - активних підприємств громади станом на 01.07.2026:</w:t>
      </w:r>
    </w:p>
    <w:p w:rsidR="00407A55" w:rsidRPr="00407A55" w:rsidP="00407A55" w14:paraId="67E74ED1" w14:textId="77777777">
      <w:pPr>
        <w:numPr>
          <w:ilvl w:val="0"/>
          <w:numId w:val="4"/>
        </w:num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ДП „ЗПМ” – 51 266,43 тис. грн. </w:t>
      </w:r>
    </w:p>
    <w:p w:rsidR="00407A55" w:rsidRPr="00407A55" w:rsidP="00407A55" w14:paraId="2FC7946C" w14:textId="77777777">
      <w:pPr>
        <w:numPr>
          <w:ilvl w:val="0"/>
          <w:numId w:val="4"/>
        </w:num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ДП СЛГП „Укрспирт” – 1 866,36 тис. грн. </w:t>
      </w:r>
    </w:p>
    <w:p w:rsidR="00407A55" w:rsidRPr="00407A55" w:rsidP="00407A55" w14:paraId="1695CDAD"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Постійно вживаються заходи по зменшенню заборгованості, а саме:</w:t>
      </w:r>
    </w:p>
    <w:p w:rsidR="00407A55" w:rsidRPr="00407A55" w:rsidP="00407A55" w14:paraId="0C00228B"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4 вимоги на суму боргу 103,28 тис. грн, 152 рішення Київського окружного адміністративного суду на суму 50 381,41 тис. грн., в т.ч. 123 рішення по відшкодуванню витрат на виплату та доставку пільгових пенсій на суму 48 725,14 тис. грн;</w:t>
      </w:r>
    </w:p>
    <w:p w:rsidR="00407A55" w:rsidRPr="00407A55" w:rsidP="00407A55" w14:paraId="7C39E6EA" w14:textId="77777777">
      <w:pPr>
        <w:shd w:val="clear" w:color="auto" w:fill="FFFFFF"/>
        <w:tabs>
          <w:tab w:val="left" w:pos="6662"/>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в судових органах знаходиться 3</w:t>
      </w:r>
      <w:r w:rsidRPr="00407A55">
        <w:rPr>
          <w:rFonts w:ascii="Times New Roman" w:eastAsia="Times New Roman" w:hAnsi="Times New Roman" w:cs="Times New Roman"/>
          <w:sz w:val="27"/>
          <w:szCs w:val="27"/>
          <w:lang w:eastAsia="ru-RU"/>
        </w:rPr>
        <w:t>7</w:t>
      </w:r>
      <w:r w:rsidRPr="00407A55">
        <w:rPr>
          <w:rFonts w:ascii="Times New Roman" w:eastAsia="Times New Roman" w:hAnsi="Times New Roman" w:cs="Times New Roman"/>
          <w:sz w:val="27"/>
          <w:szCs w:val="27"/>
          <w:lang w:val="ru-RU" w:eastAsia="ru-RU"/>
        </w:rPr>
        <w:t xml:space="preserve"> позовів на суму </w:t>
      </w:r>
      <w:r w:rsidRPr="00407A55">
        <w:rPr>
          <w:rFonts w:ascii="Times New Roman" w:eastAsia="Times New Roman" w:hAnsi="Times New Roman" w:cs="Times New Roman"/>
          <w:sz w:val="27"/>
          <w:szCs w:val="27"/>
          <w:lang w:eastAsia="ru-RU"/>
        </w:rPr>
        <w:t xml:space="preserve">8981,63 </w:t>
      </w:r>
      <w:r w:rsidRPr="00407A55">
        <w:rPr>
          <w:rFonts w:ascii="Times New Roman" w:eastAsia="Times New Roman" w:hAnsi="Times New Roman" w:cs="Times New Roman"/>
          <w:sz w:val="27"/>
          <w:szCs w:val="27"/>
          <w:lang w:val="ru-RU" w:eastAsia="ru-RU"/>
        </w:rPr>
        <w:t>тис. грн., по відшкодуванню витрат на виплату та доставку пільгових пенсій.</w:t>
      </w:r>
    </w:p>
    <w:p w:rsidR="00407A55" w:rsidRPr="00407A55" w:rsidP="00407A55" w14:paraId="545C9698"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eastAsia="ru-RU"/>
        </w:rPr>
      </w:pPr>
    </w:p>
    <w:p w:rsidR="00407A55" w:rsidRPr="00407A55" w:rsidP="00407A55" w14:paraId="7F0A1B28"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eastAsia="ru-RU"/>
        </w:rPr>
      </w:pPr>
      <w:r w:rsidRPr="00407A55">
        <w:rPr>
          <w:rFonts w:ascii="Times New Roman" w:eastAsia="Times New Roman" w:hAnsi="Times New Roman" w:cs="Times New Roman"/>
          <w:b/>
          <w:i/>
          <w:color w:val="000000"/>
          <w:spacing w:val="-2"/>
          <w:sz w:val="27"/>
          <w:szCs w:val="27"/>
          <w:lang w:eastAsia="ru-RU"/>
        </w:rPr>
        <w:t>Ветеранська політика</w:t>
      </w:r>
    </w:p>
    <w:p w:rsidR="00407A55" w:rsidRPr="00407A55" w:rsidP="00407A55" w14:paraId="41C0DAD9"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Станом на 01.07.2026 року на обліку в управлінні з питань ветеранської політики Броварської міської ради Броварського району Київської області перебува</w:t>
      </w:r>
      <w:r w:rsidRPr="00407A55">
        <w:rPr>
          <w:rFonts w:ascii="Times New Roman" w:eastAsia="Times New Roman" w:hAnsi="Times New Roman" w:cs="Times New Roman"/>
          <w:sz w:val="27"/>
          <w:szCs w:val="27"/>
          <w:lang w:eastAsia="ru-RU"/>
        </w:rPr>
        <w:t>ло</w:t>
      </w:r>
      <w:r w:rsidRPr="00407A55">
        <w:rPr>
          <w:rFonts w:ascii="Times New Roman" w:eastAsia="Times New Roman" w:hAnsi="Times New Roman" w:cs="Times New Roman"/>
          <w:sz w:val="27"/>
          <w:szCs w:val="27"/>
          <w:lang w:val="ru-RU" w:eastAsia="ru-RU"/>
        </w:rPr>
        <w:t>:</w:t>
      </w:r>
    </w:p>
    <w:p w:rsidR="00407A55" w:rsidRPr="00407A55" w:rsidP="00407A55" w14:paraId="1E98807D" w14:textId="77777777">
      <w:pPr>
        <w:numPr>
          <w:ilvl w:val="0"/>
          <w:numId w:val="12"/>
        </w:numPr>
        <w:tabs>
          <w:tab w:val="left" w:pos="426"/>
        </w:tabs>
        <w:spacing w:after="0" w:line="240" w:lineRule="auto"/>
        <w:ind w:left="0"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500 осіб з інвалідністю внаслідок війни;</w:t>
      </w:r>
    </w:p>
    <w:p w:rsidR="00407A55" w:rsidRPr="00407A55" w:rsidP="00407A55" w14:paraId="5B860417" w14:textId="77777777">
      <w:pPr>
        <w:numPr>
          <w:ilvl w:val="0"/>
          <w:numId w:val="12"/>
        </w:numPr>
        <w:tabs>
          <w:tab w:val="left" w:pos="426"/>
        </w:tabs>
        <w:spacing w:after="0" w:line="240" w:lineRule="auto"/>
        <w:ind w:left="0"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643 члени сімей загиблих Захисників та Захисниць України;</w:t>
      </w:r>
    </w:p>
    <w:p w:rsidR="00407A55" w:rsidRPr="00407A55" w:rsidP="00407A55" w14:paraId="3F57C78A" w14:textId="77777777">
      <w:pPr>
        <w:numPr>
          <w:ilvl w:val="0"/>
          <w:numId w:val="12"/>
        </w:numPr>
        <w:tabs>
          <w:tab w:val="left" w:pos="426"/>
        </w:tabs>
        <w:spacing w:after="0" w:line="240" w:lineRule="auto"/>
        <w:ind w:left="0"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348 загиблих Захисників та Захисниць України;</w:t>
      </w:r>
    </w:p>
    <w:p w:rsidR="00407A55" w:rsidRPr="00407A55" w:rsidP="00407A55" w14:paraId="258EC32A" w14:textId="77777777">
      <w:pPr>
        <w:numPr>
          <w:ilvl w:val="0"/>
          <w:numId w:val="12"/>
        </w:numPr>
        <w:tabs>
          <w:tab w:val="left" w:pos="426"/>
        </w:tabs>
        <w:spacing w:after="0" w:line="240" w:lineRule="auto"/>
        <w:ind w:left="0"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28 осіб звільнених з полону.</w:t>
      </w:r>
    </w:p>
    <w:p w:rsidR="00407A55" w:rsidRPr="00407A55" w:rsidP="00407A55" w14:paraId="70E1E76A"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Протягом звітного періоду 110 осіб отримали посвідчення особи з інвалідністю внаслідок війни та 110 осіб отримали посвідчення члена сім’ї загиблого Захисника і Захисниці України. </w:t>
      </w:r>
    </w:p>
    <w:p w:rsidR="00407A55" w:rsidRPr="00407A55" w:rsidP="00407A55" w14:paraId="2577C073"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Посвідчення для безкоштовного реабілітаційного відвідування плавального басейну «Купава» та КП «Оздоровчо-реабілітаційний центр» отримали 326 Захисників і Захисниць України та членів сімей загиблих Захисників і Захисниць України. </w:t>
      </w:r>
    </w:p>
    <w:p w:rsidR="00407A55" w:rsidRPr="00407A55" w:rsidP="00407A55" w14:paraId="7E1EC7D3"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Для безкоштовного проїзду в автобусах міського та міжміського сполучення (Бровари – Київ) членам сімей загиблого (померлого) Захисника і Захисниці України видано 14 посвідчень.</w:t>
      </w:r>
    </w:p>
    <w:p w:rsidR="00407A55" w:rsidRPr="00407A55" w:rsidP="00407A55" w14:paraId="7DE4F7DD"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У рамках Програми підтримки Захисників і Захисниць України, членів сімей загиблих на 2024-2026 роки за рахунок коштів місцевого бюджету у звітному періоді профінансовано заходів на суму 11846,7 тис. грн.:</w:t>
      </w:r>
    </w:p>
    <w:p w:rsidR="00407A55" w:rsidRPr="00407A55" w:rsidP="00407A55" w14:paraId="5405D032" w14:textId="4C1869BA">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noProof/>
          <w:sz w:val="27"/>
          <w:szCs w:val="27"/>
          <w:lang w:val="ru-RU" w:eastAsia="ru-RU"/>
        </w:rPr>
        <w:drawing>
          <wp:inline distT="0" distB="0" distL="0" distR="0">
            <wp:extent cx="5657850" cy="2997835"/>
            <wp:effectExtent l="0" t="0" r="0" b="1206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7A55" w:rsidRPr="00407A55" w:rsidP="00407A55" w14:paraId="7E10F231" w14:textId="77777777">
      <w:pPr>
        <w:tabs>
          <w:tab w:val="left" w:pos="426"/>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У</w:t>
      </w:r>
      <w:r w:rsidRPr="00407A55">
        <w:rPr>
          <w:rFonts w:ascii="Times New Roman" w:eastAsia="Times New Roman" w:hAnsi="Times New Roman" w:cs="Times New Roman"/>
          <w:sz w:val="27"/>
          <w:szCs w:val="27"/>
          <w:lang w:val="ru-RU" w:eastAsia="ru-RU"/>
        </w:rPr>
        <w:t xml:space="preserve"> Броварській міській територіальній громаді функціонує Ветеранський центр «ВЕТЕРАН ПРО» (далі – Ветеранський центр), який є координаційним центром для ветеранів та членів їх сімей, членів родин загиблих (померлих) Захисників чи Захисниць України, членів родин зниклих безвісти військовослужбовців та тих, що перебувають у полоні та органом управління якого є Управління з питань ветеранської політики Броварської міської ради Броварського району Київської області. </w:t>
      </w:r>
    </w:p>
    <w:p w:rsidR="00407A55" w:rsidRPr="00407A55" w:rsidP="00407A55" w14:paraId="6B282E72" w14:textId="77777777">
      <w:pPr>
        <w:tabs>
          <w:tab w:val="left" w:pos="426"/>
          <w:tab w:val="left" w:pos="2410"/>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Фахівцями із супроводу ветеранів війни та демобілізованих осіб, постійно надається необхідна підтримка та супровід щодо отримання статусів, соціальних, освітніх, психологічних, медичних та інших послуг, можливості працевлаштування, супровід в установи/організації. Всього на супроводі у фахівців перебуває 1290 ветеранів та членів їх сімей, членів родин загиблих (померлих) Захисників чи Захисниць України, членів родин зниклих безвісти військовослужбовців та тих, що перебувають у полоні.</w:t>
      </w:r>
    </w:p>
    <w:p w:rsidR="00407A55" w:rsidRPr="00407A55" w:rsidP="00407A55" w14:paraId="7F8AB3EF" w14:textId="77777777">
      <w:pPr>
        <w:tabs>
          <w:tab w:val="left" w:pos="426"/>
          <w:tab w:val="left" w:pos="241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shd w:val="clear" w:color="auto" w:fill="FFFFFF"/>
          <w:lang w:val="ru-RU" w:eastAsia="ru-RU"/>
        </w:rPr>
        <w:t xml:space="preserve">У </w:t>
      </w:r>
      <w:r w:rsidRPr="00407A55">
        <w:rPr>
          <w:rFonts w:ascii="Times New Roman" w:eastAsia="Times New Roman" w:hAnsi="Times New Roman" w:cs="Times New Roman"/>
          <w:sz w:val="27"/>
          <w:szCs w:val="27"/>
          <w:shd w:val="clear" w:color="auto" w:fill="FFFFFF"/>
          <w:lang w:eastAsia="ru-RU"/>
        </w:rPr>
        <w:t>Ветеранському центрі</w:t>
      </w:r>
      <w:r w:rsidRPr="00407A55">
        <w:rPr>
          <w:rFonts w:ascii="Times New Roman" w:eastAsia="Times New Roman" w:hAnsi="Times New Roman" w:cs="Times New Roman"/>
          <w:sz w:val="27"/>
          <w:szCs w:val="27"/>
          <w:shd w:val="clear" w:color="auto" w:fill="FFFFFF"/>
          <w:lang w:val="ru-RU" w:eastAsia="ru-RU"/>
        </w:rPr>
        <w:t xml:space="preserve"> діє послуга соціального таксі для ветеранів</w:t>
      </w:r>
      <w:r w:rsidRPr="00407A55">
        <w:rPr>
          <w:rFonts w:ascii="Times New Roman" w:eastAsia="Times New Roman" w:hAnsi="Times New Roman" w:cs="Times New Roman"/>
          <w:sz w:val="27"/>
          <w:szCs w:val="27"/>
          <w:shd w:val="clear" w:color="auto" w:fill="FFFFFF"/>
          <w:lang w:eastAsia="ru-RU"/>
        </w:rPr>
        <w:t xml:space="preserve">, яка  </w:t>
      </w:r>
      <w:r w:rsidRPr="00407A55">
        <w:rPr>
          <w:rFonts w:ascii="Times New Roman" w:eastAsia="Times New Roman" w:hAnsi="Times New Roman" w:cs="Times New Roman"/>
          <w:sz w:val="27"/>
          <w:szCs w:val="27"/>
          <w:shd w:val="clear" w:color="auto" w:fill="FFFFFF"/>
          <w:lang w:val="ru-RU" w:eastAsia="ru-RU"/>
        </w:rPr>
        <w:t xml:space="preserve"> забезпечує безкоштовне перевезення до соціальних, медичних та реабілітаційних закладів, ЦНАПів, вокзалів та інших важливих установ</w:t>
      </w:r>
      <w:r w:rsidRPr="00407A55">
        <w:rPr>
          <w:rFonts w:ascii="Times New Roman" w:eastAsia="Times New Roman" w:hAnsi="Times New Roman" w:cs="Times New Roman"/>
          <w:sz w:val="27"/>
          <w:szCs w:val="27"/>
          <w:shd w:val="clear" w:color="auto" w:fill="FFFFFF"/>
          <w:lang w:eastAsia="ru-RU"/>
        </w:rPr>
        <w:t xml:space="preserve">. </w:t>
      </w:r>
    </w:p>
    <w:p w:rsidR="00407A55" w:rsidRPr="00407A55" w:rsidP="00407A55" w14:paraId="0725E704"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val="ru-RU" w:eastAsia="ru-RU"/>
        </w:rPr>
      </w:pPr>
    </w:p>
    <w:p w:rsidR="00407A55" w:rsidRPr="00407A55" w:rsidP="00407A55" w14:paraId="541C3C6C"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eastAsia="ru-RU"/>
        </w:rPr>
      </w:pPr>
      <w:r w:rsidRPr="00407A55">
        <w:rPr>
          <w:rFonts w:ascii="Times New Roman" w:eastAsia="Times New Roman" w:hAnsi="Times New Roman" w:cs="Times New Roman"/>
          <w:b/>
          <w:i/>
          <w:color w:val="000000"/>
          <w:spacing w:val="-2"/>
          <w:sz w:val="27"/>
          <w:szCs w:val="27"/>
          <w:lang w:eastAsia="ru-RU"/>
        </w:rPr>
        <w:t>Якісна освіта для всіх</w:t>
      </w:r>
    </w:p>
    <w:p w:rsidR="00407A55" w:rsidRPr="00407A55" w:rsidP="00407A55" w14:paraId="5A46EF5F" w14:textId="77777777">
      <w:pPr>
        <w:spacing w:after="0" w:line="240" w:lineRule="auto"/>
        <w:ind w:firstLine="567"/>
        <w:contextualSpacing/>
        <w:jc w:val="both"/>
        <w:rPr>
          <w:rFonts w:ascii="Times New Roman" w:eastAsia="Times New Roman" w:hAnsi="Times New Roman" w:cs="Times New Roman"/>
          <w:sz w:val="27"/>
          <w:szCs w:val="27"/>
          <w:lang w:eastAsia="ru-RU"/>
        </w:rPr>
      </w:pPr>
      <w:bookmarkStart w:id="4" w:name="_Hlk219896024"/>
      <w:r w:rsidRPr="00407A55">
        <w:rPr>
          <w:rFonts w:ascii="Times New Roman" w:eastAsia="Times New Roman" w:hAnsi="Times New Roman" w:cs="Times New Roman"/>
          <w:sz w:val="27"/>
          <w:szCs w:val="27"/>
          <w:lang w:eastAsia="ru-RU"/>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407A55" w:rsidRPr="00407A55" w:rsidP="00407A55" w14:paraId="6E59FE2E" w14:textId="77777777">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інших форм власності. </w:t>
      </w:r>
    </w:p>
    <w:p w:rsidR="00407A55" w:rsidRPr="00407A55" w:rsidP="00407A55" w14:paraId="0D790F6B" w14:textId="77777777">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В громаді мережу закладів загальної середньої освіти складають 1 початкова школа, 13 ліцеїв та 7 приватних закладів. </w:t>
      </w:r>
    </w:p>
    <w:p w:rsidR="00407A55" w:rsidRPr="00407A55" w:rsidP="00407A55" w14:paraId="78513424" w14:textId="09AAFA75">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noProof/>
          <w:sz w:val="27"/>
          <w:szCs w:val="27"/>
          <w:lang w:val="ru-RU" w:eastAsia="ru-RU"/>
        </w:rPr>
        <w:drawing>
          <wp:anchor distT="0" distB="0" distL="120396" distR="128270" simplePos="0" relativeHeight="251658240" behindDoc="0" locked="0" layoutInCell="1" allowOverlap="1">
            <wp:simplePos x="0" y="0"/>
            <wp:positionH relativeFrom="margin">
              <wp:posOffset>153416</wp:posOffset>
            </wp:positionH>
            <wp:positionV relativeFrom="paragraph">
              <wp:posOffset>72390</wp:posOffset>
            </wp:positionV>
            <wp:extent cx="5807710" cy="3072130"/>
            <wp:effectExtent l="0" t="0" r="40640" b="0"/>
            <wp:wrapSquare wrapText="bothSides"/>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Pr="00407A55">
        <w:rPr>
          <w:rFonts w:ascii="Times New Roman" w:eastAsia="Times New Roman" w:hAnsi="Times New Roman" w:cs="Times New Roman"/>
          <w:sz w:val="27"/>
          <w:szCs w:val="27"/>
          <w:lang w:val="ru-RU" w:eastAsia="ru-RU"/>
        </w:rPr>
        <w:t xml:space="preserve">З метою забезпечення доступності здобуття освіти в 13 комунальних закладах загальної середньої освіти організовано роботу інклюзивних класів. У 2026 році в 212 класах освіту отримує 404 учні. Відкрито 22 інклюзивні групи подовженого дня. У 19 закладах дошкільної освіти функціонує </w:t>
      </w:r>
      <w:r w:rsidRPr="00407A55">
        <w:rPr>
          <w:rFonts w:ascii="Times New Roman" w:eastAsia="Times New Roman" w:hAnsi="Times New Roman" w:cs="Times New Roman"/>
          <w:sz w:val="27"/>
          <w:szCs w:val="27"/>
          <w:lang w:val="ru-RU"/>
        </w:rPr>
        <w:t>77 інклюзивних груп, в яких перебуває 227 дітей. О</w:t>
      </w:r>
      <w:r w:rsidRPr="00407A55">
        <w:rPr>
          <w:rFonts w:ascii="Times New Roman" w:eastAsia="Times New Roman" w:hAnsi="Times New Roman" w:cs="Times New Roman"/>
          <w:sz w:val="27"/>
          <w:szCs w:val="27"/>
          <w:lang w:val="ru-RU" w:eastAsia="ru-RU"/>
        </w:rPr>
        <w:t>бладнано інклюзивно-ресурсні кімнати у ліцеях та садочках. У кожному класі (групі) введено посаду асистента учителя (вихователя). В ліцеях працюють 14, у садочка 5 асистентів дитини. Для учнів з особливими освітніми потребами, які мають проблеми опорно-рухового апарату, використовується спеціально облаштований шкільний автобус Броварського ліцею № 6, здійснюється підвезення 23 учнів до місць навчання та у зворотному напрямку, з них 13 учнів Броварського ліцею № 3 та 10 учнів Броварського ліцею № 6.</w:t>
      </w:r>
    </w:p>
    <w:p w:rsidR="00407A55" w:rsidRPr="00407A55" w:rsidP="00407A55" w14:paraId="5E4A32BA" w14:textId="77777777">
      <w:pPr>
        <w:shd w:val="clear" w:color="auto" w:fill="FFFFFF"/>
        <w:tabs>
          <w:tab w:val="left" w:pos="10489"/>
        </w:tabs>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407A55">
        <w:rPr>
          <w:rFonts w:ascii="Times New Roman" w:eastAsia="Times New Roman" w:hAnsi="Times New Roman" w:cs="Times New Roman"/>
          <w:spacing w:val="-2"/>
          <w:sz w:val="27"/>
          <w:szCs w:val="27"/>
          <w:lang w:val="ru-RU" w:eastAsia="ru-RU"/>
        </w:rPr>
        <w:t xml:space="preserve">приватний позашкільний заклад </w:t>
      </w:r>
      <w:r w:rsidRPr="00407A55">
        <w:rPr>
          <w:rFonts w:ascii="Times New Roman" w:eastAsia="Times New Roman" w:hAnsi="Times New Roman" w:cs="Times New Roman"/>
          <w:sz w:val="27"/>
          <w:szCs w:val="27"/>
          <w:lang w:val="ru-RU" w:eastAsia="ru-RU"/>
        </w:rPr>
        <w:t xml:space="preserve">ТОВ «Центр іноземних мов «Спік Інглиш». </w:t>
      </w:r>
    </w:p>
    <w:p w:rsidR="00407A55" w:rsidRPr="00407A55" w:rsidP="00407A55" w14:paraId="5F88E7E7" w14:textId="77777777">
      <w:pPr>
        <w:spacing w:after="0" w:line="240" w:lineRule="auto"/>
        <w:ind w:firstLine="567"/>
        <w:jc w:val="both"/>
        <w:rPr>
          <w:rFonts w:ascii="Times New Roman" w:eastAsia="Times New Roman" w:hAnsi="Times New Roman" w:cs="Times New Roman"/>
          <w:bCs/>
          <w:sz w:val="27"/>
          <w:szCs w:val="27"/>
          <w:lang w:val="ru-RU" w:eastAsia="ru-RU"/>
        </w:rPr>
      </w:pPr>
      <w:r w:rsidRPr="00407A55">
        <w:rPr>
          <w:rFonts w:ascii="Times New Roman" w:eastAsia="Times New Roman" w:hAnsi="Times New Roman" w:cs="Times New Roman"/>
          <w:sz w:val="27"/>
          <w:szCs w:val="27"/>
          <w:lang w:val="ru-RU" w:eastAsia="ru-RU"/>
        </w:rPr>
        <w:t xml:space="preserve">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Google Workspace for Education, Google Classroom, </w:t>
      </w:r>
      <w:r w:rsidRPr="00407A55">
        <w:rPr>
          <w:rFonts w:ascii="Times New Roman" w:eastAsia="Times New Roman" w:hAnsi="Times New Roman" w:cs="Times New Roman"/>
          <w:sz w:val="27"/>
          <w:szCs w:val="27"/>
          <w:lang w:val="ru-RU" w:eastAsia="ru-RU"/>
        </w:rPr>
        <w:t>«Єдина школа» та комунікаційні онлайн сервіси, інструменти Zoom, Skype, Microsoft Team, Google Meet тощо.  Здійснюється робота в Єдиній державній електронній базі з питань освіти. Запроваджено електронні ресурси «Єдина школа», «Нові знання»</w:t>
      </w:r>
      <w:r w:rsidRPr="00407A55">
        <w:rPr>
          <w:rFonts w:ascii="Times New Roman" w:eastAsia="Times New Roman" w:hAnsi="Times New Roman" w:cs="Times New Roman"/>
          <w:sz w:val="27"/>
          <w:szCs w:val="27"/>
          <w:lang w:eastAsia="ru-RU"/>
        </w:rPr>
        <w:t xml:space="preserve"> та «Мрія»,</w:t>
      </w:r>
      <w:r w:rsidRPr="00407A55">
        <w:rPr>
          <w:rFonts w:ascii="Times New Roman" w:eastAsia="Times New Roman" w:hAnsi="Times New Roman" w:cs="Times New Roman"/>
          <w:sz w:val="27"/>
          <w:szCs w:val="27"/>
          <w:lang w:val="ru-RU" w:eastAsia="ru-RU"/>
        </w:rPr>
        <w:t xml:space="preserve">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407A55" w:rsidRPr="00407A55" w:rsidP="00407A55" w14:paraId="22357D0F"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Впродовж І півріччя 2026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будівництво захисної споруди цивільного захисту на території   дошкільного навчального закладу (ясла-садок) комбінованого типу «Зірочка». </w:t>
      </w:r>
    </w:p>
    <w:p w:rsidR="00407A55" w:rsidRPr="00407A55" w:rsidP="00407A55" w14:paraId="790B70C0" w14:textId="77777777">
      <w:pPr>
        <w:spacing w:after="0" w:line="240" w:lineRule="auto"/>
        <w:ind w:firstLine="567"/>
        <w:contextualSpacing/>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w:t>
      </w:r>
      <w:r w:rsidRPr="00407A55">
        <w:rPr>
          <w:rFonts w:ascii="Times New Roman" w:eastAsia="Times New Roman" w:hAnsi="Times New Roman" w:cs="Times New Roman"/>
          <w:color w:val="000000"/>
          <w:sz w:val="27"/>
          <w:szCs w:val="27"/>
          <w:lang w:eastAsia="ru-RU"/>
        </w:rPr>
        <w:t>5</w:t>
      </w:r>
      <w:r w:rsidRPr="00407A55">
        <w:rPr>
          <w:rFonts w:ascii="Times New Roman" w:eastAsia="Times New Roman" w:hAnsi="Times New Roman" w:cs="Times New Roman"/>
          <w:color w:val="000000"/>
          <w:sz w:val="27"/>
          <w:szCs w:val="27"/>
          <w:lang w:val="ru-RU" w:eastAsia="ru-RU"/>
        </w:rPr>
        <w:t xml:space="preserve"> укритт</w:t>
      </w:r>
      <w:r w:rsidRPr="00407A55">
        <w:rPr>
          <w:rFonts w:ascii="Times New Roman" w:eastAsia="Times New Roman" w:hAnsi="Times New Roman" w:cs="Times New Roman"/>
          <w:color w:val="000000"/>
          <w:sz w:val="27"/>
          <w:szCs w:val="27"/>
          <w:lang w:eastAsia="ru-RU"/>
        </w:rPr>
        <w:t>ів</w:t>
      </w:r>
      <w:r w:rsidRPr="00407A55">
        <w:rPr>
          <w:rFonts w:ascii="Times New Roman" w:eastAsia="Times New Roman" w:hAnsi="Times New Roman" w:cs="Times New Roman"/>
          <w:color w:val="000000"/>
          <w:sz w:val="27"/>
          <w:szCs w:val="27"/>
          <w:lang w:val="ru-RU" w:eastAsia="ru-RU"/>
        </w:rPr>
        <w:t>: 1 сховище, 3 протирадіаційних укриттів та 4</w:t>
      </w:r>
      <w:r w:rsidRPr="00407A55">
        <w:rPr>
          <w:rFonts w:ascii="Times New Roman" w:eastAsia="Times New Roman" w:hAnsi="Times New Roman" w:cs="Times New Roman"/>
          <w:color w:val="000000"/>
          <w:sz w:val="27"/>
          <w:szCs w:val="27"/>
          <w:lang w:eastAsia="ru-RU"/>
        </w:rPr>
        <w:t>1</w:t>
      </w:r>
      <w:r w:rsidRPr="00407A55">
        <w:rPr>
          <w:rFonts w:ascii="Times New Roman" w:eastAsia="Times New Roman" w:hAnsi="Times New Roman" w:cs="Times New Roman"/>
          <w:color w:val="000000"/>
          <w:sz w:val="27"/>
          <w:szCs w:val="27"/>
          <w:lang w:val="ru-RU" w:eastAsia="ru-RU"/>
        </w:rPr>
        <w:t xml:space="preserve"> найпростіш</w:t>
      </w:r>
      <w:r w:rsidRPr="00407A55">
        <w:rPr>
          <w:rFonts w:ascii="Times New Roman" w:eastAsia="Times New Roman" w:hAnsi="Times New Roman" w:cs="Times New Roman"/>
          <w:color w:val="000000"/>
          <w:sz w:val="27"/>
          <w:szCs w:val="27"/>
          <w:lang w:eastAsia="ru-RU"/>
        </w:rPr>
        <w:t>е</w:t>
      </w:r>
      <w:r w:rsidRPr="00407A55">
        <w:rPr>
          <w:rFonts w:ascii="Times New Roman" w:eastAsia="Times New Roman" w:hAnsi="Times New Roman" w:cs="Times New Roman"/>
          <w:color w:val="000000"/>
          <w:sz w:val="27"/>
          <w:szCs w:val="27"/>
          <w:lang w:val="ru-RU" w:eastAsia="ru-RU"/>
        </w:rPr>
        <w:t xml:space="preserve"> укритт</w:t>
      </w:r>
      <w:r w:rsidRPr="00407A55">
        <w:rPr>
          <w:rFonts w:ascii="Times New Roman" w:eastAsia="Times New Roman" w:hAnsi="Times New Roman" w:cs="Times New Roman"/>
          <w:color w:val="000000"/>
          <w:sz w:val="27"/>
          <w:szCs w:val="27"/>
          <w:lang w:eastAsia="ru-RU"/>
        </w:rPr>
        <w:t>я</w:t>
      </w:r>
      <w:r w:rsidRPr="00407A55">
        <w:rPr>
          <w:rFonts w:ascii="Times New Roman" w:eastAsia="Times New Roman" w:hAnsi="Times New Roman" w:cs="Times New Roman"/>
          <w:color w:val="000000"/>
          <w:sz w:val="27"/>
          <w:szCs w:val="27"/>
          <w:lang w:val="ru-RU" w:eastAsia="ru-RU"/>
        </w:rPr>
        <w:t>. Загальна місткість укриттів системи освіти становить 1</w:t>
      </w:r>
      <w:r w:rsidRPr="00407A55">
        <w:rPr>
          <w:rFonts w:ascii="Times New Roman" w:eastAsia="Times New Roman" w:hAnsi="Times New Roman" w:cs="Times New Roman"/>
          <w:color w:val="000000"/>
          <w:sz w:val="27"/>
          <w:szCs w:val="27"/>
          <w:lang w:eastAsia="ru-RU"/>
        </w:rPr>
        <w:t>8747</w:t>
      </w:r>
      <w:r w:rsidRPr="00407A55">
        <w:rPr>
          <w:rFonts w:ascii="Times New Roman" w:eastAsia="Times New Roman" w:hAnsi="Times New Roman" w:cs="Times New Roman"/>
          <w:color w:val="000000"/>
          <w:sz w:val="27"/>
          <w:szCs w:val="27"/>
          <w:lang w:val="ru-RU" w:eastAsia="ru-RU"/>
        </w:rPr>
        <w:t xml:space="preserve"> місц</w:t>
      </w:r>
      <w:r w:rsidRPr="00407A55">
        <w:rPr>
          <w:rFonts w:ascii="Times New Roman" w:eastAsia="Times New Roman" w:hAnsi="Times New Roman" w:cs="Times New Roman"/>
          <w:color w:val="000000"/>
          <w:sz w:val="27"/>
          <w:szCs w:val="27"/>
          <w:lang w:eastAsia="ru-RU"/>
        </w:rPr>
        <w:t>я</w:t>
      </w:r>
      <w:r w:rsidRPr="00407A55">
        <w:rPr>
          <w:rFonts w:ascii="Times New Roman" w:eastAsia="Times New Roman" w:hAnsi="Times New Roman" w:cs="Times New Roman"/>
          <w:color w:val="000000"/>
          <w:sz w:val="27"/>
          <w:szCs w:val="27"/>
          <w:lang w:val="ru-RU" w:eastAsia="ru-RU"/>
        </w:rPr>
        <w:t>.</w:t>
      </w:r>
    </w:p>
    <w:p w:rsidR="00407A55" w:rsidRPr="00407A55" w:rsidP="00407A55" w14:paraId="46F180D1" w14:textId="77777777">
      <w:pPr>
        <w:widowControl w:val="0"/>
        <w:tabs>
          <w:tab w:val="center" w:pos="4820"/>
          <w:tab w:val="right" w:pos="9641"/>
        </w:tabs>
        <w:snapToGrid w:val="0"/>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В одинадцяти ліцеях громади організовано  роботу «класів безпеки» (№ 2, № 3, № 4 ім. С.І. Олійника, № 5 ім. Василя Стуса, № 7, № 9, № 10, № 11, Княжицькому, Требухівському та початковій школі № 12).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фахівців.</w:t>
      </w:r>
    </w:p>
    <w:p w:rsidR="00407A55" w:rsidRPr="00407A55" w:rsidP="00407A55" w14:paraId="39E7B090" w14:textId="77777777">
      <w:pPr>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У громаді реалізується проєкт «Офіцери Служби освітньої безпеки (СОБ)», який спрямований на захист дітей в умовах повномасштабної війни та формування надійного безпекового середовища після її завершення. У рамках проєкту офіцери СОБ проводять навчання, тренування та консультації з питань безпеки в умовах надзвичайних ситуацій, організовують інформаційно-роз’яснювальну роботу з учнями та їх батьками, спрямовану на запобігання втягуванню підлітків у протиправну діяльність під час воєнного стану. Також здійснюється профілактика правопорушень серед дітей та надаються роз</w:t>
      </w:r>
      <w:r w:rsidRPr="00407A55">
        <w:rPr>
          <w:rFonts w:ascii="Times New Roman" w:eastAsia="Calibri" w:hAnsi="Times New Roman" w:cs="Times New Roman"/>
          <w:sz w:val="27"/>
          <w:szCs w:val="27"/>
          <w:lang w:val="ru-RU" w:eastAsia="en-US"/>
        </w:rPr>
        <w:t>’</w:t>
      </w:r>
      <w:r w:rsidRPr="00407A55">
        <w:rPr>
          <w:rFonts w:ascii="Times New Roman" w:eastAsia="Calibri" w:hAnsi="Times New Roman" w:cs="Times New Roman"/>
          <w:sz w:val="27"/>
          <w:szCs w:val="27"/>
          <w:lang w:eastAsia="en-US"/>
        </w:rPr>
        <w:t>яснення щодо відповідальності за протиправні дії в умовах війни. Загалом у закладах загальної середньої освіти працюють 10 офіцерів (у ліцеях № 1, № 4 ім. С.І. Олійника, № 5 ім. Василя Стуса,  № 6, № 7, № 10, № 11, початкова школа № 12, Княжицький та Требухівський). Планується забезпечити всі заклади офіцерами, у зв’язку з чим наразі проводяться конкурсні відбори та відповідне навчання.</w:t>
      </w:r>
    </w:p>
    <w:p w:rsidR="00407A55" w:rsidRPr="00407A55" w:rsidP="00407A55" w14:paraId="086D479A" w14:textId="77777777">
      <w:pPr>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Всі комунальні заклади загальної середньої освіти забезпечують безкоштовне харчування для дітей пільгової категорії та учнів 1-4 класів.  В 2025/2026 навчальному році харчувалося 8600 учнів (53%), з них 468 учнів (5,4%) ліцеїв харчувались за батьківські кошти. </w:t>
      </w:r>
    </w:p>
    <w:p w:rsidR="00407A55" w:rsidRPr="00407A55" w:rsidP="00407A55" w14:paraId="636096C4"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sz w:val="27"/>
          <w:szCs w:val="27"/>
          <w:lang w:eastAsia="ru-RU"/>
        </w:rPr>
        <w:t xml:space="preserve">На організацію харчування у закладах дошкільної освіти протягом звітного періоду профінансовано 10789,98 тис. грн., у закладах загальної середньої освіти </w:t>
      </w:r>
      <w:r w:rsidRPr="00407A55">
        <w:rPr>
          <w:rFonts w:ascii="Times New Roman" w:eastAsia="Times New Roman" w:hAnsi="Times New Roman" w:cs="Times New Roman"/>
          <w:sz w:val="27"/>
          <w:szCs w:val="27"/>
          <w:lang w:eastAsia="ru-RU"/>
        </w:rPr>
        <w:t>– 10186,43 тис. грн. коштів місцевого бюджету та 17722,73 тис. грн. коштів державної субвенції.</w:t>
      </w:r>
    </w:p>
    <w:p w:rsidR="00407A55" w:rsidRPr="00407A55" w:rsidP="00407A55" w14:paraId="0B84C369"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Відповідно </w:t>
      </w:r>
      <w:r w:rsidRPr="00407A55">
        <w:rPr>
          <w:rFonts w:ascii="Times New Roman" w:eastAsia="Times New Roman" w:hAnsi="Times New Roman" w:cs="Times New Roman"/>
          <w:sz w:val="27"/>
          <w:szCs w:val="27"/>
          <w:lang w:eastAsia="ru-RU"/>
        </w:rPr>
        <w:t xml:space="preserve">до </w:t>
      </w:r>
      <w:r w:rsidRPr="00407A55">
        <w:rPr>
          <w:rFonts w:ascii="Times New Roman" w:eastAsia="Times New Roman" w:hAnsi="Times New Roman" w:cs="Times New Roman"/>
          <w:sz w:val="27"/>
          <w:szCs w:val="27"/>
          <w:lang w:val="ru-RU" w:eastAsia="ru-RU"/>
        </w:rPr>
        <w:t>Програми на фінансування освітніх закладів у</w:t>
      </w:r>
      <w:r w:rsidRPr="00407A55">
        <w:rPr>
          <w:rFonts w:ascii="Times New Roman" w:eastAsia="Times New Roman" w:hAnsi="Times New Roman" w:cs="Times New Roman"/>
          <w:sz w:val="27"/>
          <w:szCs w:val="27"/>
          <w:lang w:eastAsia="ru-RU"/>
        </w:rPr>
        <w:t xml:space="preserve"> І півріччі</w:t>
      </w:r>
      <w:r w:rsidRPr="00407A55">
        <w:rPr>
          <w:rFonts w:ascii="Times New Roman" w:eastAsia="Times New Roman" w:hAnsi="Times New Roman" w:cs="Times New Roman"/>
          <w:sz w:val="27"/>
          <w:szCs w:val="27"/>
          <w:lang w:val="ru-RU" w:eastAsia="ru-RU"/>
        </w:rPr>
        <w:t xml:space="preserve"> 202</w:t>
      </w:r>
      <w:r w:rsidRPr="00407A55">
        <w:rPr>
          <w:rFonts w:ascii="Times New Roman" w:eastAsia="Times New Roman" w:hAnsi="Times New Roman" w:cs="Times New Roman"/>
          <w:sz w:val="27"/>
          <w:szCs w:val="27"/>
          <w:lang w:eastAsia="ru-RU"/>
        </w:rPr>
        <w:t>6</w:t>
      </w:r>
      <w:r w:rsidRPr="00407A55">
        <w:rPr>
          <w:rFonts w:ascii="Times New Roman" w:eastAsia="Times New Roman" w:hAnsi="Times New Roman" w:cs="Times New Roman"/>
          <w:sz w:val="27"/>
          <w:szCs w:val="27"/>
          <w:lang w:val="ru-RU" w:eastAsia="ru-RU"/>
        </w:rPr>
        <w:t xml:space="preserve"> році передбачено </w:t>
      </w:r>
      <w:r w:rsidRPr="00407A55">
        <w:rPr>
          <w:rFonts w:ascii="Times New Roman" w:eastAsia="Times New Roman" w:hAnsi="Times New Roman" w:cs="Times New Roman"/>
          <w:sz w:val="27"/>
          <w:szCs w:val="27"/>
          <w:lang w:eastAsia="ru-RU"/>
        </w:rPr>
        <w:t>35471,34</w:t>
      </w:r>
      <w:r w:rsidRPr="00407A55">
        <w:rPr>
          <w:rFonts w:ascii="Times New Roman" w:eastAsia="Times New Roman" w:hAnsi="Times New Roman" w:cs="Times New Roman"/>
          <w:sz w:val="27"/>
          <w:szCs w:val="27"/>
          <w:lang w:val="ru-RU" w:eastAsia="ru-RU"/>
        </w:rPr>
        <w:t xml:space="preserve"> тис. грн.</w:t>
      </w:r>
      <w:r w:rsidRPr="00407A55">
        <w:rPr>
          <w:rFonts w:ascii="Times New Roman" w:eastAsia="Times New Roman" w:hAnsi="Times New Roman" w:cs="Times New Roman"/>
          <w:sz w:val="27"/>
          <w:szCs w:val="27"/>
          <w:lang w:eastAsia="ru-RU"/>
        </w:rPr>
        <w:t xml:space="preserve">, профінансовано – 5554,4 тис. грн. </w:t>
      </w:r>
      <w:r w:rsidRPr="00407A55">
        <w:rPr>
          <w:rFonts w:ascii="Times New Roman" w:eastAsia="Times New Roman" w:hAnsi="Times New Roman" w:cs="Times New Roman"/>
          <w:sz w:val="27"/>
          <w:szCs w:val="27"/>
          <w:lang w:val="ru-RU" w:eastAsia="ru-RU"/>
        </w:rPr>
        <w:t xml:space="preserve"> </w:t>
      </w:r>
    </w:p>
    <w:bookmarkEnd w:id="4"/>
    <w:p w:rsidR="00407A55" w:rsidRPr="00407A55" w:rsidP="00407A55" w14:paraId="7F493D53"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p>
    <w:p w:rsidR="00407A55" w:rsidRPr="00407A55" w:rsidP="00407A55" w14:paraId="37C2A379"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eastAsia="ru-RU"/>
        </w:rPr>
      </w:pPr>
      <w:r w:rsidRPr="00407A55">
        <w:rPr>
          <w:rFonts w:ascii="Times New Roman" w:eastAsia="Times New Roman" w:hAnsi="Times New Roman" w:cs="Times New Roman"/>
          <w:b/>
          <w:i/>
          <w:color w:val="000000"/>
          <w:spacing w:val="-2"/>
          <w:sz w:val="27"/>
          <w:szCs w:val="27"/>
          <w:lang w:eastAsia="ru-RU"/>
        </w:rPr>
        <w:t>Розвиток медичної галузі</w:t>
      </w:r>
    </w:p>
    <w:p w:rsidR="00407A55" w:rsidRPr="00407A55" w:rsidP="00407A55" w14:paraId="4106186C"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bookmarkStart w:id="5" w:name="_Hlk219896117"/>
      <w:r w:rsidRPr="00407A55">
        <w:rPr>
          <w:rFonts w:ascii="Times New Roman" w:eastAsia="Times New Roman" w:hAnsi="Times New Roman" w:cs="Times New Roman"/>
          <w:sz w:val="27"/>
          <w:szCs w:val="27"/>
          <w:lang w:eastAsia="ru-RU"/>
        </w:rPr>
        <w:t xml:space="preserve">На території громади функціонує Комунальне некомерційне товариство «Броварська багатопрофільна клінічна лікарня» територіальних громад Броварського району Київської області (далі - КНТ «Броварська багатопрофільна клінічна лікарня»), станція екстреної медичної допомоги, Комунальне некомерційне товариство </w:t>
      </w:r>
      <w:r w:rsidRPr="00407A55">
        <w:rPr>
          <w:rFonts w:ascii="Times New Roman" w:eastAsia="Times New Roman" w:hAnsi="Times New Roman" w:cs="Times New Roman"/>
          <w:sz w:val="27"/>
          <w:szCs w:val="27"/>
          <w:shd w:val="clear" w:color="auto" w:fill="FFFFFF"/>
          <w:lang w:eastAsia="ru-RU"/>
        </w:rPr>
        <w:t>Броварської міської ради Броварського району Київської області </w:t>
      </w:r>
      <w:r w:rsidRPr="00407A55">
        <w:rPr>
          <w:rFonts w:ascii="Times New Roman" w:eastAsia="Times New Roman" w:hAnsi="Times New Roman" w:cs="Times New Roman"/>
          <w:sz w:val="27"/>
          <w:szCs w:val="27"/>
          <w:lang w:eastAsia="ru-RU"/>
        </w:rPr>
        <w:t xml:space="preserve">«Броварський міський центр первинної медико-санітарної допомоги» (далі -  КНТ БМР БР КО «БМЦПМСД») та Комунальне некомерційне товариство Броварської міської ради Броварського району Київської області «Броварська стоматологічна поліклініка» (далі – КНТ БМР«БСП»). </w:t>
      </w:r>
    </w:p>
    <w:p w:rsidR="00407A55" w:rsidRPr="00407A55" w:rsidP="00407A55" w14:paraId="21E3BB4E" w14:textId="77777777">
      <w:pPr>
        <w:shd w:val="clear" w:color="auto" w:fill="FFFFFF"/>
        <w:tabs>
          <w:tab w:val="left" w:pos="9214"/>
        </w:tabs>
        <w:spacing w:after="0" w:line="240" w:lineRule="auto"/>
        <w:ind w:firstLine="567"/>
        <w:contextualSpacing/>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 xml:space="preserve">Кількість медичного персоналу в лікувальних закладах, </w:t>
      </w:r>
      <w:r w:rsidRPr="00407A55">
        <w:rPr>
          <w:rFonts w:ascii="Times New Roman" w:eastAsia="Times New Roman" w:hAnsi="Times New Roman" w:cs="Times New Roman"/>
          <w:b/>
          <w:bCs/>
          <w:color w:val="000000"/>
          <w:sz w:val="27"/>
          <w:szCs w:val="27"/>
          <w:lang w:eastAsia="ru-RU"/>
        </w:rPr>
        <w:t>(осіб)</w:t>
      </w:r>
    </w:p>
    <w:p w:rsidR="00407A55" w:rsidRPr="00407A55" w:rsidP="00407A55" w14:paraId="38957188" w14:textId="79051C66">
      <w:pPr>
        <w:shd w:val="clear" w:color="auto" w:fill="FFFFFF"/>
        <w:tabs>
          <w:tab w:val="left" w:pos="9214"/>
        </w:tabs>
        <w:spacing w:after="0" w:line="240" w:lineRule="auto"/>
        <w:ind w:firstLine="567"/>
        <w:contextualSpacing/>
        <w:jc w:val="center"/>
        <w:rPr>
          <w:rFonts w:ascii="Times New Roman" w:eastAsia="Times New Roman" w:hAnsi="Times New Roman" w:cs="Times New Roman"/>
          <w:noProof/>
          <w:sz w:val="27"/>
          <w:szCs w:val="27"/>
          <w:lang w:eastAsia="ru-RU"/>
        </w:rPr>
      </w:pPr>
      <w:r w:rsidRPr="00407A55">
        <w:rPr>
          <w:rFonts w:ascii="Times New Roman" w:eastAsia="Times New Roman" w:hAnsi="Times New Roman" w:cs="Times New Roman"/>
          <w:noProof/>
          <w:sz w:val="27"/>
          <w:szCs w:val="27"/>
          <w:lang w:eastAsia="ru-RU"/>
        </w:rPr>
        <w:drawing>
          <wp:inline distT="0" distB="0" distL="0" distR="0">
            <wp:extent cx="5395595" cy="2740025"/>
            <wp:effectExtent l="0" t="0" r="14605" b="317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5"/>
    <w:p w:rsidR="00407A55" w:rsidRPr="00407A55" w:rsidP="00407A55" w14:paraId="58315236" w14:textId="77777777">
      <w:pPr>
        <w:shd w:val="clear" w:color="auto" w:fill="FFFFFF"/>
        <w:tabs>
          <w:tab w:val="left" w:pos="9214"/>
        </w:tabs>
        <w:spacing w:after="0" w:line="240" w:lineRule="auto"/>
        <w:ind w:firstLine="567"/>
        <w:contextualSpacing/>
        <w:jc w:val="both"/>
        <w:rPr>
          <w:rFonts w:ascii="Times New Roman" w:eastAsia="Calibri" w:hAnsi="Times New Roman" w:cs="Times New Roman"/>
          <w:sz w:val="27"/>
          <w:szCs w:val="27"/>
          <w:lang w:eastAsia="ru-RU"/>
        </w:rPr>
      </w:pPr>
      <w:r w:rsidRPr="00407A55">
        <w:rPr>
          <w:rFonts w:ascii="Times New Roman" w:eastAsia="Calibri" w:hAnsi="Times New Roman" w:cs="Times New Roman"/>
          <w:sz w:val="27"/>
          <w:szCs w:val="27"/>
          <w:lang w:eastAsia="ru-RU"/>
        </w:rPr>
        <w:t xml:space="preserve">В структурі </w:t>
      </w:r>
      <w:r w:rsidRPr="00407A55">
        <w:rPr>
          <w:rFonts w:ascii="Times New Roman" w:eastAsia="Times New Roman" w:hAnsi="Times New Roman" w:cs="Times New Roman"/>
          <w:sz w:val="27"/>
          <w:szCs w:val="27"/>
          <w:lang w:eastAsia="ru-RU"/>
        </w:rPr>
        <w:t>КНТ БМР БР КО «БМЦПМСД» функціонує</w:t>
      </w:r>
      <w:r w:rsidRPr="00407A55">
        <w:rPr>
          <w:rFonts w:ascii="Times New Roman" w:eastAsia="Calibri" w:hAnsi="Times New Roman" w:cs="Times New Roman"/>
          <w:sz w:val="27"/>
          <w:szCs w:val="27"/>
          <w:lang w:eastAsia="ru-RU"/>
        </w:rPr>
        <w:t xml:space="preserve"> 9 амбулаторій та одне відділення невідкладної допомоги: в місті Бровари функціонує 7 амбулаторій,  в</w:t>
      </w:r>
      <w:r w:rsidRPr="00407A55">
        <w:rPr>
          <w:rFonts w:ascii="Times New Roman" w:eastAsia="Times New Roman" w:hAnsi="Times New Roman" w:cs="Times New Roman"/>
          <w:sz w:val="27"/>
          <w:szCs w:val="27"/>
          <w:lang w:eastAsia="ru-RU"/>
        </w:rPr>
        <w:t xml:space="preserve"> селі Княжичі - 1, в селі Требухів -  1. </w:t>
      </w:r>
      <w:r w:rsidRPr="00407A55">
        <w:rPr>
          <w:rFonts w:ascii="Times New Roman" w:eastAsia="Calibri" w:hAnsi="Times New Roman" w:cs="Times New Roman"/>
          <w:sz w:val="27"/>
          <w:szCs w:val="27"/>
          <w:lang w:eastAsia="ru-RU"/>
        </w:rPr>
        <w:t xml:space="preserve">Забезпеченість лікарями на 10 тис. населення складала </w:t>
      </w:r>
      <w:r w:rsidRPr="00407A55">
        <w:rPr>
          <w:rFonts w:ascii="Times New Roman" w:eastAsia="Calibri" w:hAnsi="Times New Roman" w:cs="Times New Roman"/>
          <w:sz w:val="27"/>
          <w:szCs w:val="27"/>
          <w:lang w:val="ru-RU" w:eastAsia="ru-RU"/>
        </w:rPr>
        <w:t>8</w:t>
      </w:r>
      <w:r w:rsidRPr="00407A55">
        <w:rPr>
          <w:rFonts w:ascii="Times New Roman" w:eastAsia="Calibri" w:hAnsi="Times New Roman" w:cs="Times New Roman"/>
          <w:sz w:val="27"/>
          <w:szCs w:val="27"/>
          <w:lang w:eastAsia="ru-RU"/>
        </w:rPr>
        <w:t>,6.</w:t>
      </w:r>
    </w:p>
    <w:p w:rsidR="00407A55" w:rsidRPr="00407A55" w:rsidP="00407A55" w14:paraId="772BB95B" w14:textId="77777777">
      <w:pPr>
        <w:shd w:val="clear" w:color="auto" w:fill="FFFFFF"/>
        <w:tabs>
          <w:tab w:val="left" w:pos="9214"/>
        </w:tabs>
        <w:spacing w:after="0" w:line="240" w:lineRule="auto"/>
        <w:ind w:firstLine="567"/>
        <w:contextualSpacing/>
        <w:jc w:val="both"/>
        <w:rPr>
          <w:rFonts w:ascii="Times New Roman" w:eastAsia="Calibri" w:hAnsi="Times New Roman" w:cs="Times New Roman"/>
          <w:sz w:val="27"/>
          <w:szCs w:val="27"/>
          <w:lang w:eastAsia="ru-RU"/>
        </w:rPr>
      </w:pPr>
      <w:r w:rsidRPr="00407A55">
        <w:rPr>
          <w:rFonts w:ascii="Times New Roman" w:eastAsia="Calibri" w:hAnsi="Times New Roman" w:cs="Times New Roman"/>
          <w:sz w:val="27"/>
          <w:szCs w:val="27"/>
          <w:lang w:eastAsia="ru-RU"/>
        </w:rPr>
        <w:t>Амбулаторії закладу забезпечені 31 ліжком денного стаціонару, що складає 2,6 на 10 тис. населення.</w:t>
      </w:r>
    </w:p>
    <w:p w:rsidR="00407A55" w:rsidRPr="00407A55" w:rsidP="00407A55" w14:paraId="6372CCCC" w14:textId="77777777">
      <w:pPr>
        <w:spacing w:after="0" w:line="240" w:lineRule="auto"/>
        <w:ind w:firstLine="567"/>
        <w:jc w:val="both"/>
        <w:rPr>
          <w:rFonts w:ascii="Times New Roman" w:eastAsia="Calibri" w:hAnsi="Times New Roman" w:cs="Times New Roman"/>
          <w:sz w:val="27"/>
          <w:szCs w:val="27"/>
        </w:rPr>
      </w:pPr>
      <w:r w:rsidRPr="00407A55">
        <w:rPr>
          <w:rFonts w:ascii="Times New Roman" w:eastAsia="Calibri" w:hAnsi="Times New Roman" w:cs="Times New Roman"/>
          <w:sz w:val="27"/>
          <w:szCs w:val="27"/>
          <w:lang w:eastAsia="en-US"/>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проводиться прийом пацієнтів лікарями виїзних бригад, у складі яких є лікар акушер-гінеколог, ендокринолог, гастроентеролог, кардіолог. </w:t>
      </w:r>
    </w:p>
    <w:p w:rsidR="00407A55" w:rsidRPr="00407A55" w:rsidP="00407A55" w14:paraId="462787F3"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Станом на 01.07.2026 згідно приписної кампанії «Лікар для кожної сім’ї» укладено 100905 декларацій з лікарями закладу, що складало 86,5 % від загальної чисельності зареєстрованого населення.</w:t>
      </w:r>
    </w:p>
    <w:p w:rsidR="00407A55" w:rsidRPr="00407A55" w:rsidP="00407A55" w14:paraId="759746F2"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Кількість відвідувань до лікарів в звітному періоді склала 131076.  Кількість відвідувань лікарями хворих вдома склала 856. Проліковано в денному стаціонарі 288 осіб. </w:t>
      </w:r>
    </w:p>
    <w:p w:rsidR="00407A55" w:rsidRPr="00407A55" w:rsidP="00407A55" w14:paraId="4789B1AB"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І півріччі 2026 року відшкодовано кошти за виписані лікарями рецепти пільговим категоріям населення на суму 7660,4 тис. грн.</w:t>
      </w:r>
      <w:r w:rsidRPr="00407A55">
        <w:rPr>
          <w:rFonts w:ascii="Times New Roman" w:eastAsia="Times New Roman" w:hAnsi="Times New Roman" w:cs="Times New Roman"/>
          <w:color w:val="FF0000"/>
          <w:sz w:val="27"/>
          <w:szCs w:val="27"/>
          <w:lang w:eastAsia="ru-RU"/>
        </w:rPr>
        <w:t xml:space="preserve"> </w:t>
      </w:r>
    </w:p>
    <w:p w:rsidR="00407A55" w:rsidRPr="00407A55" w:rsidP="00407A55" w14:paraId="0871BB6D" w14:textId="77777777">
      <w:pPr>
        <w:autoSpaceDE w:val="0"/>
        <w:autoSpaceDN w:val="0"/>
        <w:adjustRightInd w:val="0"/>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Згідно «Комплексної Програми розвитку охорони здоров’я в                                                                                                                                                                                                                                                                                                                       Броварській міській територіальній громаді на 2022 - 2026 роки» КНТ БМР БР КО «БМЦПМСД»  протягом звітного періоду профінансовано заходи на суму 28720,1 тис. грн.</w:t>
      </w:r>
    </w:p>
    <w:p w:rsidR="00407A55" w:rsidRPr="00407A55" w:rsidP="00407A55" w14:paraId="0E2FF0F5"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КНТ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407A55" w:rsidRPr="00407A55" w:rsidP="00407A55" w14:paraId="603BAEDC"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стаціонарних відділеннях «дорослої» лікарні - 682 ліжка та в центрі «Дитяча лікарня» - 80 ліжок.  </w:t>
      </w:r>
    </w:p>
    <w:p w:rsidR="00407A55" w:rsidRPr="00407A55" w:rsidP="00407A55" w14:paraId="6CB00F2D"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В стаціонарах лікарні  проліковано – 9822 хворих, з них планово – 955 хворих, ургентно - 8867 хворих. У відділенні екстренної невідкладної спеціалізованої допомоги амбулаторний прийом наданий 4388 хворим та стаціонарний - 9822.</w:t>
      </w:r>
    </w:p>
    <w:p w:rsidR="00407A55" w:rsidRPr="00407A55" w:rsidP="00407A55" w14:paraId="394328B6"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Продовжує роботу новий сучасний центр нейросудинної ендоваркулярної хірургії, який</w:t>
      </w:r>
      <w:r w:rsidRPr="00407A55">
        <w:rPr>
          <w:rFonts w:ascii="Times New Roman" w:eastAsia="Times New Roman" w:hAnsi="Times New Roman" w:cs="Times New Roman"/>
          <w:i/>
          <w:iCs/>
          <w:sz w:val="27"/>
          <w:szCs w:val="27"/>
          <w:lang w:eastAsia="ru-RU"/>
        </w:rPr>
        <w:t xml:space="preserve"> </w:t>
      </w:r>
      <w:r w:rsidRPr="00407A55">
        <w:rPr>
          <w:rFonts w:ascii="Times New Roman" w:eastAsia="Times New Roman" w:hAnsi="Times New Roman" w:cs="Times New Roman"/>
          <w:sz w:val="27"/>
          <w:szCs w:val="27"/>
          <w:lang w:eastAsia="ru-RU"/>
        </w:rPr>
        <w:t>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rsidR="00407A55" w:rsidRPr="00407A55" w:rsidP="00407A55" w14:paraId="607D8F3A" w14:textId="77777777">
      <w:pPr>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 xml:space="preserve">У відділенні гемодіалізу є 15 діалізних апаратів, на обліку перебуває </w:t>
      </w:r>
      <w:r w:rsidRPr="00407A55">
        <w:rPr>
          <w:rFonts w:ascii="Times New Roman" w:eastAsia="Calibri" w:hAnsi="Times New Roman" w:cs="Times New Roman"/>
          <w:sz w:val="27"/>
          <w:szCs w:val="27"/>
          <w:lang w:eastAsia="en-US"/>
        </w:rPr>
        <w:br/>
        <w:t xml:space="preserve">38  чол., проведено 2888 діалізів. </w:t>
      </w:r>
    </w:p>
    <w:p w:rsidR="00407A55" w:rsidRPr="00407A55" w:rsidP="00407A55" w14:paraId="4BEC9E5A"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звітному періоді не працювало інфекційне відділення центру «Дитяча лікарня» КНТ «Броварська багатопрофільна клінічна лікарня» (обꞌєкт на реконструкції).</w:t>
      </w:r>
    </w:p>
    <w:p w:rsidR="00407A55" w:rsidRPr="00407A55" w:rsidP="00407A55" w14:paraId="4F83CD51" w14:textId="77777777">
      <w:pPr>
        <w:spacing w:after="0" w:line="240" w:lineRule="auto"/>
        <w:ind w:firstLine="567"/>
        <w:jc w:val="both"/>
        <w:rPr>
          <w:rFonts w:ascii="Times New Roman" w:eastAsia="Calibri" w:hAnsi="Times New Roman" w:cs="Times New Roman"/>
          <w:color w:val="000000"/>
          <w:sz w:val="27"/>
          <w:szCs w:val="27"/>
          <w:lang w:eastAsia="en-US"/>
        </w:rPr>
      </w:pPr>
      <w:r w:rsidRPr="00407A55">
        <w:rPr>
          <w:rFonts w:ascii="Times New Roman" w:eastAsia="Calibri" w:hAnsi="Times New Roman" w:cs="Times New Roman"/>
          <w:color w:val="000000"/>
          <w:sz w:val="27"/>
          <w:szCs w:val="27"/>
          <w:lang w:eastAsia="en-US"/>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407A55">
        <w:rPr>
          <w:rFonts w:ascii="Times New Roman" w:eastAsia="Calibri" w:hAnsi="Times New Roman" w:cs="Times New Roman"/>
          <w:sz w:val="27"/>
          <w:szCs w:val="27"/>
          <w:lang w:eastAsia="en-US"/>
        </w:rPr>
        <w:t>профінансовано заходи на</w:t>
      </w:r>
      <w:r w:rsidRPr="00407A55">
        <w:rPr>
          <w:rFonts w:ascii="Times New Roman" w:eastAsia="Calibri" w:hAnsi="Times New Roman" w:cs="Times New Roman"/>
          <w:color w:val="000000"/>
          <w:sz w:val="27"/>
          <w:szCs w:val="27"/>
          <w:lang w:eastAsia="en-US"/>
        </w:rPr>
        <w:t xml:space="preserve"> суму 14690,5 тис. грн.</w:t>
      </w:r>
    </w:p>
    <w:p w:rsidR="00407A55" w:rsidRPr="00407A55" w:rsidP="00407A55" w14:paraId="0E68887A"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КНТ БМР «БСП»</w:t>
      </w:r>
      <w:r w:rsidRPr="00407A55">
        <w:rPr>
          <w:rFonts w:ascii="Times New Roman" w:eastAsia="Calibri" w:hAnsi="Times New Roman" w:cs="Times New Roman"/>
          <w:color w:val="000000"/>
          <w:sz w:val="27"/>
          <w:szCs w:val="27"/>
          <w:lang w:eastAsia="en-US"/>
        </w:rPr>
        <w:t xml:space="preserve"> </w:t>
      </w:r>
      <w:r w:rsidRPr="00407A55">
        <w:rPr>
          <w:rFonts w:ascii="Times New Roman" w:eastAsia="Times New Roman" w:hAnsi="Times New Roman" w:cs="Times New Roman"/>
          <w:color w:val="000000"/>
          <w:sz w:val="27"/>
          <w:szCs w:val="27"/>
          <w:lang w:eastAsia="ru-RU"/>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407A55" w:rsidRPr="00407A55" w:rsidP="00407A55" w14:paraId="5B4860F3"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Протягом І півріччя 2026 року безкоштовне лікування (огляд), протезування отримали </w:t>
      </w:r>
      <w:r w:rsidRPr="00407A55">
        <w:rPr>
          <w:rFonts w:ascii="Times New Roman" w:eastAsia="Times New Roman" w:hAnsi="Times New Roman" w:cs="Times New Roman"/>
          <w:sz w:val="27"/>
          <w:szCs w:val="27"/>
          <w:lang w:eastAsia="ru-RU"/>
        </w:rPr>
        <w:t>4161</w:t>
      </w:r>
      <w:r w:rsidRPr="00407A55">
        <w:rPr>
          <w:rFonts w:ascii="Times New Roman" w:eastAsia="Times New Roman" w:hAnsi="Times New Roman" w:cs="Times New Roman"/>
          <w:color w:val="FF0000"/>
          <w:sz w:val="27"/>
          <w:szCs w:val="27"/>
          <w:lang w:eastAsia="ru-RU"/>
        </w:rPr>
        <w:t xml:space="preserve"> </w:t>
      </w:r>
      <w:r w:rsidRPr="00407A55">
        <w:rPr>
          <w:rFonts w:ascii="Times New Roman" w:eastAsia="Times New Roman" w:hAnsi="Times New Roman" w:cs="Times New Roman"/>
          <w:color w:val="000000"/>
          <w:sz w:val="27"/>
          <w:szCs w:val="27"/>
          <w:lang w:eastAsia="ru-RU"/>
        </w:rPr>
        <w:t>жителів громади:</w:t>
      </w:r>
    </w:p>
    <w:p w:rsidR="00407A55" w:rsidRPr="00407A55" w:rsidP="00407A55" w14:paraId="02BC1FB3" w14:textId="77777777">
      <w:pPr>
        <w:shd w:val="clear" w:color="auto" w:fill="FFFFFF"/>
        <w:tabs>
          <w:tab w:val="left" w:pos="567"/>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 відповідно до «Програми підтримки Захисників і Захисниць України, членів сімей загиблих на 2024-2026 роки» </w:t>
      </w:r>
      <w:r w:rsidRPr="00407A55">
        <w:rPr>
          <w:rFonts w:ascii="Times New Roman" w:eastAsia="Times New Roman" w:hAnsi="Times New Roman" w:cs="Times New Roman"/>
          <w:color w:val="000000"/>
          <w:sz w:val="27"/>
          <w:szCs w:val="27"/>
          <w:lang w:val="ru-RU" w:eastAsia="ru-RU"/>
        </w:rPr>
        <w:t>615</w:t>
      </w:r>
      <w:r w:rsidRPr="00407A55">
        <w:rPr>
          <w:rFonts w:ascii="Times New Roman" w:eastAsia="Times New Roman" w:hAnsi="Times New Roman" w:cs="Times New Roman"/>
          <w:color w:val="000000"/>
          <w:sz w:val="27"/>
          <w:szCs w:val="27"/>
          <w:lang w:eastAsia="ru-RU"/>
        </w:rPr>
        <w:t xml:space="preserve"> осіб отримали безкоштовне лікування (огляд), протезування на суму </w:t>
      </w:r>
      <w:r w:rsidRPr="00407A55">
        <w:rPr>
          <w:rFonts w:ascii="Times New Roman" w:eastAsia="Times New Roman" w:hAnsi="Times New Roman" w:cs="Times New Roman"/>
          <w:color w:val="000000"/>
          <w:sz w:val="27"/>
          <w:szCs w:val="27"/>
          <w:lang w:val="ru-RU" w:eastAsia="ru-RU"/>
        </w:rPr>
        <w:t>1398</w:t>
      </w:r>
      <w:r w:rsidRPr="00407A55">
        <w:rPr>
          <w:rFonts w:ascii="Times New Roman" w:eastAsia="Times New Roman" w:hAnsi="Times New Roman" w:cs="Times New Roman"/>
          <w:color w:val="000000"/>
          <w:sz w:val="27"/>
          <w:szCs w:val="27"/>
          <w:lang w:eastAsia="ru-RU"/>
        </w:rPr>
        <w:t>,</w:t>
      </w:r>
      <w:r w:rsidRPr="00407A55">
        <w:rPr>
          <w:rFonts w:ascii="Times New Roman" w:eastAsia="Times New Roman" w:hAnsi="Times New Roman" w:cs="Times New Roman"/>
          <w:color w:val="000000"/>
          <w:sz w:val="27"/>
          <w:szCs w:val="27"/>
          <w:lang w:val="ru-RU" w:eastAsia="ru-RU"/>
        </w:rPr>
        <w:t>4</w:t>
      </w:r>
      <w:r w:rsidRPr="00407A55">
        <w:rPr>
          <w:rFonts w:ascii="Times New Roman" w:eastAsia="Times New Roman" w:hAnsi="Times New Roman" w:cs="Times New Roman"/>
          <w:color w:val="000000"/>
          <w:sz w:val="27"/>
          <w:szCs w:val="27"/>
          <w:lang w:eastAsia="ru-RU"/>
        </w:rPr>
        <w:t xml:space="preserve"> тис. грн.;</w:t>
      </w:r>
    </w:p>
    <w:p w:rsidR="00407A55" w:rsidRPr="00407A55" w:rsidP="00407A55" w14:paraId="0618CC34" w14:textId="77777777">
      <w:pPr>
        <w:shd w:val="clear" w:color="auto" w:fill="FFFFFF"/>
        <w:tabs>
          <w:tab w:val="left" w:pos="567"/>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відповідно до «Комплексної Програми розвитку охорони здоров’я в Броварській міській територіальній громаді на 2022-2026 роки» 3537 особам на суму 3512,6 тис. грн.;</w:t>
      </w:r>
    </w:p>
    <w:p w:rsidR="00407A55" w:rsidRPr="00407A55" w:rsidP="00407A55" w14:paraId="005EA6E3" w14:textId="77777777">
      <w:pPr>
        <w:shd w:val="clear" w:color="auto" w:fill="FFFFFF"/>
        <w:tabs>
          <w:tab w:val="left" w:pos="567"/>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за рахунок коштів КНТ БМР «БСП» 9 військовослужбовців отримали безкоштовні послуги з імплантології на суму 148,9 тис. грн.</w:t>
      </w:r>
    </w:p>
    <w:p w:rsidR="00407A55" w:rsidRPr="00407A55" w:rsidP="00407A55" w14:paraId="4A34FB37"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Для забезпечення надання кваліфікованої стоматологічної допомоги закуплено сучасне стоматологічне обладнання.</w:t>
      </w:r>
    </w:p>
    <w:p w:rsidR="00407A55" w:rsidRPr="00407A55" w:rsidP="00407A55" w14:paraId="6D9656BB" w14:textId="77777777">
      <w:pPr>
        <w:shd w:val="clear" w:color="auto" w:fill="FFFFFF"/>
        <w:tabs>
          <w:tab w:val="left" w:pos="9214"/>
        </w:tabs>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407A55" w:rsidRPr="00407A55" w:rsidP="00407A55" w14:paraId="3B8A3EE4" w14:textId="77777777">
      <w:pPr>
        <w:spacing w:after="0" w:line="240" w:lineRule="auto"/>
        <w:ind w:firstLine="567"/>
        <w:contextualSpacing/>
        <w:jc w:val="both"/>
        <w:rPr>
          <w:rFonts w:ascii="Times New Roman" w:eastAsia="Times New Roman" w:hAnsi="Times New Roman" w:cs="Times New Roman"/>
          <w:b/>
          <w:bCs/>
          <w:sz w:val="27"/>
          <w:szCs w:val="27"/>
        </w:rPr>
      </w:pPr>
      <w:r w:rsidRPr="00407A55">
        <w:rPr>
          <w:rFonts w:ascii="Times New Roman" w:eastAsia="Calibri" w:hAnsi="Times New Roman" w:cs="Times New Roman"/>
          <w:sz w:val="27"/>
          <w:szCs w:val="27"/>
          <w:lang w:eastAsia="en-US"/>
        </w:rPr>
        <w:t>Також в громаді активно розвиваються приватні медичні заклади.</w:t>
      </w:r>
    </w:p>
    <w:p w:rsidR="00407A55" w:rsidRPr="00407A55" w:rsidP="00407A55" w14:paraId="419B8D84" w14:textId="77777777">
      <w:pPr>
        <w:spacing w:after="0" w:line="240" w:lineRule="auto"/>
        <w:ind w:firstLine="567"/>
        <w:jc w:val="both"/>
        <w:rPr>
          <w:rFonts w:ascii="Times New Roman" w:eastAsia="Times New Roman" w:hAnsi="Times New Roman" w:cs="Times New Roman"/>
          <w:sz w:val="27"/>
          <w:szCs w:val="27"/>
          <w:lang w:eastAsia="ru-RU"/>
        </w:rPr>
      </w:pPr>
    </w:p>
    <w:p w:rsidR="00407A55" w:rsidRPr="00407A55" w:rsidP="00407A55" w14:paraId="0790CEE2" w14:textId="77777777">
      <w:pPr>
        <w:shd w:val="clear" w:color="auto" w:fill="FFFFFF"/>
        <w:spacing w:after="0" w:line="240" w:lineRule="auto"/>
        <w:ind w:firstLine="567"/>
        <w:contextualSpacing/>
        <w:jc w:val="center"/>
        <w:rPr>
          <w:rFonts w:ascii="Times New Roman" w:eastAsia="Times New Roman" w:hAnsi="Times New Roman" w:cs="Times New Roman"/>
          <w:b/>
          <w:i/>
          <w:iCs/>
          <w:spacing w:val="4"/>
          <w:sz w:val="27"/>
          <w:szCs w:val="27"/>
          <w:lang w:eastAsia="ru-RU"/>
        </w:rPr>
      </w:pPr>
      <w:bookmarkStart w:id="6" w:name="_Hlk108764617"/>
      <w:r w:rsidRPr="00407A55">
        <w:rPr>
          <w:rFonts w:ascii="Times New Roman" w:eastAsia="Times New Roman" w:hAnsi="Times New Roman" w:cs="Times New Roman"/>
          <w:b/>
          <w:i/>
          <w:iCs/>
          <w:spacing w:val="4"/>
          <w:sz w:val="27"/>
          <w:szCs w:val="27"/>
          <w:lang w:eastAsia="ru-RU"/>
        </w:rPr>
        <w:t xml:space="preserve">Розвиток молодіжної інфраструктури, </w:t>
      </w:r>
    </w:p>
    <w:p w:rsidR="00407A55" w:rsidRPr="00407A55" w:rsidP="00407A55" w14:paraId="595D63FB" w14:textId="77777777">
      <w:pPr>
        <w:shd w:val="clear" w:color="auto" w:fill="FFFFFF"/>
        <w:spacing w:after="0" w:line="240" w:lineRule="auto"/>
        <w:ind w:firstLine="567"/>
        <w:contextualSpacing/>
        <w:jc w:val="center"/>
        <w:rPr>
          <w:rFonts w:ascii="Times New Roman" w:eastAsia="Times New Roman" w:hAnsi="Times New Roman" w:cs="Times New Roman"/>
          <w:b/>
          <w:i/>
          <w:iCs/>
          <w:spacing w:val="4"/>
          <w:sz w:val="27"/>
          <w:szCs w:val="27"/>
          <w:lang w:eastAsia="zh-CN"/>
        </w:rPr>
      </w:pPr>
      <w:r w:rsidRPr="00407A55">
        <w:rPr>
          <w:rFonts w:ascii="Times New Roman" w:eastAsia="Times New Roman" w:hAnsi="Times New Roman" w:cs="Times New Roman"/>
          <w:b/>
          <w:i/>
          <w:iCs/>
          <w:spacing w:val="4"/>
          <w:sz w:val="27"/>
          <w:szCs w:val="27"/>
          <w:lang w:eastAsia="zh-CN"/>
        </w:rPr>
        <w:t>національно-патріотичного виховання, підтримка дітей та сім</w:t>
      </w:r>
      <w:r w:rsidRPr="00407A55">
        <w:rPr>
          <w:rFonts w:ascii="Times New Roman" w:eastAsia="Times New Roman" w:hAnsi="Times New Roman" w:cs="Times New Roman"/>
          <w:b/>
          <w:i/>
          <w:iCs/>
          <w:spacing w:val="4"/>
          <w:sz w:val="27"/>
          <w:szCs w:val="27"/>
          <w:lang w:val="ru-RU" w:eastAsia="zh-CN"/>
        </w:rPr>
        <w:t>ꞌ</w:t>
      </w:r>
      <w:r w:rsidRPr="00407A55">
        <w:rPr>
          <w:rFonts w:ascii="Times New Roman" w:eastAsia="Times New Roman" w:hAnsi="Times New Roman" w:cs="Times New Roman"/>
          <w:b/>
          <w:i/>
          <w:iCs/>
          <w:spacing w:val="4"/>
          <w:sz w:val="27"/>
          <w:szCs w:val="27"/>
          <w:lang w:eastAsia="zh-CN"/>
        </w:rPr>
        <w:t>ї</w:t>
      </w:r>
    </w:p>
    <w:p w:rsidR="00407A55" w:rsidRPr="00407A55" w:rsidP="00407A55" w14:paraId="6ED170A4"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407A55">
        <w:rPr>
          <w:rFonts w:ascii="Times New Roman" w:eastAsia="Times New Roman" w:hAnsi="Times New Roman" w:cs="Times New Roman"/>
          <w:sz w:val="27"/>
          <w:szCs w:val="27"/>
          <w:shd w:val="clear" w:color="auto" w:fill="FFFFFF"/>
          <w:lang w:eastAsia="ru-RU"/>
        </w:rPr>
        <w:t xml:space="preserve">які потребують особливої соціальної уваги та підтримки, </w:t>
      </w:r>
      <w:r w:rsidRPr="00407A55">
        <w:rPr>
          <w:rFonts w:ascii="Times New Roman" w:eastAsia="Times New Roman" w:hAnsi="Times New Roman" w:cs="Times New Roman"/>
          <w:sz w:val="27"/>
          <w:szCs w:val="27"/>
          <w:lang w:eastAsia="ru-RU"/>
        </w:rPr>
        <w:t>дітей</w:t>
      </w:r>
      <w:r w:rsidRPr="00407A55">
        <w:rPr>
          <w:rFonts w:ascii="Times New Roman" w:eastAsia="Times New Roman" w:hAnsi="Times New Roman" w:cs="Times New Roman"/>
          <w:sz w:val="27"/>
          <w:szCs w:val="27"/>
          <w:shd w:val="clear" w:color="auto" w:fill="FFFFFF"/>
          <w:lang w:eastAsia="ru-RU"/>
        </w:rPr>
        <w:t>, які потребують особливих умов для оздоровлення</w:t>
      </w:r>
      <w:r w:rsidRPr="00407A55">
        <w:rPr>
          <w:rFonts w:ascii="Times New Roman" w:eastAsia="Times New Roman" w:hAnsi="Times New Roman" w:cs="Times New Roman"/>
          <w:sz w:val="27"/>
          <w:szCs w:val="27"/>
          <w:lang w:eastAsia="ru-RU"/>
        </w:rPr>
        <w:t xml:space="preserve"> у І півріччі 2026 року реалізувались програми: «Міська програма відпочинку та оздоровлення дітей на 2022-2026 роки» та «Міська комплексна Програма підтримки сім’ї та захисту прав дітей “Щаслива родина – успішна країна” на 2023-2027 роки».</w:t>
      </w:r>
    </w:p>
    <w:p w:rsidR="00407A55" w:rsidRPr="00407A55" w:rsidP="00407A55" w14:paraId="73DB4953"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У звітному періоді до дитячих оздоровчих закладів було придбано 52 путівки на загальну суму 1042,9 тис. грн. </w:t>
      </w:r>
    </w:p>
    <w:p w:rsidR="00407A55" w:rsidRPr="00407A55" w:rsidP="00407A55" w14:paraId="3E98D7D5"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Відповідно до «Міської комплексної Програми підтримки сім’ї та захисту прав дітей “Щаслива родина – успішна країна” на 2023-2027 роки» у звітному періоді здійснено виплату матеріальної допомоги студентам денної форми навчання із числа дітей-сиріт та дітей, позбавлених батьківського піклування на загальну суму 149,6 тис. грн.</w:t>
      </w:r>
    </w:p>
    <w:p w:rsidR="00407A55" w:rsidRPr="00407A55" w:rsidP="00407A55" w14:paraId="089CE8C3"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sz w:val="27"/>
          <w:szCs w:val="27"/>
          <w:lang w:eastAsia="ru-RU"/>
        </w:rPr>
        <w:t>На первинному обліку з числа дітей-сиріт, дітей, позбавлених батьківського піклування, та дітей, залишених без батьківського піклування станом 30.06.2026 перебувало 190 дітей.</w:t>
      </w:r>
    </w:p>
    <w:p w:rsidR="00407A55" w:rsidRPr="00407A55" w:rsidP="00407A55" w14:paraId="069A4747"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На території громади функціонує 11 дитячих будинків сімейного типу, в яких виховується 61 дитина та 8 осіб з числа дітей-сиріт та дітей, позбавлених батьківського піклування. Також, функціонує 5 прийомних сімей, в яких виховується 8 дітей та 4 особи з числа дітей-сиріт та дітей, позбавлених батьківського піклування.</w:t>
      </w:r>
    </w:p>
    <w:p w:rsidR="00407A55" w:rsidRPr="00407A55" w:rsidP="00407A55" w14:paraId="67AD1860"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Крім того, на обліку станом на 01.07.2026 перебувало 844 сімей, які перебувають у складних життєвих обставинах та виховується 1277 дітей.</w:t>
      </w:r>
    </w:p>
    <w:p w:rsidR="00407A55" w:rsidRPr="00407A55" w:rsidP="00407A55" w14:paraId="768D13CE"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407A55" w:rsidRPr="00407A55" w:rsidP="00407A55" w14:paraId="1D3DCC7C"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color w:val="000000"/>
          <w:sz w:val="27"/>
          <w:szCs w:val="27"/>
          <w:lang w:eastAsia="ru-RU"/>
        </w:rPr>
        <w:tab/>
      </w:r>
      <w:r w:rsidRPr="00407A55">
        <w:rPr>
          <w:rFonts w:ascii="Times New Roman" w:eastAsia="Times New Roman" w:hAnsi="Times New Roman" w:cs="Times New Roman"/>
          <w:sz w:val="27"/>
          <w:szCs w:val="27"/>
          <w:lang w:eastAsia="ru-RU"/>
        </w:rPr>
        <w:t xml:space="preserve">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30 червня 2026 року на квартирному обліку виконавчого комітету Броварської міської ради Броварського району Київської області перебуває 133 дітей-сиріт, та дітей, позбавлених батьківського піклування, та осіб з їх числа, із них: </w:t>
      </w:r>
    </w:p>
    <w:p w:rsidR="00407A55" w:rsidRPr="00407A55" w:rsidP="007C499E" w14:paraId="66DA7441" w14:textId="77777777">
      <w:pPr>
        <w:numPr>
          <w:ilvl w:val="0"/>
          <w:numId w:val="4"/>
        </w:numPr>
        <w:spacing w:after="0" w:line="240" w:lineRule="auto"/>
        <w:ind w:left="0" w:firstLine="284"/>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35 дітей - сиріт та дітей, позбавлених батьківського піклування, в тому числі 10 - внутрішньо переміщених осіб; </w:t>
      </w:r>
    </w:p>
    <w:p w:rsidR="00407A55" w:rsidRPr="00407A55" w:rsidP="007C499E" w14:paraId="65AADF31" w14:textId="77777777">
      <w:pPr>
        <w:numPr>
          <w:ilvl w:val="0"/>
          <w:numId w:val="4"/>
        </w:numPr>
        <w:spacing w:after="0" w:line="240" w:lineRule="auto"/>
        <w:ind w:left="0" w:firstLine="284"/>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69 осіб віком від 18 до 23 років, в тому числі 23 – внутрішньо переміщених осіб; </w:t>
      </w:r>
    </w:p>
    <w:p w:rsidR="00407A55" w:rsidRPr="00407A55" w:rsidP="007C499E" w14:paraId="6741451F" w14:textId="77777777">
      <w:pPr>
        <w:numPr>
          <w:ilvl w:val="0"/>
          <w:numId w:val="4"/>
        </w:numPr>
        <w:spacing w:after="0" w:line="240" w:lineRule="auto"/>
        <w:ind w:left="0" w:firstLine="284"/>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 24 особи віком від 23 до 35 років; в тому числі 1 – внутрішньо переміщена особа; </w:t>
      </w:r>
    </w:p>
    <w:p w:rsidR="00407A55" w:rsidRPr="00407A55" w:rsidP="007C499E" w14:paraId="4E05ACCC" w14:textId="77777777">
      <w:pPr>
        <w:numPr>
          <w:ilvl w:val="0"/>
          <w:numId w:val="4"/>
        </w:numPr>
        <w:spacing w:after="0" w:line="240" w:lineRule="auto"/>
        <w:ind w:left="0" w:firstLine="284"/>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5 осіб старше 35 років.</w:t>
      </w:r>
    </w:p>
    <w:p w:rsidR="00407A55" w:rsidRPr="00407A55" w:rsidP="00407A55" w14:paraId="4AC2F596"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І півріччі 2026 року одна соба з числа дітей-сиріт отримала двокімнатну квартиру за кошти місцевого бюджету.</w:t>
      </w:r>
    </w:p>
    <w:p w:rsidR="00407A55" w:rsidRPr="00407A55" w:rsidP="00407A55" w14:paraId="34544F6A" w14:textId="77777777">
      <w:pPr>
        <w:autoSpaceDE w:val="0"/>
        <w:autoSpaceDN w:val="0"/>
        <w:adjustRightInd w:val="0"/>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Особлива увага педагогічної громадськості закладів приділяється питанням національно-патріотичного виховання учнів, спрямованим на формування національної ідентичності, громадянської свідомості, поваги до державних символів України, її історії та культурної спадщини. Робота у звітний період була організована відповідно до Концепції національно-патріотичного виховання дітей та молоді та реалізовувалася через поєднання традиційних і сучасних форм виховної діяльності, активну участь учнівського самоврядування та залучення учнів до волонтерських ініціатив. Було проведено заходи до Дня вшанування захисників Донецького аеропорту, відзначення Дня Соборності України, вшанування пам’яті жертв Голокосту та Героїв Крут, Дня єднання, вшанування Героїв Небесної Сотні, міжнародного Дня рідної мови, річниці повномасштабного вторгнення росії в Україну, відзначення Дня добровольця, Дня Державного Гімну України. У межах цих дат організовувалися уроки мужності, перегляди документальних матеріалів, обговорення історичних подій, години пам’яті, реквієми, тематичні заходи, виставки та хвилини мовчання, що сприяло усвідомленню учнями значення боротьби за незалежність України, сприяли формуванню в учнів почуття гідності, патріотизму й поваги до цінностей та подвигу українців, які віддали життя за свободу держави. Важливе місце у виховній роботі посіли Шевченківські дні. Традиційно в березні учні нашої громади беруть участь в патріотичній грі «</w:t>
      </w:r>
      <w:r w:rsidRPr="00407A55">
        <w:rPr>
          <w:rFonts w:ascii="Times New Roman" w:eastAsia="Times New Roman" w:hAnsi="Times New Roman" w:cs="Times New Roman"/>
          <w:sz w:val="27"/>
          <w:szCs w:val="27"/>
          <w:lang w:val="ru-RU" w:eastAsia="ru-RU"/>
        </w:rPr>
        <w:t>UKR</w:t>
      </w:r>
      <w:r w:rsidRPr="00407A55">
        <w:rPr>
          <w:rFonts w:ascii="Times New Roman" w:eastAsia="Times New Roman" w:hAnsi="Times New Roman" w:cs="Times New Roman"/>
          <w:sz w:val="27"/>
          <w:szCs w:val="27"/>
          <w:lang w:eastAsia="ru-RU"/>
        </w:rPr>
        <w:t>-</w:t>
      </w:r>
      <w:r w:rsidRPr="00407A55">
        <w:rPr>
          <w:rFonts w:ascii="Times New Roman" w:eastAsia="Times New Roman" w:hAnsi="Times New Roman" w:cs="Times New Roman"/>
          <w:sz w:val="27"/>
          <w:szCs w:val="27"/>
          <w:lang w:val="ru-RU" w:eastAsia="ru-RU"/>
        </w:rPr>
        <w:t>LAND</w:t>
      </w:r>
      <w:r w:rsidRPr="00407A55">
        <w:rPr>
          <w:rFonts w:ascii="Times New Roman" w:eastAsia="Times New Roman" w:hAnsi="Times New Roman" w:cs="Times New Roman"/>
          <w:sz w:val="27"/>
          <w:szCs w:val="27"/>
          <w:lang w:eastAsia="ru-RU"/>
        </w:rPr>
        <w:t xml:space="preserve">», яка проходить в ліцеї «АРТ» Деснянського району міста Києва. Цьогоріч гра була присвячена творчості видатної української поетеси – Лесі Українки. Учні закладів освіти громади брали участь у благодійних акціях, ярмарках, зборі гуманітарної допомоги для військовослужбовців Збройних Сил України, що сприяло вихованню відповідальності, небайдужості та соціальної активності. </w:t>
      </w:r>
      <w:r w:rsidRPr="00407A55">
        <w:rPr>
          <w:rFonts w:ascii="Times New Roman" w:eastAsia="Times New Roman" w:hAnsi="Times New Roman" w:cs="Times New Roman"/>
          <w:sz w:val="27"/>
          <w:szCs w:val="27"/>
          <w:lang w:val="ru-RU" w:eastAsia="ru-RU"/>
        </w:rPr>
        <w:t>Активною є діяльність Ради дітей та учнівської молоді громади; у березні діти пройшли стажування в органах місцевого самоврядування.</w:t>
      </w:r>
    </w:p>
    <w:p w:rsidR="00407A55" w:rsidRPr="00407A55" w:rsidP="00407A55" w14:paraId="217759C5" w14:textId="77777777">
      <w:pPr>
        <w:autoSpaceDE w:val="0"/>
        <w:autoSpaceDN w:val="0"/>
        <w:adjustRightInd w:val="0"/>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Важливу роль у формуванні та вихованні молодого покоління відіграє Центр національно-патріотичного виховання, яким організована низка заходів, таких як: діалогові платформи «Професія – поліцейський», «Професія – військовий», «Професія – військовий журналіст», Стрілецький турнір-2026 для учнів ЗЗСО. </w:t>
      </w:r>
      <w:r w:rsidRPr="00407A55">
        <w:rPr>
          <w:rFonts w:ascii="Times New Roman" w:eastAsia="Times New Roman" w:hAnsi="Times New Roman" w:cs="Times New Roman"/>
          <w:sz w:val="27"/>
          <w:szCs w:val="27"/>
          <w:lang w:val="ru-RU" w:eastAsia="ru-RU"/>
        </w:rPr>
        <w:t>Також в Центрі активно проводяться майстер-класи з тактичної медицини, стрільби та топографії, що сприяє підготовці до військово патріотичної гри «Сокіл» («Джура»).</w:t>
      </w:r>
    </w:p>
    <w:p w:rsidR="00407A55" w:rsidRPr="00407A55" w:rsidP="00407A55" w14:paraId="7ABBA03F"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На базі Броварського ліцею № 10 у 2025/2026 навчальному році було створено новий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10-11 класів 13-ти закладів загальної середньої освіти громади.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Викладання предмета «Захист України» охоплює широкий спектр тем, включаючи основи цивільного захисту, права та обов'язки громадян, а також навички безпеки в надзвичайних ситуаціях.</w:t>
      </w:r>
    </w:p>
    <w:p w:rsidR="00407A55" w:rsidRPr="00407A55" w:rsidP="00407A55" w14:paraId="0AFF8E3F" w14:textId="77777777">
      <w:pPr>
        <w:shd w:val="clear" w:color="auto" w:fill="FFFFFF"/>
        <w:spacing w:after="0" w:line="240" w:lineRule="auto"/>
        <w:ind w:firstLine="567"/>
        <w:contextualSpacing/>
        <w:jc w:val="center"/>
        <w:rPr>
          <w:rFonts w:ascii="Times New Roman" w:eastAsia="Times New Roman" w:hAnsi="Times New Roman" w:cs="Times New Roman"/>
          <w:b/>
          <w:i/>
          <w:iCs/>
          <w:spacing w:val="4"/>
          <w:sz w:val="27"/>
          <w:szCs w:val="27"/>
          <w:lang w:val="ru-RU" w:eastAsia="zh-CN"/>
        </w:rPr>
      </w:pPr>
    </w:p>
    <w:bookmarkEnd w:id="6"/>
    <w:p w:rsidR="00407A55" w:rsidRPr="00407A55" w:rsidP="00407A55" w14:paraId="0900B605" w14:textId="77777777">
      <w:pPr>
        <w:spacing w:after="0" w:line="240" w:lineRule="auto"/>
        <w:ind w:right="-1" w:firstLine="567"/>
        <w:jc w:val="center"/>
        <w:rPr>
          <w:rFonts w:ascii="Times New Roman" w:eastAsia="Calibri" w:hAnsi="Times New Roman" w:cs="Times New Roman"/>
          <w:b/>
          <w:bCs/>
          <w:i/>
          <w:iCs/>
          <w:sz w:val="27"/>
          <w:szCs w:val="27"/>
          <w:lang w:eastAsia="zh-CN"/>
        </w:rPr>
      </w:pPr>
      <w:r w:rsidRPr="00407A55">
        <w:rPr>
          <w:rFonts w:ascii="Times New Roman" w:eastAsia="Calibri" w:hAnsi="Times New Roman" w:cs="Times New Roman"/>
          <w:b/>
          <w:bCs/>
          <w:i/>
          <w:iCs/>
          <w:sz w:val="27"/>
          <w:szCs w:val="27"/>
          <w:lang w:eastAsia="zh-CN"/>
        </w:rPr>
        <w:t xml:space="preserve">Розвиток культурного та духовного </w:t>
      </w:r>
    </w:p>
    <w:p w:rsidR="00407A55" w:rsidRPr="00407A55" w:rsidP="00407A55" w14:paraId="7B539AF4" w14:textId="77777777">
      <w:pPr>
        <w:spacing w:after="0" w:line="240" w:lineRule="auto"/>
        <w:ind w:right="-1" w:firstLine="567"/>
        <w:jc w:val="center"/>
        <w:rPr>
          <w:rFonts w:ascii="Times New Roman" w:eastAsia="Calibri" w:hAnsi="Times New Roman" w:cs="Times New Roman"/>
          <w:b/>
          <w:bCs/>
          <w:i/>
          <w:iCs/>
          <w:sz w:val="27"/>
          <w:szCs w:val="27"/>
          <w:lang w:eastAsia="zh-CN"/>
        </w:rPr>
      </w:pPr>
      <w:r w:rsidRPr="00407A55">
        <w:rPr>
          <w:rFonts w:ascii="Times New Roman" w:eastAsia="Calibri" w:hAnsi="Times New Roman" w:cs="Times New Roman"/>
          <w:b/>
          <w:bCs/>
          <w:i/>
          <w:iCs/>
          <w:sz w:val="27"/>
          <w:szCs w:val="27"/>
          <w:lang w:eastAsia="zh-CN"/>
        </w:rPr>
        <w:t>середовища, туристичного потенціалу</w:t>
      </w:r>
    </w:p>
    <w:p w:rsidR="00407A55" w:rsidRPr="00407A55" w:rsidP="00407A55" w14:paraId="516C8B3C" w14:textId="77777777">
      <w:pPr>
        <w:tabs>
          <w:tab w:val="left" w:pos="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rsidR="00407A55" w:rsidRPr="00407A55" w:rsidP="00407A55" w14:paraId="4C265BBB" w14:textId="77777777">
      <w:pPr>
        <w:spacing w:after="0" w:line="240" w:lineRule="auto"/>
        <w:ind w:firstLine="567"/>
        <w:jc w:val="center"/>
        <w:rPr>
          <w:rFonts w:ascii="Times New Roman" w:eastAsia="Times New Roman" w:hAnsi="Times New Roman" w:cs="Times New Roman"/>
          <w:b/>
          <w:bCs/>
          <w:sz w:val="27"/>
          <w:szCs w:val="27"/>
          <w:lang w:eastAsia="ru-RU"/>
        </w:rPr>
      </w:pPr>
      <w:bookmarkStart w:id="7" w:name="_Hlk141884994"/>
      <w:r w:rsidRPr="00407A55">
        <w:rPr>
          <w:rFonts w:ascii="Times New Roman" w:eastAsia="Times New Roman" w:hAnsi="Times New Roman" w:cs="Times New Roman"/>
          <w:b/>
          <w:bCs/>
          <w:sz w:val="27"/>
          <w:szCs w:val="27"/>
          <w:lang w:eastAsia="ru-RU"/>
        </w:rPr>
        <w:t>Комунальні заклади культури</w:t>
      </w:r>
    </w:p>
    <w:p w:rsidR="00407A55" w:rsidRPr="00407A55" w:rsidP="00407A55" w14:paraId="7699F417" w14:textId="013B9BBE">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720715" cy="2921635"/>
            <wp:effectExtent l="0" t="0" r="13335" b="50165"/>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bookmarkEnd w:id="7"/>
    <w:p w:rsidR="00407A55" w:rsidRPr="00407A55" w:rsidP="00407A55" w14:paraId="0B360A6C" w14:textId="77777777">
      <w:pPr>
        <w:tabs>
          <w:tab w:val="left" w:pos="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проводяться різноманітні заходи.</w:t>
      </w:r>
    </w:p>
    <w:p w:rsidR="00407A55" w:rsidRPr="007C499E" w:rsidP="00407A55" w14:paraId="11C266AB"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p>
    <w:p w:rsidR="00407A55" w:rsidRPr="007C499E" w:rsidP="00407A55" w14:paraId="3C545998"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p>
    <w:p w:rsidR="00407A55" w:rsidRPr="007C499E" w:rsidP="00407A55" w14:paraId="4CFAA1EE"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p>
    <w:p w:rsidR="00407A55" w:rsidRPr="007C499E" w:rsidP="00407A55" w14:paraId="4823B693"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p>
    <w:p w:rsidR="00407A55" w:rsidRPr="007C499E" w:rsidP="00407A55" w14:paraId="711C6D58"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p>
    <w:p w:rsidR="00407A55" w:rsidRPr="00407A55" w:rsidP="00407A55" w14:paraId="333A92A6" w14:textId="1D200995">
      <w:pPr>
        <w:tabs>
          <w:tab w:val="left" w:pos="0"/>
        </w:tabs>
        <w:spacing w:after="0" w:line="240" w:lineRule="auto"/>
        <w:ind w:firstLine="567"/>
        <w:jc w:val="center"/>
        <w:rPr>
          <w:rFonts w:ascii="Times New Roman" w:eastAsia="Times New Roman" w:hAnsi="Times New Roman" w:cs="Times New Roman"/>
          <w:b/>
          <w:bCs/>
          <w:sz w:val="27"/>
          <w:szCs w:val="27"/>
          <w:lang w:val="ru-RU" w:eastAsia="ru-RU"/>
        </w:rPr>
      </w:pPr>
      <w:r w:rsidRPr="00407A55">
        <w:rPr>
          <w:rFonts w:ascii="Times New Roman" w:eastAsia="Times New Roman" w:hAnsi="Times New Roman" w:cs="Times New Roman"/>
          <w:b/>
          <w:bCs/>
          <w:sz w:val="27"/>
          <w:szCs w:val="27"/>
          <w:lang w:val="ru-RU" w:eastAsia="ru-RU"/>
        </w:rPr>
        <w:t xml:space="preserve">Кількість проведених культурно-мистецьких </w:t>
      </w:r>
    </w:p>
    <w:p w:rsidR="00407A55" w:rsidRPr="00407A55" w:rsidP="00407A55" w14:paraId="6918B3BB" w14:textId="77777777">
      <w:pPr>
        <w:tabs>
          <w:tab w:val="left" w:pos="0"/>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val="ru-RU" w:eastAsia="ru-RU"/>
        </w:rPr>
        <w:t>та просвітницьких заходів у 202</w:t>
      </w:r>
      <w:r w:rsidRPr="00407A55">
        <w:rPr>
          <w:rFonts w:ascii="Times New Roman" w:eastAsia="Times New Roman" w:hAnsi="Times New Roman" w:cs="Times New Roman"/>
          <w:b/>
          <w:bCs/>
          <w:sz w:val="27"/>
          <w:szCs w:val="27"/>
          <w:lang w:eastAsia="ru-RU"/>
        </w:rPr>
        <w:t>5</w:t>
      </w:r>
      <w:r w:rsidRPr="00407A55">
        <w:rPr>
          <w:rFonts w:ascii="Times New Roman" w:eastAsia="Times New Roman" w:hAnsi="Times New Roman" w:cs="Times New Roman"/>
          <w:b/>
          <w:bCs/>
          <w:sz w:val="27"/>
          <w:szCs w:val="27"/>
          <w:lang w:val="ru-RU" w:eastAsia="ru-RU"/>
        </w:rPr>
        <w:t>-202</w:t>
      </w:r>
      <w:r w:rsidRPr="00407A55">
        <w:rPr>
          <w:rFonts w:ascii="Times New Roman" w:eastAsia="Times New Roman" w:hAnsi="Times New Roman" w:cs="Times New Roman"/>
          <w:b/>
          <w:bCs/>
          <w:sz w:val="27"/>
          <w:szCs w:val="27"/>
          <w:lang w:eastAsia="ru-RU"/>
        </w:rPr>
        <w:t>6</w:t>
      </w:r>
      <w:r w:rsidRPr="00407A55">
        <w:rPr>
          <w:rFonts w:ascii="Times New Roman" w:eastAsia="Times New Roman" w:hAnsi="Times New Roman" w:cs="Times New Roman"/>
          <w:b/>
          <w:bCs/>
          <w:sz w:val="27"/>
          <w:szCs w:val="27"/>
          <w:lang w:val="ru-RU" w:eastAsia="ru-RU"/>
        </w:rPr>
        <w:t xml:space="preserve"> роках</w:t>
      </w:r>
    </w:p>
    <w:p w:rsidR="00407A55" w:rsidRPr="00407A55" w:rsidP="00407A55" w14:paraId="5D7448DE" w14:textId="6923178B">
      <w:pPr>
        <w:tabs>
          <w:tab w:val="left" w:pos="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680710" cy="2740025"/>
            <wp:effectExtent l="0" t="0" r="15240" b="317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07A55" w:rsidRPr="00407A55" w:rsidP="00407A55" w14:paraId="511C5C11" w14:textId="77777777">
      <w:pPr>
        <w:tabs>
          <w:tab w:val="left" w:pos="0"/>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У закладах культури створюються необхідні умови по відродженню і розвитку всіх жанрів самодіяльної художньої творчості. У закладах діють 25 творчих колективів із них 13 мають звання «народний» та «зразковий». Постійно проводиться співпраця з видатними художниками громади, виставляючи їх творчі доробки, колекції художніх робіт у закладах культури.</w:t>
      </w:r>
    </w:p>
    <w:p w:rsidR="00407A55" w:rsidRPr="00407A55" w:rsidP="00407A55" w14:paraId="4804D5D6"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Під час військового стану туристична галузь стала вразливою, здійснювався переважно незначний внутрішній туризм. </w:t>
      </w:r>
    </w:p>
    <w:p w:rsidR="00407A55" w:rsidRPr="00407A55" w:rsidP="00407A55" w14:paraId="7C8C4E87"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Продовжується робота по реалізації проєкту «Єдині» в межах підписаного Меморандуму про співпрацю між ГО «Українська гуманітарна платформа» та Броварською міською територіальною громадою.</w:t>
      </w:r>
    </w:p>
    <w:p w:rsidR="00407A55" w:rsidRPr="00407A55" w:rsidP="00407A55" w14:paraId="2DAD7E71"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Також</w:t>
      </w:r>
      <w:r w:rsidRPr="00407A55">
        <w:rPr>
          <w:rFonts w:ascii="Times New Roman" w:eastAsia="Times New Roman" w:hAnsi="Times New Roman" w:cs="Times New Roman"/>
          <w:sz w:val="27"/>
          <w:szCs w:val="27"/>
          <w:lang w:val="ru-RU" w:eastAsia="ru-RU"/>
        </w:rPr>
        <w:t xml:space="preserve"> реаліз</w:t>
      </w:r>
      <w:r w:rsidRPr="00407A55">
        <w:rPr>
          <w:rFonts w:ascii="Times New Roman" w:eastAsia="Times New Roman" w:hAnsi="Times New Roman" w:cs="Times New Roman"/>
          <w:sz w:val="27"/>
          <w:szCs w:val="27"/>
          <w:lang w:eastAsia="ru-RU"/>
        </w:rPr>
        <w:t>овується</w:t>
      </w:r>
      <w:r w:rsidRPr="00407A55">
        <w:rPr>
          <w:rFonts w:ascii="Times New Roman" w:eastAsia="Times New Roman" w:hAnsi="Times New Roman" w:cs="Times New Roman"/>
          <w:sz w:val="27"/>
          <w:szCs w:val="27"/>
          <w:lang w:val="ru-RU" w:eastAsia="ru-RU"/>
        </w:rPr>
        <w:t xml:space="preserve"> проєкт «Ти як?» в рамках Всеукраїнської програми ментального здоровʼя: відкриття Броварського міського Ветернаського центр «Ветеран </w:t>
      </w:r>
      <w:r w:rsidRPr="00407A55">
        <w:rPr>
          <w:rFonts w:ascii="Times New Roman" w:eastAsia="Times New Roman" w:hAnsi="Times New Roman" w:cs="Times New Roman"/>
          <w:sz w:val="27"/>
          <w:szCs w:val="27"/>
          <w:lang w:val="en-US" w:eastAsia="ru-RU"/>
        </w:rPr>
        <w:t>PRO</w:t>
      </w:r>
      <w:r w:rsidRPr="00407A55">
        <w:rPr>
          <w:rFonts w:ascii="Times New Roman" w:eastAsia="Times New Roman" w:hAnsi="Times New Roman" w:cs="Times New Roman"/>
          <w:sz w:val="27"/>
          <w:szCs w:val="27"/>
          <w:lang w:val="ru-RU" w:eastAsia="ru-RU"/>
        </w:rPr>
        <w:t>» - це про ветеранів, для ветеранів, з ветеранами. Центр було</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створено для допомоги як мобілізованим, так і демобілізовим особам, військово службовцям, членам сім'ї загиблого Захисника чи Захисниці, членам родин</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полонених військових ЗСУ, особам, що знаходяться в пошуку безвісти зниклого Захисника чи Захисниці.</w:t>
      </w:r>
    </w:p>
    <w:p w:rsidR="00407A55" w:rsidRPr="00407A55" w:rsidP="00407A55" w14:paraId="73D87004"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громаді працює 5 бібліотек. Бібліотечний фонд складає 113491 прим. книг, з них у сільських бібліотеках – 17656 примірників книг, у звітному періоді бібліотеки відвідали 19721 особа.  </w:t>
      </w:r>
    </w:p>
    <w:p w:rsidR="00407A55" w:rsidRPr="00407A55" w:rsidP="00407A55" w14:paraId="514E47C8" w14:textId="77777777">
      <w:pPr>
        <w:widowControl w:val="0"/>
        <w:snapToGrid w:val="0"/>
        <w:spacing w:after="0" w:line="240" w:lineRule="auto"/>
        <w:ind w:firstLine="567"/>
        <w:jc w:val="both"/>
        <w:rPr>
          <w:rFonts w:ascii="Times New Roman" w:eastAsia="Times New Roman" w:hAnsi="Times New Roman" w:cs="Times New Roman"/>
          <w:bCs/>
          <w:noProof/>
          <w:snapToGrid w:val="0"/>
          <w:sz w:val="27"/>
          <w:szCs w:val="27"/>
          <w:lang w:eastAsia="ru-RU"/>
        </w:rPr>
      </w:pPr>
      <w:r w:rsidRPr="00407A55">
        <w:rPr>
          <w:rFonts w:ascii="Times New Roman" w:eastAsia="Times New Roman" w:hAnsi="Times New Roman" w:cs="Times New Roman"/>
          <w:bCs/>
          <w:snapToGrid w:val="0"/>
          <w:sz w:val="27"/>
          <w:szCs w:val="27"/>
          <w:lang w:eastAsia="ru-RU"/>
        </w:rPr>
        <w:t xml:space="preserve">На території громади розташовано 38 історичних </w:t>
      </w:r>
      <w:r w:rsidRPr="00407A55">
        <w:rPr>
          <w:rFonts w:ascii="Times New Roman" w:eastAsia="Times New Roman" w:hAnsi="Times New Roman" w:cs="Times New Roman"/>
          <w:bCs/>
          <w:noProof/>
          <w:snapToGrid w:val="0"/>
          <w:sz w:val="27"/>
          <w:szCs w:val="27"/>
          <w:lang w:eastAsia="ru-RU"/>
        </w:rPr>
        <w:t>пам’яток,</w:t>
      </w:r>
      <w:r w:rsidRPr="00407A55">
        <w:rPr>
          <w:rFonts w:ascii="Times New Roman" w:eastAsia="Times New Roman" w:hAnsi="Times New Roman" w:cs="Times New Roman"/>
          <w:bCs/>
          <w:snapToGrid w:val="0"/>
          <w:sz w:val="27"/>
          <w:szCs w:val="27"/>
          <w:lang w:eastAsia="ru-RU"/>
        </w:rPr>
        <w:t xml:space="preserve"> 1 архітектурна </w:t>
      </w:r>
      <w:r w:rsidRPr="00407A55">
        <w:rPr>
          <w:rFonts w:ascii="Times New Roman" w:eastAsia="Times New Roman" w:hAnsi="Times New Roman" w:cs="Times New Roman"/>
          <w:bCs/>
          <w:noProof/>
          <w:snapToGrid w:val="0"/>
          <w:sz w:val="27"/>
          <w:szCs w:val="27"/>
          <w:lang w:eastAsia="ru-RU"/>
        </w:rPr>
        <w:t xml:space="preserve">пам’ятка та </w:t>
      </w:r>
      <w:r w:rsidRPr="00407A55">
        <w:rPr>
          <w:rFonts w:ascii="Times New Roman" w:eastAsia="Times New Roman" w:hAnsi="Times New Roman" w:cs="Times New Roman"/>
          <w:bCs/>
          <w:snapToGrid w:val="0"/>
          <w:sz w:val="27"/>
          <w:szCs w:val="27"/>
          <w:lang w:eastAsia="ru-RU"/>
        </w:rPr>
        <w:t xml:space="preserve">22 </w:t>
      </w:r>
      <w:r w:rsidRPr="00407A55">
        <w:rPr>
          <w:rFonts w:ascii="Times New Roman" w:eastAsia="Times New Roman" w:hAnsi="Times New Roman" w:cs="Times New Roman"/>
          <w:bCs/>
          <w:noProof/>
          <w:snapToGrid w:val="0"/>
          <w:sz w:val="27"/>
          <w:szCs w:val="27"/>
          <w:lang w:eastAsia="ru-RU"/>
        </w:rPr>
        <w:t>пам’ятні та меморіальні дошки. Д</w:t>
      </w:r>
      <w:r w:rsidRPr="00407A55">
        <w:rPr>
          <w:rFonts w:ascii="Times New Roman" w:eastAsia="Times New Roman" w:hAnsi="Times New Roman" w:cs="Times New Roman"/>
          <w:noProof/>
          <w:snapToGrid w:val="0"/>
          <w:sz w:val="27"/>
          <w:szCs w:val="27"/>
          <w:lang w:eastAsia="ru-RU"/>
        </w:rPr>
        <w:t>о Державного реєстру нерухомих памʼяток України включені п</w:t>
      </w:r>
      <w:r w:rsidRPr="00407A55">
        <w:rPr>
          <w:rFonts w:ascii="Times New Roman" w:eastAsia="Times New Roman" w:hAnsi="Times New Roman" w:cs="Times New Roman"/>
          <w:bCs/>
          <w:snapToGrid w:val="0"/>
          <w:sz w:val="27"/>
          <w:szCs w:val="27"/>
          <w:lang w:eastAsia="ru-RU"/>
        </w:rPr>
        <w:t>арк імені Т.Г. Шевченка,  пам’ятник Тарасу Григоровичу Шевченку; місце поховання жертв Другої світової війни.</w:t>
      </w:r>
    </w:p>
    <w:p w:rsidR="00407A55" w:rsidRPr="00407A55" w:rsidP="00407A55" w14:paraId="4324A716"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Громада має туристично-привабливі об’єкти: крафтове виробництво «Медовий спас»</w:t>
      </w:r>
      <w:r w:rsidRPr="00407A55">
        <w:rPr>
          <w:rFonts w:ascii="Times New Roman" w:eastAsia="Times New Roman" w:hAnsi="Times New Roman" w:cs="Times New Roman"/>
          <w:sz w:val="27"/>
          <w:szCs w:val="27"/>
        </w:rPr>
        <w:t xml:space="preserve"> (учасник регіональної «Дороги вина та смаку Київщини» за підтримки проєкту ЄС «Підтримика розвитку системи географічних значень в Україні»), інклюзивне кафе </w:t>
      </w:r>
      <w:r w:rsidRPr="00407A55">
        <w:rPr>
          <w:rFonts w:ascii="Times New Roman" w:eastAsia="Times New Roman" w:hAnsi="Times New Roman" w:cs="Times New Roman"/>
          <w:sz w:val="27"/>
          <w:szCs w:val="27"/>
          <w:bdr w:val="none" w:sz="0" w:space="0" w:color="auto" w:frame="1"/>
          <w:lang w:eastAsia="ru-RU"/>
        </w:rPr>
        <w:t>«21.3»</w:t>
      </w:r>
      <w:r w:rsidRPr="00407A55">
        <w:rPr>
          <w:rFonts w:ascii="Times New Roman" w:eastAsia="Times New Roman" w:hAnsi="Times New Roman" w:cs="Times New Roman"/>
          <w:sz w:val="27"/>
          <w:szCs w:val="27"/>
        </w:rPr>
        <w:t>, Культурно-інноваційна платформа «ТеПлиця» та культурно-просвітницький центр «СвітЛиця»  (новий формат відпочинку та навчання), п</w:t>
      </w:r>
      <w:r w:rsidRPr="00407A55">
        <w:rPr>
          <w:rFonts w:ascii="Times New Roman" w:eastAsia="Times New Roman" w:hAnsi="Times New Roman" w:cs="Times New Roman"/>
          <w:sz w:val="27"/>
          <w:szCs w:val="27"/>
          <w:lang w:eastAsia="ru-RU"/>
        </w:rPr>
        <w:t xml:space="preserve">арк ім. Т.Г. Шевченка, міський краєзнавчий музей, Майдан Свободи, </w:t>
      </w:r>
      <w:r w:rsidRPr="00407A55">
        <w:rPr>
          <w:rFonts w:ascii="Times New Roman" w:eastAsia="Times New Roman" w:hAnsi="Times New Roman" w:cs="Times New Roman"/>
          <w:sz w:val="27"/>
          <w:szCs w:val="27"/>
          <w:lang w:eastAsia="ru-RU"/>
        </w:rPr>
        <w:t xml:space="preserve">Парк культури та відпочинку «Перемога», </w:t>
      </w:r>
      <w:r w:rsidRPr="00407A55">
        <w:rPr>
          <w:rFonts w:ascii="Times New Roman" w:eastAsia="Times New Roman" w:hAnsi="Times New Roman" w:cs="Times New Roman"/>
          <w:sz w:val="27"/>
          <w:szCs w:val="27"/>
        </w:rPr>
        <w:t>приватний музей «Історія зброї та етнографії»,</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rPr>
        <w:t xml:space="preserve">торговельно-розважальний центр «Термінал», </w:t>
      </w:r>
      <w:r w:rsidRPr="00407A55">
        <w:rPr>
          <w:rFonts w:ascii="Times New Roman" w:eastAsia="Times New Roman" w:hAnsi="Times New Roman" w:cs="Times New Roman"/>
          <w:sz w:val="27"/>
          <w:szCs w:val="27"/>
          <w:lang w:eastAsia="ru-RU"/>
        </w:rPr>
        <w:t>пам’ятний знак «Захисникам України», пам’ятний знак жертвам голодомору та політичних репресій, пам’ятник «Героям Чорнобиля» та інтерактивний «Меморіал пам’яті», в якому представлена інформація про загиблих Захисників.</w:t>
      </w:r>
    </w:p>
    <w:p w:rsidR="00407A55" w:rsidRPr="00407A55" w:rsidP="00407A55" w14:paraId="702AD241"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Програма розвитку культури Броварської міської територіальної громади на 2022-2026 роки» у </w:t>
      </w:r>
      <w:r w:rsidRPr="00407A55">
        <w:rPr>
          <w:rFonts w:ascii="Times New Roman" w:eastAsia="Times New Roman" w:hAnsi="Times New Roman" w:cs="Times New Roman"/>
          <w:sz w:val="27"/>
          <w:szCs w:val="27"/>
          <w:lang w:eastAsia="ru-RU"/>
        </w:rPr>
        <w:t xml:space="preserve">І півріччі </w:t>
      </w:r>
      <w:r w:rsidRPr="00407A55">
        <w:rPr>
          <w:rFonts w:ascii="Times New Roman" w:eastAsia="Times New Roman" w:hAnsi="Times New Roman" w:cs="Times New Roman"/>
          <w:sz w:val="27"/>
          <w:szCs w:val="27"/>
          <w:lang w:val="ru-RU" w:eastAsia="ru-RU"/>
        </w:rPr>
        <w:t>202</w:t>
      </w:r>
      <w:r w:rsidRPr="00407A55">
        <w:rPr>
          <w:rFonts w:ascii="Times New Roman" w:eastAsia="Times New Roman" w:hAnsi="Times New Roman" w:cs="Times New Roman"/>
          <w:sz w:val="27"/>
          <w:szCs w:val="27"/>
          <w:lang w:eastAsia="ru-RU"/>
        </w:rPr>
        <w:t>6</w:t>
      </w:r>
      <w:r w:rsidRPr="00407A55">
        <w:rPr>
          <w:rFonts w:ascii="Times New Roman" w:eastAsia="Times New Roman" w:hAnsi="Times New Roman" w:cs="Times New Roman"/>
          <w:sz w:val="27"/>
          <w:szCs w:val="27"/>
          <w:lang w:val="ru-RU" w:eastAsia="ru-RU"/>
        </w:rPr>
        <w:t xml:space="preserve"> ро</w:t>
      </w:r>
      <w:r w:rsidRPr="00407A55">
        <w:rPr>
          <w:rFonts w:ascii="Times New Roman" w:eastAsia="Times New Roman" w:hAnsi="Times New Roman" w:cs="Times New Roman"/>
          <w:sz w:val="27"/>
          <w:szCs w:val="27"/>
          <w:lang w:eastAsia="ru-RU"/>
        </w:rPr>
        <w:t>ку</w:t>
      </w:r>
      <w:r w:rsidRPr="00407A55">
        <w:rPr>
          <w:rFonts w:ascii="Times New Roman" w:eastAsia="Times New Roman" w:hAnsi="Times New Roman" w:cs="Times New Roman"/>
          <w:sz w:val="27"/>
          <w:szCs w:val="27"/>
          <w:lang w:val="ru-RU" w:eastAsia="ru-RU"/>
        </w:rPr>
        <w:t xml:space="preserve"> була профінансована на </w:t>
      </w:r>
      <w:r w:rsidRPr="00407A55">
        <w:rPr>
          <w:rFonts w:ascii="Times New Roman" w:eastAsia="Times New Roman" w:hAnsi="Times New Roman" w:cs="Times New Roman"/>
          <w:sz w:val="27"/>
          <w:szCs w:val="27"/>
          <w:lang w:eastAsia="ru-RU"/>
        </w:rPr>
        <w:t>345,3</w:t>
      </w:r>
      <w:r w:rsidRPr="00407A55">
        <w:rPr>
          <w:rFonts w:ascii="Times New Roman" w:eastAsia="Times New Roman" w:hAnsi="Times New Roman" w:cs="Times New Roman"/>
          <w:sz w:val="27"/>
          <w:szCs w:val="27"/>
          <w:lang w:val="ru-RU" w:eastAsia="ru-RU"/>
        </w:rPr>
        <w:t xml:space="preserve"> тис.грн.</w:t>
      </w:r>
    </w:p>
    <w:p w:rsidR="00407A55" w:rsidRPr="00407A55" w:rsidP="00407A55" w14:paraId="35D0EA98" w14:textId="77777777">
      <w:pPr>
        <w:tabs>
          <w:tab w:val="left" w:pos="0"/>
        </w:tabs>
        <w:spacing w:after="0" w:line="240" w:lineRule="auto"/>
        <w:ind w:firstLine="567"/>
        <w:jc w:val="both"/>
        <w:rPr>
          <w:rFonts w:ascii="Times New Roman" w:eastAsia="Times New Roman" w:hAnsi="Times New Roman" w:cs="Times New Roman"/>
          <w:sz w:val="27"/>
          <w:szCs w:val="27"/>
          <w:lang w:val="ru-RU" w:eastAsia="ru-RU"/>
        </w:rPr>
      </w:pPr>
    </w:p>
    <w:p w:rsidR="00407A55" w:rsidRPr="00407A55" w:rsidP="00407A55" w14:paraId="2AC4A11C" w14:textId="77777777">
      <w:pPr>
        <w:spacing w:after="0" w:line="240" w:lineRule="auto"/>
        <w:ind w:firstLine="567"/>
        <w:jc w:val="center"/>
        <w:rPr>
          <w:rFonts w:ascii="Times New Roman" w:eastAsia="Times New Roman" w:hAnsi="Times New Roman" w:cs="Times New Roman"/>
          <w:b/>
          <w:i/>
          <w:iCs/>
          <w:color w:val="000000"/>
          <w:spacing w:val="-2"/>
          <w:sz w:val="27"/>
          <w:szCs w:val="27"/>
          <w:lang w:eastAsia="ru-RU"/>
        </w:rPr>
      </w:pPr>
      <w:r w:rsidRPr="00407A55">
        <w:rPr>
          <w:rFonts w:ascii="Times New Roman" w:eastAsia="Times New Roman" w:hAnsi="Times New Roman" w:cs="Times New Roman"/>
          <w:b/>
          <w:i/>
          <w:iCs/>
          <w:color w:val="000000"/>
          <w:spacing w:val="-2"/>
          <w:sz w:val="27"/>
          <w:szCs w:val="27"/>
          <w:lang w:eastAsia="ru-RU"/>
        </w:rPr>
        <w:t>Розвиток фізичної культури та спорту</w:t>
      </w:r>
    </w:p>
    <w:p w:rsidR="00407A55" w:rsidRPr="00407A55" w:rsidP="00407A55" w14:paraId="54658B7C"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Розвитку фізичної культури та спорту в громаді приділяється належна увага.  </w:t>
      </w:r>
    </w:p>
    <w:p w:rsidR="00407A55" w:rsidRPr="00407A55" w:rsidP="00407A55" w14:paraId="56A4E57E"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На території громади розвивається 27 видів спорту та функціонують дві дитячо-юнацькі спортивні школи (далі - ДЮСШ), КП БМР КО «Міський футбольний клуб «Бровари» (даді – МФК «Бровари»), КП «Оздоровчо-реабілітаційний центр» БМР БР КО (далі – КП «ОРЦ»), Фізкультурно-оздоровчий заклад «Плавальний басейн «КУПАВА»  (далі - Плавальний басейн «Купава»), спортивний комплекс «Світлотехнік» та КНП БМР БР КО «Центр фізичного здоров’я».</w:t>
      </w:r>
    </w:p>
    <w:p w:rsidR="00407A55" w:rsidRPr="00407A55" w:rsidP="00407A55" w14:paraId="0F04FDA0"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ДЮСШ І категорії забезпечує навчально-тренувальний процес для понад 700 вихованців. Навчально-розвивальну та спортивну роботу здійснюють 48 тренерів-викладачів з 13 видів спорту: баскетбол, бокс, вільна боротьба, карате кіокушинкай, ушу, єдиноборства, легка атлетика, пауерліфтинг, рукопашний бій, теніс настільний, фехтування, хортинг та шахи.</w:t>
      </w:r>
    </w:p>
    <w:p w:rsidR="00407A55" w:rsidRPr="00407A55" w:rsidP="00407A55" w14:paraId="4D829759"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Протягом І півріччя 2026 року вихованці ДЮСШ брали активну участь в обласних, всеукраїнських та міжнародних змаганнях. За результатами виступів юні спортсмени вибороли низьку нагород і медалей різних ґатунків, гідно представивши школу на міжнародній та всеукраїнській аренах.</w:t>
      </w:r>
    </w:p>
    <w:p w:rsidR="00407A55" w:rsidRPr="00407A55" w:rsidP="00407A55" w14:paraId="25F52253"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МФК</w:t>
      </w:r>
      <w:r w:rsidRPr="00407A55">
        <w:rPr>
          <w:rFonts w:ascii="Times New Roman" w:eastAsia="Times New Roman" w:hAnsi="Times New Roman" w:cs="Times New Roman"/>
          <w:sz w:val="27"/>
          <w:szCs w:val="27"/>
          <w:lang w:val="ru-RU" w:eastAsia="ru-RU"/>
        </w:rPr>
        <w:t xml:space="preserve"> «Бровари» </w:t>
      </w:r>
      <w:r w:rsidRPr="00407A55">
        <w:rPr>
          <w:rFonts w:ascii="Times New Roman" w:eastAsia="Times New Roman" w:hAnsi="Times New Roman" w:cs="Times New Roman"/>
          <w:sz w:val="27"/>
          <w:szCs w:val="27"/>
          <w:lang w:eastAsia="ru-RU"/>
        </w:rPr>
        <w:t xml:space="preserve">функціонує з </w:t>
      </w:r>
      <w:r w:rsidRPr="00407A55">
        <w:rPr>
          <w:rFonts w:ascii="Times New Roman" w:eastAsia="Times New Roman" w:hAnsi="Times New Roman" w:cs="Times New Roman"/>
          <w:sz w:val="27"/>
          <w:szCs w:val="27"/>
          <w:lang w:val="ru-RU" w:eastAsia="ru-RU"/>
        </w:rPr>
        <w:t xml:space="preserve"> 2019 ро</w:t>
      </w:r>
      <w:r w:rsidRPr="00407A55">
        <w:rPr>
          <w:rFonts w:ascii="Times New Roman" w:eastAsia="Times New Roman" w:hAnsi="Times New Roman" w:cs="Times New Roman"/>
          <w:sz w:val="27"/>
          <w:szCs w:val="27"/>
          <w:lang w:eastAsia="ru-RU"/>
        </w:rPr>
        <w:t>ку</w:t>
      </w:r>
      <w:r w:rsidRPr="00407A55">
        <w:rPr>
          <w:rFonts w:ascii="Times New Roman" w:eastAsia="Times New Roman" w:hAnsi="Times New Roman" w:cs="Times New Roman"/>
          <w:sz w:val="27"/>
          <w:szCs w:val="27"/>
          <w:lang w:val="ru-RU" w:eastAsia="ru-RU"/>
        </w:rPr>
        <w:t>. До матеріально-технічної бази клубу належать</w:t>
      </w:r>
      <w:r w:rsidRPr="00407A55">
        <w:rPr>
          <w:rFonts w:ascii="Times New Roman" w:eastAsia="Times New Roman" w:hAnsi="Times New Roman" w:cs="Times New Roman"/>
          <w:sz w:val="27"/>
          <w:szCs w:val="27"/>
          <w:lang w:eastAsia="ru-RU"/>
        </w:rPr>
        <w:t xml:space="preserve"> п</w:t>
      </w:r>
      <w:r w:rsidRPr="00407A55">
        <w:rPr>
          <w:rFonts w:ascii="Times New Roman" w:eastAsia="Times New Roman" w:hAnsi="Times New Roman" w:cs="Times New Roman"/>
          <w:sz w:val="27"/>
          <w:szCs w:val="27"/>
          <w:lang w:val="ru-RU" w:eastAsia="ru-RU"/>
        </w:rPr>
        <w:t>овнорозмірне футбольне поле з трибунами для глядачів</w:t>
      </w:r>
      <w:r w:rsidRPr="00407A55">
        <w:rPr>
          <w:rFonts w:ascii="Times New Roman" w:eastAsia="Times New Roman" w:hAnsi="Times New Roman" w:cs="Times New Roman"/>
          <w:sz w:val="27"/>
          <w:szCs w:val="27"/>
          <w:lang w:eastAsia="ru-RU"/>
        </w:rPr>
        <w:t xml:space="preserve"> та </w:t>
      </w:r>
      <w:r w:rsidRPr="00407A55">
        <w:rPr>
          <w:rFonts w:ascii="Times New Roman" w:eastAsia="Times New Roman" w:hAnsi="Times New Roman" w:cs="Times New Roman"/>
          <w:sz w:val="27"/>
          <w:szCs w:val="27"/>
          <w:lang w:val="ru-RU" w:eastAsia="ru-RU"/>
        </w:rPr>
        <w:t xml:space="preserve">5 сучасних спортивних </w:t>
      </w:r>
      <w:r w:rsidRPr="00407A55">
        <w:rPr>
          <w:rFonts w:ascii="Times New Roman" w:eastAsia="Times New Roman" w:hAnsi="Times New Roman" w:cs="Times New Roman"/>
          <w:sz w:val="27"/>
          <w:szCs w:val="27"/>
          <w:lang w:eastAsia="ru-RU"/>
        </w:rPr>
        <w:t>ма</w:t>
      </w:r>
      <w:r w:rsidRPr="00407A55">
        <w:rPr>
          <w:rFonts w:ascii="Times New Roman" w:eastAsia="Times New Roman" w:hAnsi="Times New Roman" w:cs="Times New Roman"/>
          <w:sz w:val="27"/>
          <w:szCs w:val="27"/>
          <w:lang w:val="ru-RU" w:eastAsia="ru-RU"/>
        </w:rPr>
        <w:t>йданчиків.</w:t>
      </w:r>
    </w:p>
    <w:p w:rsidR="00407A55" w:rsidRPr="00407A55" w:rsidP="00407A55" w14:paraId="4832A0B2" w14:textId="77777777">
      <w:pPr>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lang w:eastAsia="ru-RU"/>
        </w:rPr>
        <w:t>З початку</w:t>
      </w:r>
      <w:r w:rsidRPr="00407A55">
        <w:rPr>
          <w:rFonts w:ascii="Times New Roman" w:eastAsia="Times New Roman" w:hAnsi="Times New Roman" w:cs="Times New Roman"/>
          <w:sz w:val="27"/>
          <w:szCs w:val="27"/>
          <w:lang w:val="ru-RU" w:eastAsia="ru-RU"/>
        </w:rPr>
        <w:t xml:space="preserve"> 2026 року в клубі займалися 330 вихованців віком від 4 до 16 років</w:t>
      </w:r>
      <w:r w:rsidRPr="00407A55">
        <w:rPr>
          <w:rFonts w:ascii="Times New Roman" w:eastAsia="Times New Roman" w:hAnsi="Times New Roman" w:cs="Times New Roman"/>
          <w:sz w:val="27"/>
          <w:szCs w:val="27"/>
          <w:lang w:eastAsia="ru-RU"/>
        </w:rPr>
        <w:t xml:space="preserve">, в тому числі: </w:t>
      </w:r>
    </w:p>
    <w:p w:rsidR="00407A55" w:rsidRPr="00407A55" w:rsidP="00407A55" w14:paraId="594B9EA2" w14:textId="77777777">
      <w:pPr>
        <w:numPr>
          <w:ilvl w:val="0"/>
          <w:numId w:val="16"/>
        </w:numPr>
        <w:spacing w:after="0" w:line="240" w:lineRule="auto"/>
        <w:ind w:hanging="153"/>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50 осіб — діти учасників бойових дій (УБД);</w:t>
      </w:r>
    </w:p>
    <w:p w:rsidR="00407A55" w:rsidRPr="00407A55" w:rsidP="00407A55" w14:paraId="4511A21D" w14:textId="77777777">
      <w:pPr>
        <w:numPr>
          <w:ilvl w:val="0"/>
          <w:numId w:val="16"/>
        </w:numPr>
        <w:spacing w:after="0" w:line="240" w:lineRule="auto"/>
        <w:ind w:hanging="153"/>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31 особа — внутрішньо переміщені особи (ВПО);</w:t>
      </w:r>
    </w:p>
    <w:p w:rsidR="00407A55" w:rsidRPr="00407A55" w:rsidP="00407A55" w14:paraId="508516A3" w14:textId="77777777">
      <w:pPr>
        <w:numPr>
          <w:ilvl w:val="0"/>
          <w:numId w:val="16"/>
        </w:numPr>
        <w:spacing w:after="0" w:line="240" w:lineRule="auto"/>
        <w:ind w:hanging="153"/>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8 осіб — інші пільгові категорії.</w:t>
      </w:r>
    </w:p>
    <w:p w:rsidR="00407A55" w:rsidRPr="00407A55" w:rsidP="00407A55" w14:paraId="1CC25ED5"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val="ru-RU" w:eastAsia="ru-RU"/>
        </w:rPr>
        <w:t>Команди МФК «Бровари» є постійними учасниками турнірів та матчів різних рівнів — від міських зустрічей до Чемпіонатів України та Всеукраїнських турнірів. За поточний сезон вихованці клубу взяли участь у 18 турнірах</w:t>
      </w:r>
      <w:r w:rsidRPr="00407A55">
        <w:rPr>
          <w:rFonts w:ascii="Times New Roman" w:eastAsia="Times New Roman" w:hAnsi="Times New Roman" w:cs="Times New Roman"/>
          <w:sz w:val="27"/>
          <w:szCs w:val="27"/>
          <w:lang w:eastAsia="ru-RU"/>
        </w:rPr>
        <w:t>.</w:t>
      </w:r>
    </w:p>
    <w:p w:rsidR="00407A55" w:rsidRPr="00407A55" w:rsidP="00407A55" w14:paraId="67BCCF45"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звітному періоді Програму фінсової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профінансовано в сумі 1649,7 тис. грн.</w:t>
      </w:r>
    </w:p>
    <w:p w:rsidR="00407A55" w:rsidRPr="00407A55" w:rsidP="00407A55" w14:paraId="51686541"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Особливу увагу КП «ОРЦ» приділяє забезпеченню доступності послуг для пільгових категорій населення, зокрема ветеранів війни, Захисників і Захисниць України, членів сімей загиблих Героїв, осіб з інвалідністю, дітей та інших соціально вразливих груп. </w:t>
      </w:r>
    </w:p>
    <w:p w:rsidR="00407A55" w:rsidRPr="00407A55" w:rsidP="00407A55" w14:paraId="2D014AA0" w14:textId="77777777">
      <w:pPr>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lang w:eastAsia="ru-RU"/>
        </w:rPr>
        <w:t>У І півріччі КП «ОРЦ» відвідали 18417 осіб, в тому числі безоплатно 1166 Захисників і Захисниць України, а також члени сімей загиблих чи зниклих безвісти Героїв.</w:t>
      </w:r>
    </w:p>
    <w:p w:rsidR="00407A55" w:rsidRPr="00407A55" w:rsidP="00407A55" w14:paraId="2598B810"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звітному періоді Програму фінсової підтримки комунального підприємства «Оздоровчо-реабілітаційного центру» Броварської міської ради Броварського району Київської області на 2022-2026 роки профінансовано в сумі 3514,9 тис. грн.</w:t>
      </w:r>
    </w:p>
    <w:p w:rsidR="00407A55" w:rsidRPr="00407A55" w:rsidP="00407A55" w14:paraId="6EDA12C7"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Плавальний басейн «КУПАВА» є потужною базою олімпійської, паралімпійської та дефлімпійської підготовки збірних команд України.</w:t>
      </w:r>
    </w:p>
    <w:p w:rsidR="00407A55" w:rsidRPr="00407A55" w:rsidP="00407A55" w14:paraId="3F0F5BBF"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На базі </w:t>
      </w:r>
      <w:r w:rsidRPr="00407A55">
        <w:rPr>
          <w:rFonts w:ascii="Times New Roman" w:eastAsia="Times New Roman" w:hAnsi="Times New Roman" w:cs="Times New Roman"/>
          <w:sz w:val="27"/>
          <w:szCs w:val="27"/>
          <w:lang w:eastAsia="ru-RU"/>
        </w:rPr>
        <w:t xml:space="preserve">плавального </w:t>
      </w:r>
      <w:r w:rsidRPr="00407A55">
        <w:rPr>
          <w:rFonts w:ascii="Times New Roman" w:eastAsia="Times New Roman" w:hAnsi="Times New Roman" w:cs="Times New Roman"/>
          <w:sz w:val="27"/>
          <w:szCs w:val="27"/>
          <w:lang w:val="ru-RU" w:eastAsia="ru-RU"/>
        </w:rPr>
        <w:t>басейну «Купава» регулярно проходять тренування та довготривалі навчально-тренувальні збори для</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вихованців ДЮСШ</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студентів Київського обласного спортивно-фахового коледжу</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спортсменів Центру олімпійської підготовки</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представників Київського регіонального центру «Інваспорт»</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збірних команд Київської області та України.</w:t>
      </w:r>
    </w:p>
    <w:p w:rsidR="00407A55" w:rsidRPr="00407A55" w:rsidP="00407A55" w14:paraId="4B3F872D" w14:textId="77777777">
      <w:pPr>
        <w:spacing w:after="0" w:line="240" w:lineRule="auto"/>
        <w:ind w:firstLine="567"/>
        <w:jc w:val="both"/>
        <w:rPr>
          <w:rFonts w:ascii="Times New Roman" w:eastAsia="Calibri" w:hAnsi="Times New Roman" w:cs="Times New Roman"/>
          <w:bCs/>
          <w:color w:val="000000"/>
          <w:sz w:val="27"/>
          <w:szCs w:val="27"/>
          <w:shd w:val="clear" w:color="auto" w:fill="FFFFFF"/>
          <w:lang w:eastAsia="en-US"/>
        </w:rPr>
      </w:pPr>
      <w:r w:rsidRPr="00407A55">
        <w:rPr>
          <w:rFonts w:ascii="Times New Roman" w:eastAsia="Calibri" w:hAnsi="Times New Roman" w:cs="Times New Roman"/>
          <w:bCs/>
          <w:color w:val="000000"/>
          <w:sz w:val="27"/>
          <w:szCs w:val="27"/>
          <w:shd w:val="clear" w:color="auto" w:fill="FFFFFF"/>
          <w:lang w:eastAsia="en-US"/>
        </w:rPr>
        <w:t>З метою реабілітації ветеранів та військовослужбовців, дітей з інвалідністю проводяться безкоштовні заняття:</w:t>
      </w:r>
    </w:p>
    <w:p w:rsidR="00407A55" w:rsidRPr="00407A55" w:rsidP="007C499E" w14:paraId="5F31AC8D" w14:textId="77777777">
      <w:pPr>
        <w:numPr>
          <w:ilvl w:val="0"/>
          <w:numId w:val="19"/>
        </w:numPr>
        <w:spacing w:after="0" w:line="240" w:lineRule="auto"/>
        <w:ind w:left="0"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оздоровчо-реабілітаційні заняття з плавання (вільне відвідування);</w:t>
      </w:r>
    </w:p>
    <w:p w:rsidR="00407A55" w:rsidRPr="00407A55" w:rsidP="007C499E" w14:paraId="0FB589F2" w14:textId="77777777">
      <w:pPr>
        <w:numPr>
          <w:ilvl w:val="0"/>
          <w:numId w:val="19"/>
        </w:numPr>
        <w:spacing w:after="0" w:line="240" w:lineRule="auto"/>
        <w:ind w:left="0"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фізкультурно-оздоровчі заняття з плавання 4 Військових частин (групові);</w:t>
      </w:r>
    </w:p>
    <w:p w:rsidR="00407A55" w:rsidRPr="00407A55" w:rsidP="007C499E" w14:paraId="4279D1E5" w14:textId="77777777">
      <w:pPr>
        <w:numPr>
          <w:ilvl w:val="0"/>
          <w:numId w:val="19"/>
        </w:numPr>
        <w:spacing w:after="0" w:line="240" w:lineRule="auto"/>
        <w:ind w:left="0"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реабілітаційні заняття з плавання військовослужбовців, які проходять лікування у Броварській лікарні під супроводом лікарів фізіотерапевтів;</w:t>
      </w:r>
    </w:p>
    <w:p w:rsidR="00407A55" w:rsidRPr="00407A55" w:rsidP="007C499E" w14:paraId="567614E2" w14:textId="77777777">
      <w:pPr>
        <w:numPr>
          <w:ilvl w:val="0"/>
          <w:numId w:val="19"/>
        </w:numPr>
        <w:spacing w:after="0" w:line="240" w:lineRule="auto"/>
        <w:ind w:left="0"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членів сімей загиблих Захисників і Захисниць України (вільне відвідування).</w:t>
      </w:r>
    </w:p>
    <w:p w:rsidR="00407A55" w:rsidRPr="00407A55" w:rsidP="00407A55" w14:paraId="0B0C0203"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407A55" w:rsidRPr="00407A55" w:rsidP="00407A55" w14:paraId="66B5F3BF"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З метою створення сприятливих умов для реалізації права громадян на заняття фізичною культурою та спортом, сприяння розвитку адаптивного спорту, відновлення ветеранів війни та людей з інвалідністю </w:t>
      </w:r>
      <w:r w:rsidRPr="00407A55">
        <w:rPr>
          <w:rFonts w:ascii="Times New Roman" w:eastAsia="Times New Roman" w:hAnsi="Times New Roman" w:cs="Times New Roman"/>
          <w:color w:val="000000"/>
          <w:sz w:val="27"/>
          <w:szCs w:val="27"/>
          <w:lang w:eastAsia="ru-RU"/>
        </w:rPr>
        <w:t>рішенням сесії Броварської міської ради від</w:t>
      </w:r>
      <w:r w:rsidRPr="00407A55">
        <w:rPr>
          <w:rFonts w:ascii="Times New Roman" w:eastAsia="Times New Roman" w:hAnsi="Times New Roman" w:cs="Times New Roman"/>
          <w:sz w:val="27"/>
          <w:szCs w:val="27"/>
          <w:lang w:eastAsia="ru-RU"/>
        </w:rPr>
        <w:t xml:space="preserve"> 30.04.2026 № 2698-116-08 створено Комунальне некомерційне товариство Броварської міської ради Броварського району Київської області «Центр фізичного здоров’я». У звітному періоді центром проведено 11 інформаційно-просвітницьких зустрічей з ветеранами війни.</w:t>
      </w:r>
    </w:p>
    <w:p w:rsidR="00407A55" w:rsidRPr="00407A55" w:rsidP="00407A55" w14:paraId="6D54CB3D"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color w:val="000000"/>
          <w:sz w:val="27"/>
          <w:szCs w:val="27"/>
          <w:lang w:eastAsia="ru-RU"/>
        </w:rPr>
        <w:t xml:space="preserve">Загалом у громаді у звітному періоді </w:t>
      </w:r>
      <w:bookmarkStart w:id="8" w:name="OLE_LINK1"/>
      <w:r w:rsidRPr="00407A55">
        <w:rPr>
          <w:rFonts w:ascii="Times New Roman" w:eastAsia="Times New Roman" w:hAnsi="Times New Roman" w:cs="Times New Roman"/>
          <w:color w:val="000000"/>
          <w:sz w:val="27"/>
          <w:szCs w:val="27"/>
          <w:lang w:eastAsia="ru-RU"/>
        </w:rPr>
        <w:t>проведено 123 спортивно-масових заходів</w:t>
      </w:r>
      <w:bookmarkEnd w:id="8"/>
      <w:r w:rsidRPr="00407A55">
        <w:rPr>
          <w:rFonts w:ascii="Times New Roman" w:eastAsia="Times New Roman" w:hAnsi="Times New Roman" w:cs="Times New Roman"/>
          <w:color w:val="000000"/>
          <w:sz w:val="27"/>
          <w:szCs w:val="27"/>
          <w:lang w:eastAsia="ru-RU"/>
        </w:rPr>
        <w:t>,</w:t>
      </w:r>
      <w:r w:rsidRPr="00407A55">
        <w:rPr>
          <w:rFonts w:ascii="Times New Roman" w:eastAsia="Times New Roman" w:hAnsi="Times New Roman" w:cs="Times New Roman"/>
          <w:sz w:val="27"/>
          <w:szCs w:val="27"/>
          <w:lang w:eastAsia="ru-RU"/>
        </w:rPr>
        <w:t xml:space="preserve"> в яких прийняло участь більше 1000 спортсменів різних вікових категорій.</w:t>
      </w:r>
    </w:p>
    <w:p w:rsidR="00407A55" w:rsidRPr="00407A55" w:rsidP="00407A55" w14:paraId="6905CFBB"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Кількість проведених спортивно-масових заходів у 2025-2026 роках</w:t>
      </w:r>
    </w:p>
    <w:p w:rsidR="00407A55" w:rsidRPr="00407A55" w:rsidP="00407A55" w14:paraId="1EFF1A6B" w14:textId="3093C5C8">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noProof/>
          <w:sz w:val="27"/>
          <w:szCs w:val="27"/>
          <w:lang w:val="ru-RU" w:eastAsia="ru-RU"/>
        </w:rPr>
        <w:drawing>
          <wp:inline distT="0" distB="0" distL="0" distR="0">
            <wp:extent cx="5610225" cy="2209800"/>
            <wp:effectExtent l="0" t="0" r="952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07A55" w:rsidRPr="00407A55" w:rsidP="00407A55" w14:paraId="3BA53A69"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color w:val="000000"/>
          <w:sz w:val="27"/>
          <w:szCs w:val="27"/>
          <w:lang w:eastAsia="ru-RU"/>
        </w:rPr>
        <w:t>Відділом фізичної культури та спорту Броварської міської ради, управлінням з питань ветеранської політики Броварської міської ради та Броварським МВЦ «ВЕТЕРАН ПРО» була започаткована Ветеранська ліга Броварської громади «Сталева воля», яка включає в себе змагання з різних видів спорту. У змаганнях мають змогу взяти участь ветерани, учасники бойових дій.</w:t>
      </w:r>
    </w:p>
    <w:p w:rsidR="00407A55" w:rsidRPr="00407A55" w:rsidP="00407A55" w14:paraId="4CBEA92F"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Відповідно до Програми розвитку фізичної культури і спорту Броварської міської територіальної громади на 2022-2026 роки, у звітному періоді заходи профінансовано в сумі 2315,3 тис. грн. </w:t>
      </w:r>
    </w:p>
    <w:p w:rsidR="00407A55" w:rsidRPr="00407A55" w:rsidP="00407A55" w14:paraId="496D3E26"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 xml:space="preserve">Фінансування Програми розвитку фізичної </w:t>
      </w:r>
    </w:p>
    <w:p w:rsidR="00407A55" w:rsidRPr="00407A55" w:rsidP="00407A55" w14:paraId="7EF61BFB"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 xml:space="preserve">культури і спорту Броварської міської територіальної </w:t>
      </w:r>
    </w:p>
    <w:p w:rsidR="00407A55" w:rsidRPr="00407A55" w:rsidP="00407A55" w14:paraId="429C66C4"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громади на 2022-2026 роки, (тис. грн.)</w:t>
      </w:r>
    </w:p>
    <w:p w:rsidR="00407A55" w:rsidRPr="00407A55" w:rsidP="00407A55" w14:paraId="051F4D57" w14:textId="36E66E0C">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eastAsia="ru-RU"/>
        </w:rPr>
        <w:drawing>
          <wp:inline distT="0" distB="0" distL="0" distR="0">
            <wp:extent cx="5701030" cy="2989580"/>
            <wp:effectExtent l="0" t="0" r="13970" b="127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07A55" w:rsidRPr="00407A55" w:rsidP="00407A55" w14:paraId="1CE6B7CF"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eastAsia="ru-RU"/>
        </w:rPr>
      </w:pPr>
    </w:p>
    <w:p w:rsidR="00407A55" w:rsidRPr="00407A55" w:rsidP="00407A55" w14:paraId="5A263253" w14:textId="77777777">
      <w:pPr>
        <w:spacing w:after="0" w:line="240" w:lineRule="auto"/>
        <w:ind w:firstLine="567"/>
        <w:jc w:val="center"/>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sz w:val="27"/>
          <w:szCs w:val="27"/>
        </w:rPr>
        <w:t xml:space="preserve">    </w:t>
      </w:r>
      <w:r w:rsidRPr="00407A55">
        <w:rPr>
          <w:rFonts w:ascii="Times New Roman" w:eastAsia="Times New Roman" w:hAnsi="Times New Roman" w:cs="Times New Roman"/>
          <w:b/>
          <w:sz w:val="27"/>
          <w:szCs w:val="27"/>
          <w:lang w:eastAsia="ru-RU"/>
        </w:rPr>
        <w:t xml:space="preserve">       </w:t>
      </w:r>
      <w:r w:rsidRPr="00407A55">
        <w:rPr>
          <w:rFonts w:ascii="Times New Roman" w:eastAsia="Times New Roman" w:hAnsi="Times New Roman" w:cs="Times New Roman"/>
          <w:b/>
          <w:bCs/>
          <w:i/>
          <w:iCs/>
          <w:sz w:val="27"/>
          <w:szCs w:val="27"/>
          <w:lang w:eastAsia="ru-RU"/>
        </w:rPr>
        <w:t>Житлово-комунальне господарство, енергозабезпечення та енергозбереження, екологічна безпека</w:t>
      </w:r>
    </w:p>
    <w:p w:rsidR="00407A55" w:rsidRPr="00407A55" w:rsidP="00407A55" w14:paraId="066587DA"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Житлово-комунальне господарство громади в</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ru-RU" w:eastAsia="ru-RU"/>
        </w:rPr>
        <w:t>202</w:t>
      </w:r>
      <w:r w:rsidRPr="00407A55">
        <w:rPr>
          <w:rFonts w:ascii="Times New Roman" w:eastAsia="Times New Roman" w:hAnsi="Times New Roman" w:cs="Times New Roman"/>
          <w:color w:val="000000"/>
          <w:sz w:val="27"/>
          <w:szCs w:val="27"/>
          <w:lang w:eastAsia="ru-RU"/>
        </w:rPr>
        <w:t>5</w:t>
      </w:r>
      <w:r w:rsidRPr="00407A55">
        <w:rPr>
          <w:rFonts w:ascii="Times New Roman" w:eastAsia="Times New Roman" w:hAnsi="Times New Roman" w:cs="Times New Roman"/>
          <w:color w:val="000000"/>
          <w:sz w:val="27"/>
          <w:szCs w:val="27"/>
          <w:lang w:val="ru-RU" w:eastAsia="ru-RU"/>
        </w:rPr>
        <w:t xml:space="preserve"> ро</w:t>
      </w:r>
      <w:r w:rsidRPr="00407A55">
        <w:rPr>
          <w:rFonts w:ascii="Times New Roman" w:eastAsia="Times New Roman" w:hAnsi="Times New Roman" w:cs="Times New Roman"/>
          <w:color w:val="000000"/>
          <w:sz w:val="27"/>
          <w:szCs w:val="27"/>
          <w:lang w:eastAsia="ru-RU"/>
        </w:rPr>
        <w:t>ці</w:t>
      </w:r>
      <w:r w:rsidRPr="00407A55">
        <w:rPr>
          <w:rFonts w:ascii="Times New Roman" w:eastAsia="Times New Roman" w:hAnsi="Times New Roman" w:cs="Times New Roman"/>
          <w:color w:val="000000"/>
          <w:sz w:val="27"/>
          <w:szCs w:val="27"/>
          <w:lang w:val="ru-RU" w:eastAsia="ru-RU"/>
        </w:rPr>
        <w:t xml:space="preserve"> забезпечувало виконання всіх потреб громади. Фінансування заходів здійснювалось в межах коштів «Програм</w:t>
      </w:r>
      <w:r w:rsidRPr="00407A55">
        <w:rPr>
          <w:rFonts w:ascii="Times New Roman" w:eastAsia="Times New Roman" w:hAnsi="Times New Roman" w:cs="Times New Roman"/>
          <w:color w:val="000000"/>
          <w:sz w:val="27"/>
          <w:szCs w:val="27"/>
          <w:lang w:eastAsia="ru-RU"/>
        </w:rPr>
        <w:t>и</w:t>
      </w:r>
      <w:r w:rsidRPr="00407A55">
        <w:rPr>
          <w:rFonts w:ascii="Times New Roman" w:eastAsia="Times New Roman" w:hAnsi="Times New Roman" w:cs="Times New Roman"/>
          <w:color w:val="000000"/>
          <w:sz w:val="27"/>
          <w:szCs w:val="27"/>
          <w:lang w:val="ru-RU" w:eastAsia="ru-RU"/>
        </w:rPr>
        <w:t xml:space="preserve">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 У </w:t>
      </w:r>
      <w:r w:rsidRPr="00407A55">
        <w:rPr>
          <w:rFonts w:ascii="Times New Roman" w:eastAsia="Times New Roman" w:hAnsi="Times New Roman" w:cs="Times New Roman"/>
          <w:color w:val="000000"/>
          <w:sz w:val="27"/>
          <w:szCs w:val="27"/>
          <w:lang w:eastAsia="ru-RU"/>
        </w:rPr>
        <w:t>звітному періоді</w:t>
      </w:r>
      <w:r w:rsidRPr="00407A55">
        <w:rPr>
          <w:rFonts w:ascii="Times New Roman" w:eastAsia="Times New Roman" w:hAnsi="Times New Roman" w:cs="Times New Roman"/>
          <w:color w:val="000000"/>
          <w:sz w:val="27"/>
          <w:szCs w:val="27"/>
          <w:lang w:val="ru-RU" w:eastAsia="ru-RU"/>
        </w:rPr>
        <w:t xml:space="preserve"> проводилися аварійні ремонти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407A55" w:rsidRPr="00407A55" w:rsidP="00407A55" w14:paraId="001966AE"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У житловому фонді Броварської міської територіальної громади знаходиться 521 багатоквартирний житловий будинок, 97 будинків з яких перебувають в управлінні ОСББ, ЖБК та ОК, 42 будинка - на самозабезпеченні та 382 будинки перебувають в обслуговуванні управляючих компаній.</w:t>
      </w:r>
    </w:p>
    <w:p w:rsidR="00407A55" w:rsidRPr="00407A55" w:rsidP="00407A55" w14:paraId="6984C254" w14:textId="77777777">
      <w:pPr>
        <w:spacing w:after="0" w:line="240" w:lineRule="auto"/>
        <w:ind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звітному періоді обсяг прийнятого в експлуатацію житла склав 54,016 тис. м</w:t>
      </w:r>
      <w:r w:rsidRPr="00407A55">
        <w:rPr>
          <w:rFonts w:ascii="Times New Roman" w:eastAsia="Times New Roman" w:hAnsi="Times New Roman" w:cs="Times New Roman"/>
          <w:sz w:val="27"/>
          <w:szCs w:val="27"/>
          <w:vertAlign w:val="superscript"/>
          <w:lang w:eastAsia="ru-RU"/>
        </w:rPr>
        <w:t>2</w:t>
      </w:r>
      <w:r w:rsidRPr="00407A55">
        <w:rPr>
          <w:rFonts w:ascii="Times New Roman" w:eastAsia="Times New Roman" w:hAnsi="Times New Roman" w:cs="Times New Roman"/>
          <w:sz w:val="27"/>
          <w:szCs w:val="27"/>
          <w:lang w:eastAsia="ru-RU"/>
        </w:rPr>
        <w:t xml:space="preserve">, в тому числі: </w:t>
      </w:r>
    </w:p>
    <w:p w:rsidR="00407A55" w:rsidRPr="00407A55" w:rsidP="00407A55" w14:paraId="251FF54C" w14:textId="77777777">
      <w:pPr>
        <w:numPr>
          <w:ilvl w:val="0"/>
          <w:numId w:val="4"/>
        </w:numPr>
        <w:spacing w:after="0" w:line="240" w:lineRule="auto"/>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26 індивідуальних житлових будинків загальною площею 4,467 тис. м</w:t>
      </w:r>
      <w:r w:rsidRPr="00407A55">
        <w:rPr>
          <w:rFonts w:ascii="Times New Roman" w:eastAsia="Times New Roman" w:hAnsi="Times New Roman" w:cs="Times New Roman"/>
          <w:sz w:val="27"/>
          <w:szCs w:val="27"/>
          <w:vertAlign w:val="superscript"/>
          <w:lang w:eastAsia="ru-RU"/>
        </w:rPr>
        <w:t>2</w:t>
      </w:r>
      <w:r w:rsidRPr="00407A55">
        <w:rPr>
          <w:rFonts w:ascii="Times New Roman" w:eastAsia="Times New Roman" w:hAnsi="Times New Roman" w:cs="Times New Roman"/>
          <w:sz w:val="27"/>
          <w:szCs w:val="27"/>
          <w:lang w:eastAsia="ru-RU"/>
        </w:rPr>
        <w:t>;</w:t>
      </w:r>
    </w:p>
    <w:p w:rsidR="00407A55" w:rsidRPr="00407A55" w:rsidP="00407A55" w14:paraId="5612317C" w14:textId="77777777">
      <w:pPr>
        <w:numPr>
          <w:ilvl w:val="0"/>
          <w:numId w:val="4"/>
        </w:numPr>
        <w:spacing w:after="0" w:line="240" w:lineRule="auto"/>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3 багатоквартирних житлових будинків загальною площею 49,549 тис. м</w:t>
      </w:r>
      <w:r w:rsidRPr="00407A55">
        <w:rPr>
          <w:rFonts w:ascii="Times New Roman" w:eastAsia="Times New Roman" w:hAnsi="Times New Roman" w:cs="Times New Roman"/>
          <w:sz w:val="27"/>
          <w:szCs w:val="27"/>
          <w:vertAlign w:val="superscript"/>
          <w:lang w:eastAsia="ru-RU"/>
        </w:rPr>
        <w:t xml:space="preserve">2 </w:t>
      </w:r>
      <w:r w:rsidRPr="00407A55">
        <w:rPr>
          <w:rFonts w:ascii="Times New Roman" w:eastAsia="Times New Roman" w:hAnsi="Times New Roman" w:cs="Times New Roman"/>
          <w:sz w:val="27"/>
          <w:szCs w:val="27"/>
          <w:lang w:eastAsia="ru-RU"/>
        </w:rPr>
        <w:t>.</w:t>
      </w:r>
    </w:p>
    <w:p w:rsidR="00407A55" w:rsidRPr="00407A55" w:rsidP="00407A55" w14:paraId="130149D3"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Серед збудованих багатоквартирних житлових будинків найбільша питома вага припадає на однокімнатні квартири — 76,6%, двокімнатні — 20,5%, трикімнатні — 2,9%.</w:t>
      </w:r>
    </w:p>
    <w:p w:rsidR="00407A55" w:rsidRPr="00407A55" w:rsidP="00407A55" w14:paraId="3379ED15"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eastAsia="ru-RU"/>
        </w:rPr>
        <w:t xml:space="preserve">Комунальними підприємствами та управляючими компаніями забезпечується утримання багатоквартирних будинків, прибирання прибудинкових територій. </w:t>
      </w:r>
      <w:r w:rsidRPr="00407A55">
        <w:rPr>
          <w:rFonts w:ascii="Times New Roman" w:eastAsia="Times New Roman" w:hAnsi="Times New Roman" w:cs="Times New Roman"/>
          <w:color w:val="000000"/>
          <w:sz w:val="27"/>
          <w:szCs w:val="27"/>
          <w:lang w:val="ru-RU" w:eastAsia="ru-RU"/>
        </w:rPr>
        <w:t xml:space="preserve">КП «Броваритепловодоенергія» забезпечує надання послуг з теплопостачання, водопостачання та водовідведення. </w:t>
      </w:r>
    </w:p>
    <w:p w:rsidR="00407A55" w:rsidRPr="00407A55" w:rsidP="00407A55" w14:paraId="678918C4" w14:textId="77777777">
      <w:pPr>
        <w:tabs>
          <w:tab w:val="left" w:pos="6660"/>
        </w:tabs>
        <w:spacing w:after="0" w:line="240" w:lineRule="auto"/>
        <w:ind w:firstLine="567"/>
        <w:jc w:val="both"/>
        <w:rPr>
          <w:rFonts w:ascii="Times New Roman" w:eastAsia="Times New Roman" w:hAnsi="Times New Roman" w:cs="Times New Roman"/>
          <w:sz w:val="27"/>
          <w:szCs w:val="27"/>
          <w:lang w:val="ru-RU" w:eastAsia="ru-RU"/>
        </w:rPr>
      </w:pPr>
      <w:bookmarkStart w:id="9" w:name="_Hlk202879849"/>
      <w:r w:rsidRPr="00407A55">
        <w:rPr>
          <w:rFonts w:ascii="Times New Roman" w:eastAsia="Times New Roman" w:hAnsi="Times New Roman" w:cs="Times New Roman"/>
          <w:sz w:val="27"/>
          <w:szCs w:val="27"/>
          <w:lang w:val="ru-RU" w:eastAsia="ru-RU"/>
        </w:rPr>
        <w:t xml:space="preserve">Всі комунальні підприємства громади – надавачі комунальних послуг постійно проводять роботу з боржниками. </w:t>
      </w:r>
      <w:bookmarkEnd w:id="9"/>
      <w:r w:rsidRPr="00407A55">
        <w:rPr>
          <w:rFonts w:ascii="Times New Roman" w:eastAsia="Times New Roman" w:hAnsi="Times New Roman" w:cs="Times New Roman"/>
          <w:sz w:val="27"/>
          <w:szCs w:val="27"/>
          <w:lang w:val="ru-RU" w:eastAsia="ru-RU"/>
        </w:rPr>
        <w:t xml:space="preserve">Найбільшу заборгованість має КП «Броваритепловодоенергія»: станом на 30.06.2026 заборгованість з оплати житлово-комунальних послуг перед КП «Броваритепловодоенергія» становила 145 589,5 тис. грн.       </w:t>
      </w:r>
    </w:p>
    <w:p w:rsidR="00407A55" w:rsidRPr="00407A55" w:rsidP="00407A55" w14:paraId="118804C0" w14:textId="77777777">
      <w:pPr>
        <w:tabs>
          <w:tab w:val="left" w:pos="6660"/>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У звітному періоді підприємством було проведено наступну роботу з боржниками: здійснено телефонних дзвінків боржникам підприємства у кількості – 21 753; відправлено боржникам 31 626 смс повідомлень; передано до суду 86 заяв про стягнення заборгованості на суму 2 202,8 тис. грн.; прийнято судом 210 рішень про стягнення заборгованості на суму 7 945,6 тис. грн.; перебуває в органах примусового виконання рішень суду (ДВС, приватний виконавець) 2461 справи на суму 31 622,3 тис. грн. </w:t>
      </w:r>
    </w:p>
    <w:p w:rsidR="00407A55" w:rsidRPr="00407A55" w:rsidP="00407A55" w14:paraId="2A2B02A8"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sz w:val="27"/>
          <w:szCs w:val="27"/>
          <w:lang w:val="ru-RU" w:eastAsia="ru-RU"/>
        </w:rPr>
        <w:t xml:space="preserve">Впродовж </w:t>
      </w:r>
      <w:r w:rsidRPr="00407A55">
        <w:rPr>
          <w:rFonts w:ascii="Times New Roman" w:eastAsia="Times New Roman" w:hAnsi="Times New Roman" w:cs="Times New Roman"/>
          <w:sz w:val="27"/>
          <w:szCs w:val="27"/>
          <w:lang w:eastAsia="ru-RU"/>
        </w:rPr>
        <w:t xml:space="preserve">І півріччя </w:t>
      </w:r>
      <w:r w:rsidRPr="00407A55">
        <w:rPr>
          <w:rFonts w:ascii="Times New Roman" w:eastAsia="Times New Roman" w:hAnsi="Times New Roman" w:cs="Times New Roman"/>
          <w:sz w:val="27"/>
          <w:szCs w:val="27"/>
          <w:lang w:val="ru-RU" w:eastAsia="ru-RU"/>
        </w:rPr>
        <w:t>202</w:t>
      </w:r>
      <w:r w:rsidRPr="00407A55">
        <w:rPr>
          <w:rFonts w:ascii="Times New Roman" w:eastAsia="Times New Roman" w:hAnsi="Times New Roman" w:cs="Times New Roman"/>
          <w:sz w:val="27"/>
          <w:szCs w:val="27"/>
          <w:lang w:eastAsia="ru-RU"/>
        </w:rPr>
        <w:t>6</w:t>
      </w:r>
      <w:r w:rsidRPr="00407A55">
        <w:rPr>
          <w:rFonts w:ascii="Times New Roman" w:eastAsia="Times New Roman" w:hAnsi="Times New Roman" w:cs="Times New Roman"/>
          <w:sz w:val="27"/>
          <w:szCs w:val="27"/>
          <w:lang w:val="ru-RU" w:eastAsia="ru-RU"/>
        </w:rPr>
        <w:t xml:space="preserve"> року </w:t>
      </w:r>
      <w:r w:rsidRPr="00407A55">
        <w:rPr>
          <w:rFonts w:ascii="Times New Roman" w:eastAsia="Times New Roman" w:hAnsi="Times New Roman" w:cs="Times New Roman"/>
          <w:color w:val="000000"/>
          <w:sz w:val="27"/>
          <w:szCs w:val="27"/>
          <w:lang w:val="ru-RU" w:eastAsia="ru-RU"/>
        </w:rPr>
        <w:t xml:space="preserve">були проведені капітальні ремонти та реконструкції на наступних об’єктах: </w:t>
      </w:r>
    </w:p>
    <w:p w:rsidR="00407A55" w:rsidRPr="00407A55" w:rsidP="00407A55" w14:paraId="4F11B6C1"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lang w:val="ru-RU" w:eastAsia="ru-RU"/>
        </w:rPr>
        <w:t>1.Виконано заміну теплових мереж з використанням сталевих труб ізольованих пінополіуретаном та введено в експлуатацію</w:t>
      </w:r>
      <w:r w:rsidRPr="00407A55">
        <w:rPr>
          <w:rFonts w:ascii="Times New Roman" w:eastAsia="Times New Roman" w:hAnsi="Times New Roman" w:cs="Times New Roman"/>
          <w:sz w:val="27"/>
          <w:szCs w:val="27"/>
          <w:lang w:eastAsia="ru-RU"/>
        </w:rPr>
        <w:t xml:space="preserve"> по</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rPr>
        <w:t>вул. Грушевського від ТК6К до ТК7К, діаметром 530/710 протяжністю 74,7 м, загальною вартістю – 975 136,0 грн.</w:t>
      </w:r>
    </w:p>
    <w:p w:rsidR="00407A55" w:rsidRPr="00407A55" w:rsidP="00407A55" w14:paraId="759CEE24"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rPr>
        <w:t>2. Виконано заміну насосного обладнання на центральних теплових пунктах по вул. Грушевського,9/1, 17/2, 13/1, 3/1, 1/1, вул. Героїв Небесної сотні,15/1, бульв. Незалежності, 7/1, 6/1, вул. Петлюри,19/1, 17/1, 23/1, 13/1, вул. Олімпійська,6/2 – 18 од. загальною вартістю – 664 851,7 грн.</w:t>
      </w:r>
    </w:p>
    <w:p w:rsidR="00407A55" w:rsidRPr="00407A55" w:rsidP="00407A55" w14:paraId="2068C7BA"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Згідно «Програми фінансової підтримки </w:t>
      </w:r>
      <w:r w:rsidRPr="00407A55">
        <w:rPr>
          <w:rFonts w:ascii="Times New Roman" w:eastAsia="Times New Roman" w:hAnsi="Times New Roman" w:cs="Times New Roman"/>
          <w:color w:val="000000"/>
          <w:sz w:val="27"/>
          <w:szCs w:val="27"/>
        </w:rPr>
        <w:t>комунального підприємства Броварської міської ради Броварського району Київської області "Броваритепловодоенергія" на 2021-2029 роки</w:t>
      </w:r>
      <w:r w:rsidRPr="00407A55">
        <w:rPr>
          <w:rFonts w:ascii="Times New Roman" w:eastAsia="Times New Roman" w:hAnsi="Times New Roman" w:cs="Times New Roman"/>
          <w:color w:val="000000"/>
          <w:sz w:val="27"/>
          <w:szCs w:val="27"/>
          <w:lang w:eastAsia="ru-RU"/>
        </w:rPr>
        <w:t xml:space="preserve">» у І півріччі 2026 року підприємство профінансовано на суму </w:t>
      </w:r>
      <w:r w:rsidRPr="00407A55">
        <w:rPr>
          <w:rFonts w:ascii="Times New Roman" w:eastAsia="Times New Roman" w:hAnsi="Times New Roman" w:cs="Times New Roman"/>
          <w:sz w:val="27"/>
          <w:szCs w:val="27"/>
          <w:lang w:eastAsia="ru-RU"/>
        </w:rPr>
        <w:t>44 378,5</w:t>
      </w:r>
      <w:r w:rsidRPr="00407A55">
        <w:rPr>
          <w:rFonts w:ascii="Times New Roman" w:eastAsia="Times New Roman" w:hAnsi="Times New Roman" w:cs="Times New Roman"/>
          <w:color w:val="000000"/>
          <w:sz w:val="27"/>
          <w:szCs w:val="27"/>
          <w:lang w:eastAsia="ru-RU"/>
        </w:rPr>
        <w:t xml:space="preserve"> тис. грн.</w:t>
      </w:r>
    </w:p>
    <w:p w:rsidR="00407A55" w:rsidRPr="00407A55" w:rsidP="00407A55" w14:paraId="6EC2ECBB" w14:textId="77777777">
      <w:pPr>
        <w:spacing w:after="0" w:line="240" w:lineRule="auto"/>
        <w:ind w:firstLine="567"/>
        <w:jc w:val="both"/>
        <w:rPr>
          <w:rFonts w:ascii="Times New Roman" w:eastAsia="Times New Roman" w:hAnsi="Times New Roman" w:cs="Times New Roman"/>
          <w:sz w:val="27"/>
          <w:szCs w:val="27"/>
          <w:lang w:val="ru-RU"/>
        </w:rPr>
      </w:pPr>
      <w:r w:rsidRPr="00407A55">
        <w:rPr>
          <w:rFonts w:ascii="Times New Roman" w:eastAsia="Times New Roman" w:hAnsi="Times New Roman" w:cs="Times New Roman"/>
          <w:sz w:val="27"/>
          <w:szCs w:val="27"/>
          <w:lang w:val="ru-RU" w:eastAsia="ru-RU"/>
        </w:rPr>
        <w:t xml:space="preserve">Відповідно до «Програма капітального, поточного ремонту та реконструкції об'єктів житлового фонду Броварської міської територіальної громади Київської області на 2025-2029 роки» за звітний період проведено капітальний ремонт 2 -х ліфтів на загальну суму 228,20 тис. грн, </w:t>
      </w:r>
      <w:r w:rsidRPr="00407A55">
        <w:rPr>
          <w:rFonts w:ascii="Times New Roman" w:eastAsia="Times New Roman" w:hAnsi="Times New Roman" w:cs="Times New Roman"/>
          <w:sz w:val="27"/>
          <w:szCs w:val="27"/>
          <w:lang w:val="ru-RU"/>
        </w:rPr>
        <w:t>капітальний ремонт ГРЩ-0,4кВ багатоквартирного будинку по вул. Чорних Запорожців, 54, 60-А, 60-Б та по вул. Шевченка, 10А ДП"ЖИТЛО" ОП "Броварипромжитлобуд" на суму 1417,7 тис. грн.</w:t>
      </w:r>
    </w:p>
    <w:p w:rsidR="00407A55" w:rsidRPr="00407A55" w:rsidP="00407A55" w14:paraId="4700AAAF"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У звітному періоді з місцевого бюджету профінансовані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2026-2030 роки» (1 ОСББ   профінансовано на 1 382,0 тис. грн.); «Програма фінансової підтримки комунальних підприємств Броварської </w:t>
      </w:r>
      <w:r w:rsidRPr="00407A55">
        <w:rPr>
          <w:rFonts w:ascii="Times New Roman" w:eastAsia="Times New Roman" w:hAnsi="Times New Roman" w:cs="Times New Roman"/>
          <w:sz w:val="27"/>
          <w:szCs w:val="27"/>
          <w:lang w:eastAsia="ru-RU"/>
        </w:rPr>
        <w:t>міської територіальної громади на 2021-2026 роки» (профінансовано 8 711,7 тис. грн.).</w:t>
      </w:r>
    </w:p>
    <w:p w:rsidR="00407A55" w:rsidRPr="00407A55" w:rsidP="00407A55" w14:paraId="7FA0D303"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eastAsia="ru-RU"/>
        </w:rPr>
        <w:t xml:space="preserve">Протягом 2025 року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2022-2026 років». </w:t>
      </w:r>
      <w:r w:rsidRPr="00407A55">
        <w:rPr>
          <w:rFonts w:ascii="Times New Roman" w:eastAsia="Times New Roman" w:hAnsi="Times New Roman" w:cs="Times New Roman"/>
          <w:color w:val="000000"/>
          <w:sz w:val="27"/>
          <w:szCs w:val="27"/>
          <w:lang w:val="ru-RU" w:eastAsia="ru-RU"/>
        </w:rPr>
        <w:t xml:space="preserve">Відповідно до Програми на умовах співфінансування було компенсовано за 10 незалежних джерел електроенергії на суму 469,09 тис. грн. </w:t>
      </w:r>
    </w:p>
    <w:p w:rsidR="00407A55" w:rsidRPr="00407A55" w:rsidP="00407A55" w14:paraId="57CC1951"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sz w:val="27"/>
          <w:szCs w:val="27"/>
          <w:lang w:val="ru-RU" w:eastAsia="ru-RU"/>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укладено 13 ЕСКО-договорів</w:t>
      </w:r>
      <w:r w:rsidRPr="00407A55">
        <w:rPr>
          <w:rFonts w:ascii="Times New Roman" w:eastAsia="Times New Roman" w:hAnsi="Times New Roman" w:cs="Times New Roman"/>
          <w:color w:val="000000"/>
          <w:sz w:val="27"/>
          <w:szCs w:val="27"/>
          <w:lang w:val="ru-RU" w:eastAsia="ru-RU"/>
        </w:rPr>
        <w:t xml:space="preserve">.  </w:t>
      </w:r>
      <w:r w:rsidRPr="00407A55">
        <w:rPr>
          <w:rFonts w:ascii="Times New Roman" w:eastAsia="Times New Roman" w:hAnsi="Times New Roman" w:cs="Times New Roman"/>
          <w:sz w:val="27"/>
          <w:szCs w:val="27"/>
          <w:lang w:val="ru-RU" w:eastAsia="ru-RU"/>
        </w:rPr>
        <w:t xml:space="preserve">Крім того, в </w:t>
      </w:r>
      <w:r w:rsidRPr="00407A55">
        <w:rPr>
          <w:rFonts w:ascii="Times New Roman" w:eastAsia="Times New Roman" w:hAnsi="Times New Roman" w:cs="Times New Roman"/>
          <w:color w:val="000000"/>
          <w:sz w:val="27"/>
          <w:szCs w:val="27"/>
          <w:lang w:val="ru-RU" w:eastAsia="ru-RU"/>
        </w:rPr>
        <w:t xml:space="preserve">Броварському ліцеї № 2 ім. Сухомлинського та ЗДО «Капітошка» встановлено сонячні панелі. </w:t>
      </w:r>
    </w:p>
    <w:p w:rsidR="00407A55" w:rsidRPr="00407A55" w:rsidP="00407A55" w14:paraId="4BF422C0" w14:textId="77777777">
      <w:pPr>
        <w:tabs>
          <w:tab w:val="left" w:pos="6660"/>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Щодо забезпечення громади альтернативними джерелами водопостачання слід зазначити, що бюветним водопостачанням з артезіанських свердловин</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забезпечен</w:t>
      </w:r>
      <w:r w:rsidRPr="00407A55">
        <w:rPr>
          <w:rFonts w:ascii="Times New Roman" w:eastAsia="Times New Roman" w:hAnsi="Times New Roman" w:cs="Times New Roman"/>
          <w:sz w:val="27"/>
          <w:szCs w:val="27"/>
          <w:lang w:eastAsia="ru-RU"/>
        </w:rPr>
        <w:t>і</w:t>
      </w:r>
      <w:r w:rsidRPr="00407A55">
        <w:rPr>
          <w:rFonts w:ascii="Times New Roman" w:eastAsia="Times New Roman" w:hAnsi="Times New Roman" w:cs="Times New Roman"/>
          <w:sz w:val="27"/>
          <w:szCs w:val="27"/>
          <w:lang w:val="ru-RU" w:eastAsia="ru-RU"/>
        </w:rPr>
        <w:t xml:space="preserve"> м. Бровари</w:t>
      </w:r>
      <w:r w:rsidRPr="00407A55">
        <w:rPr>
          <w:rFonts w:ascii="Times New Roman" w:eastAsia="Times New Roman" w:hAnsi="Times New Roman" w:cs="Times New Roman"/>
          <w:sz w:val="27"/>
          <w:szCs w:val="27"/>
          <w:lang w:eastAsia="ru-RU"/>
        </w:rPr>
        <w:t xml:space="preserve"> - 5 одиниць, с. Требухів - 1</w:t>
      </w:r>
      <w:r w:rsidRPr="00407A55">
        <w:rPr>
          <w:rFonts w:ascii="Times New Roman" w:eastAsia="Times New Roman" w:hAnsi="Times New Roman" w:cs="Times New Roman"/>
          <w:sz w:val="27"/>
          <w:szCs w:val="27"/>
          <w:lang w:val="ru-RU" w:eastAsia="ru-RU"/>
        </w:rPr>
        <w:t>, а також на прибудинкових територіях житлових багатоквартирних будинків з метою забезпечення надійного водопостачання технічною водою населення розміщені водозабірні колонки, 46 з яких знаходяться на балансі КП «Броваритепловодоенергія».</w:t>
      </w:r>
    </w:p>
    <w:p w:rsidR="00407A55" w:rsidRPr="00407A55" w:rsidP="00407A55" w14:paraId="6FE5EFEC"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407A55">
        <w:rPr>
          <w:rFonts w:ascii="Times New Roman" w:eastAsia="Times New Roman" w:hAnsi="Times New Roman" w:cs="Times New Roman"/>
          <w:sz w:val="27"/>
          <w:szCs w:val="27"/>
          <w:vertAlign w:val="superscript"/>
          <w:lang w:eastAsia="ru-RU"/>
        </w:rPr>
        <w:t>2</w:t>
      </w:r>
      <w:r w:rsidRPr="00407A55">
        <w:rPr>
          <w:rFonts w:ascii="Times New Roman" w:eastAsia="Times New Roman" w:hAnsi="Times New Roman" w:cs="Times New Roman"/>
          <w:sz w:val="27"/>
          <w:szCs w:val="27"/>
          <w:lang w:eastAsia="ru-RU"/>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w:t>
      </w:r>
      <w:r w:rsidRPr="00407A55">
        <w:rPr>
          <w:rFonts w:ascii="Times New Roman" w:eastAsia="Times New Roman" w:hAnsi="Times New Roman" w:cs="Times New Roman"/>
          <w:sz w:val="27"/>
          <w:szCs w:val="27"/>
          <w:lang w:val="ru-RU" w:eastAsia="ru-RU"/>
        </w:rPr>
        <w:t xml:space="preserve">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407A55" w:rsidRPr="00407A55" w:rsidP="00407A55" w14:paraId="63321835"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407A55">
        <w:rPr>
          <w:rFonts w:ascii="Times New Roman" w:eastAsia="Times New Roman" w:hAnsi="Times New Roman" w:cs="Times New Roman"/>
          <w:color w:val="000000"/>
          <w:sz w:val="27"/>
          <w:szCs w:val="27"/>
          <w:lang w:val="ru-RU" w:eastAsia="ru-RU"/>
        </w:rPr>
        <w:t xml:space="preserve"> </w:t>
      </w:r>
      <w:r w:rsidRPr="00407A55">
        <w:rPr>
          <w:rFonts w:ascii="Times New Roman" w:eastAsia="Times New Roman" w:hAnsi="Times New Roman" w:cs="Times New Roman"/>
          <w:sz w:val="27"/>
          <w:szCs w:val="27"/>
          <w:lang w:val="ru-RU" w:eastAsia="ru-RU"/>
        </w:rPr>
        <w:t>утилізацією на сміттєспалювальному заводі «Енергія» в м. Київ.</w:t>
      </w:r>
    </w:p>
    <w:p w:rsidR="00407A55" w:rsidRPr="00407A55" w:rsidP="00407A55" w14:paraId="13D7A39D" w14:textId="77777777">
      <w:pPr>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407A55" w:rsidRPr="00407A55" w:rsidP="00407A55" w14:paraId="52AC8943"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val="ru-RU" w:eastAsia="ru-RU"/>
        </w:rPr>
        <w:t>Протягом року за ініціативи управління інспекції та контролю здійснено дослідження атмосферного повітря на території міста у 10 точках за 5 показниками (вуглецю оксид, азоту діоксид, ангідрид сірчистий, зважені речовини)</w:t>
      </w:r>
      <w:r w:rsidRPr="00407A55">
        <w:rPr>
          <w:rFonts w:ascii="Times New Roman" w:eastAsia="Times New Roman" w:hAnsi="Times New Roman" w:cs="Times New Roman"/>
          <w:sz w:val="27"/>
          <w:szCs w:val="27"/>
          <w:lang w:eastAsia="ru-RU"/>
        </w:rPr>
        <w:t>.</w:t>
      </w:r>
    </w:p>
    <w:p w:rsidR="00407A55" w:rsidRPr="00407A55" w:rsidP="00407A55" w14:paraId="401AB744"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Також Броварською районною філією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407A55">
        <w:rPr>
          <w:rFonts w:ascii="Times New Roman" w:eastAsia="Times New Roman" w:hAnsi="Times New Roman" w:cs="Times New Roman"/>
          <w:color w:val="000000"/>
          <w:sz w:val="27"/>
          <w:szCs w:val="27"/>
          <w:lang w:val="hr-HR" w:eastAsia="ru-RU"/>
        </w:rPr>
        <w:t> </w:t>
      </w:r>
    </w:p>
    <w:p w:rsidR="00407A55" w:rsidRPr="00407A55" w:rsidP="00407A55" w14:paraId="74B21B6F" w14:textId="77777777">
      <w:pPr>
        <w:spacing w:after="0" w:line="240" w:lineRule="auto"/>
        <w:ind w:firstLine="567"/>
        <w:jc w:val="center"/>
        <w:rPr>
          <w:rFonts w:ascii="Times New Roman" w:eastAsia="Times New Roman" w:hAnsi="Times New Roman" w:cs="Times New Roman"/>
          <w:b/>
          <w:i/>
          <w:sz w:val="27"/>
          <w:szCs w:val="27"/>
          <w:lang w:eastAsia="ru-RU"/>
        </w:rPr>
      </w:pPr>
      <w:bookmarkStart w:id="10" w:name="_Hlk188345764"/>
      <w:r w:rsidRPr="00407A55">
        <w:rPr>
          <w:rFonts w:ascii="Times New Roman" w:eastAsia="Times New Roman" w:hAnsi="Times New Roman" w:cs="Times New Roman"/>
          <w:b/>
          <w:i/>
          <w:sz w:val="27"/>
          <w:szCs w:val="27"/>
          <w:lang w:eastAsia="ru-RU"/>
        </w:rPr>
        <w:t xml:space="preserve">Надання якісних послуг з перевезення пасажирів </w:t>
      </w:r>
    </w:p>
    <w:p w:rsidR="00407A55" w:rsidRPr="00407A55" w:rsidP="00407A55" w14:paraId="6FD35F9E" w14:textId="77777777">
      <w:pPr>
        <w:spacing w:after="0" w:line="240" w:lineRule="auto"/>
        <w:ind w:firstLine="567"/>
        <w:jc w:val="center"/>
        <w:rPr>
          <w:rFonts w:ascii="Times New Roman" w:eastAsia="Times New Roman" w:hAnsi="Times New Roman" w:cs="Times New Roman"/>
          <w:b/>
          <w:i/>
          <w:sz w:val="27"/>
          <w:szCs w:val="27"/>
          <w:lang w:eastAsia="ru-RU"/>
        </w:rPr>
      </w:pPr>
      <w:r w:rsidRPr="00407A55">
        <w:rPr>
          <w:rFonts w:ascii="Times New Roman" w:eastAsia="Times New Roman" w:hAnsi="Times New Roman" w:cs="Times New Roman"/>
          <w:b/>
          <w:i/>
          <w:sz w:val="27"/>
          <w:szCs w:val="27"/>
          <w:lang w:eastAsia="ru-RU"/>
        </w:rPr>
        <w:t>та розвиток дорожнього господарства</w:t>
      </w:r>
    </w:p>
    <w:p w:rsidR="00407A55" w:rsidRPr="00407A55" w:rsidP="00407A55" w14:paraId="1B0818A0"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bookmarkStart w:id="11" w:name="_Hlk219895910"/>
      <w:bookmarkEnd w:id="10"/>
      <w:r w:rsidRPr="00407A55">
        <w:rPr>
          <w:rFonts w:ascii="Times New Roman" w:eastAsia="Times New Roman" w:hAnsi="Times New Roman" w:cs="Times New Roman"/>
          <w:sz w:val="27"/>
          <w:szCs w:val="27"/>
          <w:lang w:val="ru-RU" w:eastAsia="ru-RU"/>
        </w:rPr>
        <w:t>На території громади створена розгалужена транспортна інфраструктура.</w:t>
      </w:r>
    </w:p>
    <w:p w:rsidR="00407A55" w:rsidRPr="00407A55" w:rsidP="00407A55" w14:paraId="20A57F14"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У </w:t>
      </w:r>
      <w:r w:rsidRPr="00407A55">
        <w:rPr>
          <w:rFonts w:ascii="Times New Roman" w:eastAsia="Times New Roman" w:hAnsi="Times New Roman" w:cs="Times New Roman"/>
          <w:sz w:val="27"/>
          <w:szCs w:val="27"/>
          <w:lang w:eastAsia="ru-RU"/>
        </w:rPr>
        <w:t xml:space="preserve">І півріччі </w:t>
      </w:r>
      <w:r w:rsidRPr="00407A55">
        <w:rPr>
          <w:rFonts w:ascii="Times New Roman" w:eastAsia="Times New Roman" w:hAnsi="Times New Roman" w:cs="Times New Roman"/>
          <w:sz w:val="27"/>
          <w:szCs w:val="27"/>
          <w:lang w:val="ru-RU" w:eastAsia="ru-RU"/>
        </w:rPr>
        <w:t>202</w:t>
      </w:r>
      <w:r w:rsidRPr="00407A55">
        <w:rPr>
          <w:rFonts w:ascii="Times New Roman" w:eastAsia="Times New Roman" w:hAnsi="Times New Roman" w:cs="Times New Roman"/>
          <w:sz w:val="27"/>
          <w:szCs w:val="27"/>
          <w:lang w:eastAsia="ru-RU"/>
        </w:rPr>
        <w:t>6</w:t>
      </w:r>
      <w:r w:rsidRPr="00407A55">
        <w:rPr>
          <w:rFonts w:ascii="Times New Roman" w:eastAsia="Times New Roman" w:hAnsi="Times New Roman" w:cs="Times New Roman"/>
          <w:sz w:val="27"/>
          <w:szCs w:val="27"/>
          <w:lang w:val="ru-RU" w:eastAsia="ru-RU"/>
        </w:rPr>
        <w:t xml:space="preserve"> ро</w:t>
      </w:r>
      <w:r w:rsidRPr="00407A55">
        <w:rPr>
          <w:rFonts w:ascii="Times New Roman" w:eastAsia="Times New Roman" w:hAnsi="Times New Roman" w:cs="Times New Roman"/>
          <w:sz w:val="27"/>
          <w:szCs w:val="27"/>
          <w:lang w:eastAsia="ru-RU"/>
        </w:rPr>
        <w:t>ку</w:t>
      </w:r>
      <w:r w:rsidRPr="00407A55">
        <w:rPr>
          <w:rFonts w:ascii="Times New Roman" w:eastAsia="Times New Roman" w:hAnsi="Times New Roman" w:cs="Times New Roman"/>
          <w:sz w:val="27"/>
          <w:szCs w:val="27"/>
          <w:lang w:val="ru-RU" w:eastAsia="ru-RU"/>
        </w:rPr>
        <w:t xml:space="preserve"> приміське транспортне сполучення з містом Київ забезпечували 12 маршрутів. </w:t>
      </w:r>
    </w:p>
    <w:p w:rsidR="00407A55" w:rsidRPr="00407A55" w:rsidP="00407A55" w14:paraId="0808EAA6"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В межах громади діють 6 маршрутів (№ 2, № 3, № 5, № 9, № 10, №17).</w:t>
      </w:r>
    </w:p>
    <w:p w:rsidR="00407A55" w:rsidRPr="00407A55" w:rsidP="00407A55" w14:paraId="591EA79D"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Протягом навчального 202</w:t>
      </w:r>
      <w:r w:rsidRPr="00407A55">
        <w:rPr>
          <w:rFonts w:ascii="Times New Roman" w:eastAsia="Times New Roman" w:hAnsi="Times New Roman" w:cs="Times New Roman"/>
          <w:sz w:val="27"/>
          <w:szCs w:val="27"/>
          <w:lang w:eastAsia="ru-RU"/>
        </w:rPr>
        <w:t>5/</w:t>
      </w:r>
      <w:r w:rsidRPr="00407A55">
        <w:rPr>
          <w:rFonts w:ascii="Times New Roman" w:eastAsia="Times New Roman" w:hAnsi="Times New Roman" w:cs="Times New Roman"/>
          <w:sz w:val="27"/>
          <w:szCs w:val="27"/>
          <w:lang w:val="ru-RU" w:eastAsia="ru-RU"/>
        </w:rPr>
        <w:t>202</w:t>
      </w:r>
      <w:r w:rsidRPr="00407A55">
        <w:rPr>
          <w:rFonts w:ascii="Times New Roman" w:eastAsia="Times New Roman" w:hAnsi="Times New Roman" w:cs="Times New Roman"/>
          <w:sz w:val="27"/>
          <w:szCs w:val="27"/>
          <w:lang w:eastAsia="ru-RU"/>
        </w:rPr>
        <w:t>6</w:t>
      </w:r>
      <w:r w:rsidRPr="00407A55">
        <w:rPr>
          <w:rFonts w:ascii="Times New Roman" w:eastAsia="Times New Roman" w:hAnsi="Times New Roman" w:cs="Times New Roman"/>
          <w:sz w:val="27"/>
          <w:szCs w:val="27"/>
          <w:lang w:val="ru-RU" w:eastAsia="ru-RU"/>
        </w:rPr>
        <w:t xml:space="preserve"> років вартість проїзду для школярів становить 50% від вартості проїзду (</w:t>
      </w:r>
      <w:r w:rsidRPr="00407A55">
        <w:rPr>
          <w:rFonts w:ascii="Times New Roman" w:eastAsia="Times New Roman" w:hAnsi="Times New Roman" w:cs="Times New Roman"/>
          <w:sz w:val="27"/>
          <w:szCs w:val="27"/>
          <w:lang w:eastAsia="ru-RU"/>
        </w:rPr>
        <w:t>10</w:t>
      </w:r>
      <w:r w:rsidRPr="00407A55">
        <w:rPr>
          <w:rFonts w:ascii="Times New Roman" w:eastAsia="Times New Roman" w:hAnsi="Times New Roman" w:cs="Times New Roman"/>
          <w:sz w:val="27"/>
          <w:szCs w:val="27"/>
          <w:lang w:val="ru-RU" w:eastAsia="ru-RU"/>
        </w:rPr>
        <w:t xml:space="preserve"> грн.). </w:t>
      </w:r>
    </w:p>
    <w:p w:rsidR="00407A55" w:rsidRPr="00407A55" w:rsidP="00407A55" w14:paraId="08110C8D"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Постійно проводиться робота з перевізниками щодо покращення обслуговування пасажирів.</w:t>
      </w:r>
    </w:p>
    <w:p w:rsidR="00407A55" w:rsidRPr="00407A55" w:rsidP="00407A55" w14:paraId="111B40E3" w14:textId="77777777">
      <w:pPr>
        <w:shd w:val="clear" w:color="auto" w:fill="FFFFFF"/>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407A55" w:rsidRPr="00407A55" w:rsidP="00407A55" w14:paraId="5D94F8C3" w14:textId="77777777">
      <w:pPr>
        <w:shd w:val="clear" w:color="auto" w:fill="FFFFFF"/>
        <w:spacing w:after="0" w:line="240" w:lineRule="auto"/>
        <w:ind w:firstLine="567"/>
        <w:contextualSpacing/>
        <w:jc w:val="both"/>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sz w:val="27"/>
          <w:szCs w:val="27"/>
          <w:lang w:val="ru-RU" w:eastAsia="ru-RU"/>
        </w:rPr>
        <w:t xml:space="preserve">В рамках міської Програми «З турботою про кожного» за рахунок коштів місцевого бюджету у звітному періоді відшкодовано витрати перевізників за безкоштовне перевезення пільгових категорій населення пасажирським автомобільним транспортом на суму </w:t>
      </w:r>
      <w:r w:rsidRPr="00407A55">
        <w:rPr>
          <w:rFonts w:ascii="Times New Roman" w:eastAsia="Times New Roman" w:hAnsi="Times New Roman" w:cs="Times New Roman"/>
          <w:sz w:val="27"/>
          <w:szCs w:val="27"/>
          <w:lang w:eastAsia="ru-RU"/>
        </w:rPr>
        <w:t>2 060,76</w:t>
      </w:r>
      <w:r w:rsidRPr="00407A55">
        <w:rPr>
          <w:rFonts w:ascii="Times New Roman" w:eastAsia="Times New Roman" w:hAnsi="Times New Roman" w:cs="Times New Roman"/>
          <w:sz w:val="27"/>
          <w:szCs w:val="27"/>
          <w:lang w:val="ru-RU" w:eastAsia="ru-RU"/>
        </w:rPr>
        <w:t xml:space="preserve"> тис. грн., а також відшкодовано витрати за перевезення на пільгових умовах залізничним транспортом окремих категорій громадян на суму – </w:t>
      </w:r>
      <w:r w:rsidRPr="00407A55">
        <w:rPr>
          <w:rFonts w:ascii="Times New Roman" w:eastAsia="Times New Roman" w:hAnsi="Times New Roman" w:cs="Times New Roman"/>
          <w:sz w:val="27"/>
          <w:szCs w:val="27"/>
          <w:lang w:eastAsia="ru-RU"/>
        </w:rPr>
        <w:t>675,86</w:t>
      </w:r>
      <w:r w:rsidRPr="00407A55">
        <w:rPr>
          <w:rFonts w:ascii="Times New Roman" w:eastAsia="Times New Roman" w:hAnsi="Times New Roman" w:cs="Times New Roman"/>
          <w:sz w:val="27"/>
          <w:szCs w:val="27"/>
          <w:lang w:val="ru-RU" w:eastAsia="ru-RU"/>
        </w:rPr>
        <w:t xml:space="preserve"> тис. грн. </w:t>
      </w:r>
    </w:p>
    <w:bookmarkEnd w:id="11"/>
    <w:p w:rsidR="00407A55" w:rsidRPr="00407A55" w:rsidP="00407A55" w14:paraId="371848CD"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В громаді постійно проводиться робота щодо належного утримання доріг та інших обꞌєктів транспортної інфраструктури. У звітному періоді виконувались роботи по капітальному ремонту (додаткові роботи) проїзної частини прибудинкових територій та внутрішньоквартальних проїздів по вул. Петлюри Симона, 15, 15-А та по вул. Олімпійська, 6, 6-А.</w:t>
      </w:r>
    </w:p>
    <w:p w:rsidR="00407A55" w:rsidRPr="00407A55" w:rsidP="00407A55" w14:paraId="39ADB2E5"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Комунальним підприємством Броварської міської ради Броварського району Київської області «Бровари-Благоустрій» у звітному кварталі проводились роботи по поточному та ямковому ремонту доріг громади:</w:t>
      </w:r>
    </w:p>
    <w:p w:rsidR="00407A55" w:rsidRPr="00407A55" w:rsidP="007C499E" w14:paraId="57B4CD89"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власними силами виконано ремонт дорожнього асфальто-бетонного покриття площею 11006,5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 в тому числі в с. Княжичі - 311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 xml:space="preserve">; </w:t>
      </w:r>
    </w:p>
    <w:p w:rsidR="00407A55" w:rsidRPr="00407A55" w:rsidP="007C499E" w14:paraId="4E3DF283"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поточний та ямковий ремонт дорожнього асфальто-бетонного із залученням підрядних організацій, площею 23621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 xml:space="preserve"> на суму 35 863,97 тис. грн., в тому числі с. Княжичі 272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 xml:space="preserve"> покриття на суму 324,3 тис. грн.;</w:t>
      </w:r>
    </w:p>
    <w:p w:rsidR="00407A55" w:rsidRPr="00407A55" w:rsidP="007C499E" w14:paraId="398D5B17" w14:textId="77777777">
      <w:pPr>
        <w:autoSpaceDE w:val="0"/>
        <w:autoSpaceDN w:val="0"/>
        <w:adjustRightInd w:val="0"/>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проводяться роботи по ліквідації вибоїн та тріщин в дорожньому полотні пневмо–струменевим методом установкою «MADPATCHER», роботи виконані по вулицях: Петлюри Симона, Чорних Запорожців, Героїв України, Героїв УПА, Київська, Онікієнка Олега, Бандери Степана, бульв. Незалежності площа виконання складає –1004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 в тому числі в с. Княжичі вул. Соборна - 157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w:t>
      </w:r>
    </w:p>
    <w:p w:rsidR="00407A55" w:rsidRPr="00407A55" w:rsidP="007C499E" w14:paraId="7EEC507A" w14:textId="77777777">
      <w:pPr>
        <w:autoSpaceDE w:val="0"/>
        <w:autoSpaceDN w:val="0"/>
        <w:adjustRightInd w:val="0"/>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з червня запроваджено нові роботи по герметизації тріщин в дорожньому покритті плавильно-заливальною машиною. Роботи проведені по вул. Героїв України, Ярослава Мудрого, Грушевського Михайла, Вокзальна та шляхопровід №1, загерметизовано 570 м/п тріщин;</w:t>
      </w:r>
    </w:p>
    <w:p w:rsidR="00407A55" w:rsidRPr="00407A55" w:rsidP="007C499E" w14:paraId="4AD85154"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реконструкція транспортної розв'язки на перехресті бульв Незалежності та вул. Січових Стрільців, виконано робіт на суму 4 708,6 тис. грн., роботи продовжуються;</w:t>
      </w:r>
    </w:p>
    <w:p w:rsidR="00407A55" w:rsidRPr="00407A55" w:rsidP="007C499E" w14:paraId="67B4EAD7"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продовжується будівництво вулиці Чубинського Павла (на ділянці від вул. Київської до вул. Стефаника Василя) на суму 10 535,1 тис грн. площа виконання 5538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w:t>
      </w:r>
    </w:p>
    <w:p w:rsidR="00407A55" w:rsidRPr="00407A55" w:rsidP="007C499E" w14:paraId="22A22674"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ремонт покриття доріжок та тротуарів із фігурних елементів мощення 73,5 м</w:t>
      </w:r>
      <w:r w:rsidRPr="00407A55">
        <w:rPr>
          <w:rFonts w:ascii="Times New Roman" w:eastAsia="Times New Roman" w:hAnsi="Times New Roman" w:cs="Times New Roman"/>
          <w:sz w:val="27"/>
          <w:szCs w:val="27"/>
          <w:vertAlign w:val="superscript"/>
          <w:lang w:val="ru-RU" w:eastAsia="ru-RU"/>
        </w:rPr>
        <w:t>2</w:t>
      </w:r>
      <w:r w:rsidRPr="00407A55">
        <w:rPr>
          <w:rFonts w:ascii="Times New Roman" w:eastAsia="Times New Roman" w:hAnsi="Times New Roman" w:cs="Times New Roman"/>
          <w:sz w:val="27"/>
          <w:szCs w:val="27"/>
          <w:lang w:val="ru-RU" w:eastAsia="ru-RU"/>
        </w:rPr>
        <w:t>;</w:t>
      </w:r>
    </w:p>
    <w:p w:rsidR="00407A55" w:rsidRPr="00407A55" w:rsidP="007C499E" w14:paraId="41A9FCA5" w14:textId="77777777">
      <w:pPr>
        <w:spacing w:after="0" w:line="240" w:lineRule="auto"/>
        <w:ind w:firstLine="426"/>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 -ямковий ремонт доріг регенерованим асфальтобетоном – 459 м</w:t>
      </w:r>
      <w:r w:rsidRPr="00407A55">
        <w:rPr>
          <w:rFonts w:ascii="Times New Roman" w:eastAsia="Times New Roman" w:hAnsi="Times New Roman" w:cs="Times New Roman"/>
          <w:sz w:val="27"/>
          <w:szCs w:val="27"/>
          <w:vertAlign w:val="superscript"/>
          <w:lang w:val="ru-RU" w:eastAsia="ru-RU"/>
        </w:rPr>
        <w:t xml:space="preserve">2 </w:t>
      </w:r>
      <w:r w:rsidRPr="00407A55">
        <w:rPr>
          <w:rFonts w:ascii="Times New Roman" w:eastAsia="Times New Roman" w:hAnsi="Times New Roman" w:cs="Times New Roman"/>
          <w:sz w:val="27"/>
          <w:szCs w:val="27"/>
          <w:lang w:val="ru-RU" w:eastAsia="ru-RU"/>
        </w:rPr>
        <w:t>(в холодний період).</w:t>
      </w:r>
    </w:p>
    <w:p w:rsidR="00407A55" w:rsidRPr="00407A55" w:rsidP="00407A55" w14:paraId="314E0AE0" w14:textId="77777777">
      <w:pPr>
        <w:spacing w:after="0" w:line="240" w:lineRule="auto"/>
        <w:ind w:firstLine="567"/>
        <w:contextualSpacing/>
        <w:jc w:val="both"/>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b/>
          <w:i/>
          <w:color w:val="000000"/>
          <w:spacing w:val="-2"/>
          <w:sz w:val="27"/>
          <w:szCs w:val="27"/>
          <w:lang w:eastAsia="ru-RU"/>
        </w:rPr>
        <w:t xml:space="preserve">                                                        </w:t>
      </w:r>
    </w:p>
    <w:p w:rsidR="00407A55" w:rsidRPr="00407A55" w:rsidP="00407A55" w14:paraId="1A04116A" w14:textId="77777777">
      <w:pPr>
        <w:spacing w:after="0" w:line="240" w:lineRule="auto"/>
        <w:ind w:firstLine="567"/>
        <w:jc w:val="center"/>
        <w:rPr>
          <w:rFonts w:ascii="Times New Roman" w:eastAsia="Times New Roman" w:hAnsi="Times New Roman" w:cs="Times New Roman"/>
          <w:b/>
          <w:i/>
          <w:iCs/>
          <w:sz w:val="27"/>
          <w:szCs w:val="27"/>
          <w:lang w:eastAsia="ru-RU"/>
        </w:rPr>
      </w:pPr>
      <w:bookmarkStart w:id="12" w:name="_Hlk158104314"/>
      <w:r w:rsidRPr="00407A55">
        <w:rPr>
          <w:rFonts w:ascii="Times New Roman" w:eastAsia="Times New Roman" w:hAnsi="Times New Roman" w:cs="Times New Roman"/>
          <w:b/>
          <w:i/>
          <w:iCs/>
          <w:sz w:val="27"/>
          <w:szCs w:val="27"/>
          <w:lang w:eastAsia="ru-RU"/>
        </w:rPr>
        <w:t>Розвиток ринку праці для підвищення рівня зайнятості</w:t>
      </w:r>
    </w:p>
    <w:p w:rsidR="00407A55" w:rsidRPr="00407A55" w:rsidP="00407A55" w14:paraId="291CC169" w14:textId="77777777">
      <w:pPr>
        <w:suppressAutoHyphens/>
        <w:spacing w:after="0" w:line="240" w:lineRule="auto"/>
        <w:ind w:firstLine="567"/>
        <w:jc w:val="both"/>
        <w:rPr>
          <w:rFonts w:ascii="Times New Roman" w:eastAsia="Calibri" w:hAnsi="Times New Roman" w:cs="Times New Roman"/>
          <w:color w:val="000000"/>
          <w:sz w:val="27"/>
          <w:szCs w:val="27"/>
          <w:lang w:eastAsia="zh-CN"/>
        </w:rPr>
      </w:pPr>
      <w:r w:rsidRPr="00407A55">
        <w:rPr>
          <w:rFonts w:ascii="Times New Roman" w:eastAsia="Calibri" w:hAnsi="Times New Roman" w:cs="Times New Roman"/>
          <w:color w:val="000000"/>
          <w:sz w:val="27"/>
          <w:szCs w:val="27"/>
          <w:lang w:eastAsia="zh-CN"/>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407A55" w:rsidRPr="00407A55" w:rsidP="00407A55" w14:paraId="4F34B1EF" w14:textId="77777777">
      <w:pPr>
        <w:spacing w:after="0" w:line="240" w:lineRule="auto"/>
        <w:ind w:firstLine="567"/>
        <w:jc w:val="both"/>
        <w:rPr>
          <w:rFonts w:ascii="Times New Roman" w:eastAsia="Times New Roman" w:hAnsi="Times New Roman" w:cs="Times New Roman"/>
          <w:bCs/>
          <w:sz w:val="27"/>
          <w:szCs w:val="27"/>
          <w:lang w:eastAsia="ru-RU"/>
        </w:rPr>
      </w:pPr>
      <w:r w:rsidRPr="00407A55">
        <w:rPr>
          <w:rFonts w:ascii="Times New Roman" w:eastAsia="Times New Roman" w:hAnsi="Times New Roman" w:cs="Times New Roman"/>
          <w:bCs/>
          <w:sz w:val="27"/>
          <w:szCs w:val="27"/>
          <w:lang w:eastAsia="ru-RU"/>
        </w:rPr>
        <w:t xml:space="preserve">Станом на 01.07.2026 у Броварській філії Київського обласного центру зайнятості (далі – Філія) перебувало на обліку з числа безробітних 230 осіб  громади, з них 197 осіб (85,7%) - жінки, 50 осіб (21,7%)  - молодь у віці до 35 років, 51 особа (22,2%) ВПО, 2 особи (1%)  - учасники бойових дій. </w:t>
      </w:r>
    </w:p>
    <w:p w:rsidR="00407A55" w:rsidRPr="00407A55" w:rsidP="00407A55" w14:paraId="339B0108" w14:textId="77777777">
      <w:pPr>
        <w:suppressAutoHyphens/>
        <w:spacing w:after="0" w:line="240" w:lineRule="auto"/>
        <w:ind w:firstLine="567"/>
        <w:jc w:val="both"/>
        <w:rPr>
          <w:rFonts w:ascii="Times New Roman" w:eastAsia="Calibri" w:hAnsi="Times New Roman" w:cs="Times New Roman"/>
          <w:color w:val="000000"/>
          <w:sz w:val="27"/>
          <w:szCs w:val="27"/>
          <w:lang w:eastAsia="zh-CN"/>
        </w:rPr>
      </w:pPr>
      <w:r w:rsidRPr="00407A55">
        <w:rPr>
          <w:rFonts w:ascii="Times New Roman" w:eastAsia="Calibri" w:hAnsi="Times New Roman" w:cs="Times New Roman"/>
          <w:color w:val="000000"/>
          <w:sz w:val="27"/>
          <w:szCs w:val="27"/>
          <w:lang w:eastAsia="zh-CN"/>
        </w:rPr>
        <w:t>У звітному періоді за сприянням Філії на вільні та новостворені робочі місця працевлаштовано 196 мешканців громади, в тому числі 43 особи ВПО.</w:t>
      </w:r>
    </w:p>
    <w:p w:rsidR="00407A55" w:rsidRPr="00407A55" w:rsidP="00407A55" w14:paraId="5C835643" w14:textId="77777777">
      <w:pPr>
        <w:spacing w:after="0" w:line="240" w:lineRule="auto"/>
        <w:ind w:firstLine="567"/>
        <w:jc w:val="both"/>
        <w:rPr>
          <w:rFonts w:ascii="Times New Roman" w:eastAsia="Times New Roman" w:hAnsi="Times New Roman" w:cs="Times New Roman"/>
          <w:bCs/>
          <w:iCs/>
          <w:sz w:val="27"/>
          <w:szCs w:val="27"/>
          <w:lang w:eastAsia="ru-RU"/>
        </w:rPr>
      </w:pPr>
      <w:r w:rsidRPr="00407A55">
        <w:rPr>
          <w:rFonts w:ascii="Times New Roman" w:eastAsia="Times New Roman" w:hAnsi="Times New Roman" w:cs="Times New Roman"/>
          <w:bCs/>
          <w:iCs/>
          <w:sz w:val="27"/>
          <w:szCs w:val="27"/>
          <w:lang w:eastAsia="ru-RU"/>
        </w:rPr>
        <w:t xml:space="preserve">Загальна кількість вакансій, які зареєстровані від роботодавців регіону складала 1890 одиниць, з них 504 вакансій укомплектовано за сприянням Філії. </w:t>
      </w:r>
    </w:p>
    <w:p w:rsidR="00407A55" w:rsidRPr="00407A55" w:rsidP="00407A55" w14:paraId="4B2EC0B1" w14:textId="77777777">
      <w:pPr>
        <w:suppressAutoHyphens/>
        <w:spacing w:after="0" w:line="240" w:lineRule="auto"/>
        <w:ind w:firstLine="567"/>
        <w:jc w:val="center"/>
        <w:rPr>
          <w:rFonts w:ascii="Times New Roman" w:eastAsia="Calibri" w:hAnsi="Times New Roman" w:cs="Times New Roman"/>
          <w:b/>
          <w:bCs/>
          <w:color w:val="000000"/>
          <w:sz w:val="27"/>
          <w:szCs w:val="27"/>
          <w:lang w:eastAsia="zh-CN"/>
        </w:rPr>
      </w:pPr>
    </w:p>
    <w:p w:rsidR="00407A55" w:rsidRPr="00407A55" w:rsidP="00407A55" w14:paraId="5BA32B27" w14:textId="77777777">
      <w:pPr>
        <w:suppressAutoHyphens/>
        <w:spacing w:after="0" w:line="240" w:lineRule="auto"/>
        <w:ind w:firstLine="567"/>
        <w:jc w:val="center"/>
        <w:rPr>
          <w:rFonts w:ascii="Times New Roman" w:eastAsia="Calibri" w:hAnsi="Times New Roman" w:cs="Times New Roman"/>
          <w:b/>
          <w:bCs/>
          <w:color w:val="000000"/>
          <w:sz w:val="27"/>
          <w:szCs w:val="27"/>
          <w:lang w:eastAsia="zh-CN"/>
        </w:rPr>
      </w:pPr>
      <w:r w:rsidRPr="00407A55">
        <w:rPr>
          <w:rFonts w:ascii="Times New Roman" w:eastAsia="Calibri" w:hAnsi="Times New Roman" w:cs="Times New Roman"/>
          <w:b/>
          <w:bCs/>
          <w:color w:val="000000"/>
          <w:sz w:val="27"/>
          <w:szCs w:val="27"/>
          <w:lang w:eastAsia="zh-CN"/>
        </w:rPr>
        <w:t>Показники центру зайнятості, (осіб)</w:t>
      </w:r>
    </w:p>
    <w:p w:rsidR="00407A55" w:rsidRPr="00407A55" w:rsidP="00407A55" w14:paraId="1DBB63BE" w14:textId="006C5573">
      <w:pPr>
        <w:suppressAutoHyphens/>
        <w:spacing w:after="0" w:line="240" w:lineRule="auto"/>
        <w:ind w:firstLine="567"/>
        <w:jc w:val="center"/>
        <w:rPr>
          <w:rFonts w:ascii="Times New Roman" w:eastAsia="Calibri" w:hAnsi="Times New Roman" w:cs="Times New Roman"/>
          <w:noProof/>
          <w:sz w:val="27"/>
          <w:szCs w:val="27"/>
          <w:lang w:eastAsia="zh-CN"/>
        </w:rPr>
      </w:pPr>
      <w:r w:rsidRPr="00407A55">
        <w:rPr>
          <w:rFonts w:ascii="Times New Roman" w:eastAsia="Calibri" w:hAnsi="Times New Roman" w:cs="Times New Roman"/>
          <w:noProof/>
          <w:sz w:val="27"/>
          <w:szCs w:val="27"/>
          <w:lang w:eastAsia="zh-CN"/>
        </w:rPr>
        <w:drawing>
          <wp:inline distT="0" distB="0" distL="0" distR="0">
            <wp:extent cx="5636260" cy="2576195"/>
            <wp:effectExtent l="0" t="0" r="2540" b="1460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7A55" w:rsidRPr="00407A55" w:rsidP="00407A55" w14:paraId="38EE2B11" w14:textId="77777777">
      <w:pPr>
        <w:suppressAutoHyphens/>
        <w:spacing w:after="0" w:line="240" w:lineRule="auto"/>
        <w:ind w:firstLine="567"/>
        <w:jc w:val="both"/>
        <w:rPr>
          <w:rFonts w:ascii="Times New Roman" w:eastAsia="Calibri" w:hAnsi="Times New Roman" w:cs="Times New Roman"/>
          <w:color w:val="000000"/>
          <w:sz w:val="27"/>
          <w:szCs w:val="27"/>
          <w:lang w:eastAsia="zh-CN"/>
        </w:rPr>
      </w:pPr>
      <w:r w:rsidRPr="00407A55">
        <w:rPr>
          <w:rFonts w:ascii="Times New Roman" w:eastAsia="Calibri" w:hAnsi="Times New Roman" w:cs="Times New Roman"/>
          <w:color w:val="000000"/>
          <w:sz w:val="27"/>
          <w:szCs w:val="27"/>
          <w:lang w:eastAsia="zh-CN"/>
        </w:rPr>
        <w:t>В оплачуваних громадських роботах, інших тимчасових роботах та в суспільно корисних роботах приймали участь 208 осіб, в тому числі 100 ВПО.</w:t>
      </w:r>
    </w:p>
    <w:p w:rsidR="00407A55" w:rsidRPr="00407A55" w:rsidP="00407A55" w14:paraId="23F70A1D" w14:textId="77777777">
      <w:pPr>
        <w:spacing w:after="0" w:line="240" w:lineRule="auto"/>
        <w:ind w:firstLine="567"/>
        <w:jc w:val="both"/>
        <w:rPr>
          <w:rFonts w:ascii="Times New Roman" w:eastAsia="Times New Roman" w:hAnsi="Times New Roman" w:cs="Times New Roman"/>
          <w:bCs/>
          <w:iCs/>
          <w:color w:val="000000"/>
          <w:sz w:val="27"/>
          <w:szCs w:val="27"/>
          <w:lang w:eastAsia="ru-RU"/>
        </w:rPr>
      </w:pPr>
      <w:r w:rsidRPr="00407A55">
        <w:rPr>
          <w:rFonts w:ascii="Times New Roman" w:eastAsia="Times New Roman" w:hAnsi="Times New Roman" w:cs="Times New Roman"/>
          <w:bCs/>
          <w:iCs/>
          <w:color w:val="000000"/>
          <w:sz w:val="27"/>
          <w:szCs w:val="27"/>
          <w:lang w:eastAsia="ru-RU"/>
        </w:rPr>
        <w:t>У І півріччі 26 мешканців громади та  учасників бойових дій / їх дружини  отримали мікрогранти на створення або розвиток власного бізнесу.</w:t>
      </w:r>
    </w:p>
    <w:p w:rsidR="00407A55" w:rsidRPr="00407A55" w:rsidP="00407A55" w14:paraId="574BB354" w14:textId="7699D4B0">
      <w:pPr>
        <w:spacing w:after="0" w:line="240" w:lineRule="auto"/>
        <w:ind w:firstLine="567"/>
        <w:jc w:val="both"/>
        <w:rPr>
          <w:rFonts w:ascii="Times New Roman" w:eastAsia="Times New Roman" w:hAnsi="Times New Roman" w:cs="Times New Roman"/>
          <w:bCs/>
          <w:iCs/>
          <w:sz w:val="27"/>
          <w:szCs w:val="27"/>
          <w:lang w:eastAsia="ru-RU"/>
        </w:rPr>
      </w:pPr>
      <w:r w:rsidRPr="00407A55">
        <w:rPr>
          <w:rFonts w:ascii="Times New Roman" w:eastAsia="Times New Roman" w:hAnsi="Times New Roman" w:cs="Times New Roman"/>
          <w:noProof/>
          <w:sz w:val="27"/>
          <w:szCs w:val="27"/>
          <w:lang w:eastAsia="ru-RU"/>
        </w:rPr>
        <w:drawing>
          <wp:inline distT="0" distB="0" distL="0" distR="0">
            <wp:extent cx="5667375" cy="3267075"/>
            <wp:effectExtent l="19050" t="38100" r="9525" b="4762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07A55" w:rsidRPr="00407A55" w:rsidP="00407A55" w14:paraId="0E2B9195" w14:textId="77777777">
      <w:pPr>
        <w:spacing w:after="0" w:line="240" w:lineRule="auto"/>
        <w:ind w:firstLine="567"/>
        <w:jc w:val="both"/>
        <w:rPr>
          <w:rFonts w:ascii="Times New Roman" w:eastAsia="Times New Roman" w:hAnsi="Times New Roman" w:cs="Times New Roman"/>
          <w:bCs/>
          <w:sz w:val="27"/>
          <w:szCs w:val="27"/>
          <w:lang w:eastAsia="ru-RU"/>
        </w:rPr>
      </w:pPr>
      <w:r w:rsidRPr="00407A55">
        <w:rPr>
          <w:rFonts w:ascii="Times New Roman" w:eastAsia="Times New Roman" w:hAnsi="Times New Roman" w:cs="Times New Roman"/>
          <w:bCs/>
          <w:sz w:val="27"/>
          <w:szCs w:val="27"/>
          <w:lang w:eastAsia="ru-RU"/>
        </w:rPr>
        <w:t>Протягом  звітного періоду центром зайнятості було проведено 195 профінформаційних та профконсультаційних групових та масових заходів для населення та роботодавців, в тому числі: 11 – ярмарки вакансій, міні-ярмарки та презентації роботодавців; 50 семінарів та тренінгів за різною тематикою; 134 – робочих зустрічей.</w:t>
      </w:r>
    </w:p>
    <w:bookmarkEnd w:id="12"/>
    <w:p w:rsidR="00407A55" w:rsidRPr="00407A55" w:rsidP="00407A55" w14:paraId="387CC278" w14:textId="77777777">
      <w:pPr>
        <w:shd w:val="clear" w:color="auto" w:fill="FFFFFF"/>
        <w:tabs>
          <w:tab w:val="left" w:pos="6662"/>
        </w:tabs>
        <w:spacing w:after="0" w:line="240" w:lineRule="auto"/>
        <w:ind w:firstLine="567"/>
        <w:jc w:val="center"/>
        <w:rPr>
          <w:rFonts w:ascii="Times New Roman" w:eastAsia="Times New Roman" w:hAnsi="Times New Roman" w:cs="Times New Roman"/>
          <w:b/>
          <w:i/>
          <w:color w:val="000000"/>
          <w:spacing w:val="-2"/>
          <w:sz w:val="27"/>
          <w:szCs w:val="27"/>
          <w:lang w:eastAsia="ru-RU"/>
        </w:rPr>
      </w:pPr>
    </w:p>
    <w:p w:rsidR="00407A55" w:rsidRPr="00407A55" w:rsidP="00407A55" w14:paraId="253D380F" w14:textId="77777777">
      <w:pPr>
        <w:shd w:val="clear" w:color="auto" w:fill="FFFFFF"/>
        <w:tabs>
          <w:tab w:val="left" w:pos="6662"/>
        </w:tabs>
        <w:spacing w:after="0" w:line="240" w:lineRule="auto"/>
        <w:ind w:firstLine="567"/>
        <w:jc w:val="center"/>
        <w:rPr>
          <w:rFonts w:ascii="Times New Roman" w:eastAsia="Times New Roman" w:hAnsi="Times New Roman" w:cs="Times New Roman"/>
          <w:b/>
          <w:i/>
          <w:sz w:val="27"/>
          <w:szCs w:val="27"/>
          <w:lang w:eastAsia="ru-RU"/>
        </w:rPr>
      </w:pPr>
      <w:r w:rsidRPr="00407A55">
        <w:rPr>
          <w:rFonts w:ascii="Times New Roman" w:eastAsia="Times New Roman" w:hAnsi="Times New Roman" w:cs="Times New Roman"/>
          <w:b/>
          <w:i/>
          <w:color w:val="000000"/>
          <w:spacing w:val="-2"/>
          <w:sz w:val="27"/>
          <w:szCs w:val="27"/>
          <w:lang w:eastAsia="ru-RU"/>
        </w:rPr>
        <w:t xml:space="preserve">Удосконалення системи </w:t>
      </w:r>
      <w:r w:rsidRPr="00407A55">
        <w:rPr>
          <w:rFonts w:ascii="Times New Roman" w:eastAsia="Times New Roman" w:hAnsi="Times New Roman" w:cs="Times New Roman"/>
          <w:b/>
          <w:bCs/>
          <w:i/>
          <w:sz w:val="27"/>
          <w:szCs w:val="27"/>
          <w:lang w:eastAsia="ru-RU"/>
        </w:rPr>
        <w:t>надання а</w:t>
      </w:r>
      <w:r w:rsidRPr="00407A55">
        <w:rPr>
          <w:rFonts w:ascii="Times New Roman" w:eastAsia="Times New Roman" w:hAnsi="Times New Roman" w:cs="Times New Roman"/>
          <w:b/>
          <w:i/>
          <w:sz w:val="27"/>
          <w:szCs w:val="27"/>
          <w:lang w:eastAsia="ru-RU"/>
        </w:rPr>
        <w:t>дміністративних послуг</w:t>
      </w:r>
    </w:p>
    <w:p w:rsidR="00407A55" w:rsidRPr="00407A55" w:rsidP="00407A55" w14:paraId="389C4F59"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Метою діяльності Центру обслуговування «Прозорий офіс» (далі – Центр) є спрощення та оптимізація процесу отримання адміністративних послуг, підвищення якості та доступності таких послуг, забезпечення прозорості та відкритості діяльності органів влади, зменшення бюрократичних перешкод та корупційних ризиків, ведення єдиної автоматизованої системи електронного документообігу та контролю за дотриманням вимог законодавства у сфері документообігу та законів України «Про звернення громадян» та «Про доступ до публічної інформації».</w:t>
      </w:r>
    </w:p>
    <w:p w:rsidR="00407A55" w:rsidRPr="00407A55" w:rsidP="00407A55" w14:paraId="5F9CD023"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Кількість послуг, що надаються в ЦНАП, (одиниць)</w:t>
      </w:r>
    </w:p>
    <w:p w:rsidR="00407A55" w:rsidRPr="00407A55" w:rsidP="00407A55" w14:paraId="1DE9C182" w14:textId="2F6D9CF0">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629275" cy="2305050"/>
            <wp:effectExtent l="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07A55" w:rsidRPr="00407A55" w:rsidP="00407A55" w14:paraId="2BB15632"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Більшість адміністративних послуг, які надаються через Центр є безкоштовними, тільки за отримання 18 послуг стягується адміністративний збір, надходження від якого у І півріччі 2026 року становить 1 692,0 тис. грн.</w:t>
      </w:r>
    </w:p>
    <w:p w:rsidR="00407A55" w:rsidRPr="00407A55" w:rsidP="00407A55" w14:paraId="4D4477F5"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У</w:t>
      </w:r>
      <w:r w:rsidRPr="00407A55">
        <w:rPr>
          <w:rFonts w:ascii="Times New Roman" w:eastAsia="Times New Roman" w:hAnsi="Times New Roman" w:cs="Times New Roman"/>
          <w:sz w:val="27"/>
          <w:szCs w:val="27"/>
          <w:lang w:val="ru-RU" w:eastAsia="ru-RU"/>
        </w:rPr>
        <w:t xml:space="preserve"> І піврічч</w:t>
      </w:r>
      <w:r w:rsidRPr="00407A55">
        <w:rPr>
          <w:rFonts w:ascii="Times New Roman" w:eastAsia="Times New Roman" w:hAnsi="Times New Roman" w:cs="Times New Roman"/>
          <w:sz w:val="27"/>
          <w:szCs w:val="27"/>
          <w:lang w:eastAsia="ru-RU"/>
        </w:rPr>
        <w:t>і</w:t>
      </w:r>
      <w:r w:rsidRPr="00407A55">
        <w:rPr>
          <w:rFonts w:ascii="Times New Roman" w:eastAsia="Times New Roman" w:hAnsi="Times New Roman" w:cs="Times New Roman"/>
          <w:sz w:val="27"/>
          <w:szCs w:val="27"/>
          <w:lang w:val="ru-RU" w:eastAsia="ru-RU"/>
        </w:rPr>
        <w:t xml:space="preserve"> 2026 року </w:t>
      </w:r>
      <w:r w:rsidRPr="00407A55">
        <w:rPr>
          <w:rFonts w:ascii="Times New Roman" w:eastAsia="Times New Roman" w:hAnsi="Times New Roman" w:cs="Times New Roman"/>
          <w:sz w:val="27"/>
          <w:szCs w:val="27"/>
          <w:lang w:eastAsia="ru-RU"/>
        </w:rPr>
        <w:t xml:space="preserve">до Центру надійшло 29 447 документів, що </w:t>
      </w:r>
      <w:r w:rsidRPr="00407A55">
        <w:rPr>
          <w:rFonts w:ascii="Times New Roman" w:eastAsia="Times New Roman" w:hAnsi="Times New Roman" w:cs="Times New Roman"/>
          <w:sz w:val="27"/>
          <w:szCs w:val="27"/>
          <w:lang w:val="ru-RU" w:eastAsia="ru-RU"/>
        </w:rPr>
        <w:t xml:space="preserve">на 3 988 </w:t>
      </w:r>
      <w:r w:rsidRPr="00407A55">
        <w:rPr>
          <w:rFonts w:ascii="Times New Roman" w:eastAsia="Times New Roman" w:hAnsi="Times New Roman" w:cs="Times New Roman"/>
          <w:sz w:val="27"/>
          <w:szCs w:val="27"/>
          <w:lang w:eastAsia="ru-RU"/>
        </w:rPr>
        <w:t>звернень більше ніж у відповідному періоді 2025 року</w:t>
      </w:r>
      <w:r w:rsidRPr="00407A55">
        <w:rPr>
          <w:rFonts w:ascii="Times New Roman" w:eastAsia="Times New Roman" w:hAnsi="Times New Roman" w:cs="Times New Roman"/>
          <w:sz w:val="27"/>
          <w:szCs w:val="27"/>
          <w:lang w:val="ru-RU" w:eastAsia="ru-RU"/>
        </w:rPr>
        <w:t xml:space="preserve"> (16%)</w:t>
      </w:r>
      <w:r w:rsidRPr="00407A55">
        <w:rPr>
          <w:rFonts w:ascii="Times New Roman" w:eastAsia="Times New Roman" w:hAnsi="Times New Roman" w:cs="Times New Roman"/>
          <w:sz w:val="27"/>
          <w:szCs w:val="27"/>
          <w:lang w:eastAsia="ru-RU"/>
        </w:rPr>
        <w:t xml:space="preserve">. </w:t>
      </w:r>
      <w:r w:rsidRPr="00407A55">
        <w:rPr>
          <w:rFonts w:ascii="Times New Roman" w:eastAsia="Times New Roman" w:hAnsi="Times New Roman" w:cs="Times New Roman"/>
          <w:sz w:val="27"/>
          <w:szCs w:val="27"/>
          <w:lang w:val="ru-RU" w:eastAsia="ru-RU"/>
        </w:rPr>
        <w:t>Найбільше до Центру зверталися з питання декларування та реєстрації місця проживання фізичних осіб –</w:t>
      </w:r>
      <w:r w:rsidRPr="00407A55">
        <w:rPr>
          <w:rFonts w:ascii="Times New Roman" w:eastAsia="Times New Roman" w:hAnsi="Times New Roman" w:cs="Times New Roman"/>
          <w:sz w:val="27"/>
          <w:szCs w:val="27"/>
          <w:lang w:eastAsia="ru-RU"/>
        </w:rPr>
        <w:t xml:space="preserve"> 12 933</w:t>
      </w:r>
      <w:r w:rsidRPr="00407A55">
        <w:rPr>
          <w:rFonts w:ascii="Times New Roman" w:eastAsia="Times New Roman" w:hAnsi="Times New Roman" w:cs="Times New Roman"/>
          <w:sz w:val="27"/>
          <w:szCs w:val="27"/>
          <w:lang w:val="ru-RU" w:eastAsia="ru-RU"/>
        </w:rPr>
        <w:t xml:space="preserve"> (4</w:t>
      </w:r>
      <w:r w:rsidRPr="00407A55">
        <w:rPr>
          <w:rFonts w:ascii="Times New Roman" w:eastAsia="Times New Roman" w:hAnsi="Times New Roman" w:cs="Times New Roman"/>
          <w:sz w:val="27"/>
          <w:szCs w:val="27"/>
          <w:lang w:eastAsia="ru-RU"/>
        </w:rPr>
        <w:t>3,9</w:t>
      </w:r>
      <w:r w:rsidRPr="00407A55">
        <w:rPr>
          <w:rFonts w:ascii="Times New Roman" w:eastAsia="Times New Roman" w:hAnsi="Times New Roman" w:cs="Times New Roman"/>
          <w:sz w:val="27"/>
          <w:szCs w:val="27"/>
          <w:lang w:val="ru-RU" w:eastAsia="ru-RU"/>
        </w:rPr>
        <w:t>%).</w:t>
      </w:r>
    </w:p>
    <w:p w:rsidR="00407A55" w:rsidRPr="00407A55" w:rsidP="00407A55" w14:paraId="56BAC9E5" w14:textId="50DDF08C">
      <w:pPr>
        <w:autoSpaceDE w:val="0"/>
        <w:autoSpaceDN w:val="0"/>
        <w:adjustRightInd w:val="0"/>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Times New Roman" w:hAnsi="Times New Roman" w:cs="Times New Roman"/>
          <w:noProof/>
          <w:sz w:val="27"/>
          <w:szCs w:val="27"/>
          <w:lang w:val="ru-RU" w:eastAsia="ru-RU"/>
        </w:rPr>
        <w:drawing>
          <wp:inline distT="0" distB="0" distL="0" distR="0">
            <wp:extent cx="5671820" cy="3046095"/>
            <wp:effectExtent l="0" t="0" r="5080" b="190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07A55" w:rsidRPr="00407A55" w:rsidP="00407A55" w14:paraId="56E03281" w14:textId="77777777">
      <w:pPr>
        <w:autoSpaceDE w:val="0"/>
        <w:autoSpaceDN w:val="0"/>
        <w:adjustRightInd w:val="0"/>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 xml:space="preserve">В Центрі обслуговування «Прозорий офіс» та на віддалених робочих місцях в населених пунктах Княжичі та Требухів проводиться моніторинг якості надання адміністративних послуг, розміщені </w:t>
      </w:r>
      <w:r w:rsidRPr="00407A55">
        <w:rPr>
          <w:rFonts w:ascii="Times New Roman" w:eastAsia="Calibri" w:hAnsi="Times New Roman" w:cs="Times New Roman"/>
          <w:sz w:val="27"/>
          <w:szCs w:val="27"/>
          <w:lang w:val="ru-RU" w:eastAsia="en-US"/>
        </w:rPr>
        <w:t>QR</w:t>
      </w:r>
      <w:r w:rsidRPr="00407A55">
        <w:rPr>
          <w:rFonts w:ascii="Times New Roman" w:eastAsia="Calibri" w:hAnsi="Times New Roman" w:cs="Times New Roman"/>
          <w:sz w:val="27"/>
          <w:szCs w:val="27"/>
          <w:lang w:eastAsia="en-US"/>
        </w:rPr>
        <w:t xml:space="preserve">-коди на форми-опитувальники (анкети) з питаннями щодо оцінки рівня задоволеності суб’єктів звернення якістю надання адміністративних послуг. </w:t>
      </w:r>
    </w:p>
    <w:p w:rsidR="00407A55" w:rsidRPr="00407A55" w:rsidP="00407A55" w14:paraId="71FE504F"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val="ru-RU" w:eastAsia="ru-RU"/>
        </w:rPr>
        <w:t xml:space="preserve">Одним з найважливіших напрямків роботи Центру є питання соціального захисту ветеранів війни та членів їх сімей. Саме для цього при Центрі працює «Єдине вікно для ветеранів», роботу якого забезпечують фахівці управління з питань ветеранської політики Броварської міської ради. За звітний період </w:t>
      </w:r>
      <w:r w:rsidRPr="00407A55">
        <w:rPr>
          <w:rFonts w:ascii="Times New Roman" w:eastAsia="Times New Roman" w:hAnsi="Times New Roman" w:cs="Times New Roman"/>
          <w:sz w:val="27"/>
          <w:szCs w:val="27"/>
          <w:lang w:eastAsia="ru-RU"/>
        </w:rPr>
        <w:t>фахівцями управління з питань ветеранської політики</w:t>
      </w:r>
      <w:r w:rsidRPr="00407A55">
        <w:rPr>
          <w:rFonts w:ascii="Times New Roman" w:eastAsia="Times New Roman" w:hAnsi="Times New Roman" w:cs="Times New Roman"/>
          <w:sz w:val="27"/>
          <w:szCs w:val="27"/>
        </w:rPr>
        <w:t xml:space="preserve"> зареєстровано 589 звернень від ветеранів та членів їх сімей, у сфері соціального захисту та підтримки - 1675.</w:t>
      </w:r>
    </w:p>
    <w:p w:rsidR="00407A55" w:rsidRPr="00407A55" w:rsidP="00407A55" w14:paraId="445BD18C"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Приміщення Центру та віддалені робочі місця його структурних підрозділів, які, для зручності мешканців, розташовані в старостинських округах громади, облаштовані відповідно до потреб суб’єктів звернення. </w:t>
      </w:r>
    </w:p>
    <w:p w:rsidR="00407A55" w:rsidRPr="00407A55" w:rsidP="00407A55" w14:paraId="1182C29A"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Так, у секторі прийому та інформування приміщень Центру, знаходяться зручні зони очікування, облаштовані дитячі куточки. </w:t>
      </w:r>
    </w:p>
    <w:p w:rsidR="00407A55" w:rsidRPr="00407A55" w:rsidP="00407A55" w14:paraId="60704025"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 xml:space="preserve">Запроваджена електронна черга, (здійснюється запис на прийом через IBOX з видачею талонів). Крім того система дозволяє записуватися в чергу через інтернет, без попереднього відвідування Центру. </w:t>
      </w:r>
    </w:p>
    <w:p w:rsidR="00407A55" w:rsidRPr="00407A55" w:rsidP="00407A55" w14:paraId="4D59C01B"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lang w:eastAsia="ru-RU"/>
        </w:rPr>
        <w:t>У звітному періоді впроваджено</w:t>
      </w:r>
      <w:r w:rsidRPr="00407A55">
        <w:rPr>
          <w:rFonts w:ascii="Times New Roman" w:eastAsia="Times New Roman" w:hAnsi="Times New Roman" w:cs="Times New Roman"/>
          <w:sz w:val="27"/>
          <w:szCs w:val="27"/>
        </w:rPr>
        <w:t xml:space="preserve"> електронну чергу для отримання соціальних послуг та послуг «єдиного вікна» для ветеранів, що дозволило рівномірно розподілити навантаження на адміністраторів. Відсутність скупчень людей у залах створює комфортні умови як для відвідувачів так і для персоналу. Суб’єкти </w:t>
      </w:r>
      <w:r w:rsidRPr="00407A55">
        <w:rPr>
          <w:rFonts w:ascii="Times New Roman" w:eastAsia="Times New Roman" w:hAnsi="Times New Roman" w:cs="Times New Roman"/>
          <w:sz w:val="27"/>
          <w:szCs w:val="27"/>
        </w:rPr>
        <w:t>самостійно обирають час отримання послуги та мають можливість спланувати прийом.</w:t>
      </w:r>
    </w:p>
    <w:p w:rsidR="00407A55" w:rsidRPr="00407A55" w:rsidP="00407A55" w14:paraId="072B9E89"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На рецепції Центру, його відокремлених структурних підрозділах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 У відокремлених структурних підрозділах Центру запроваджено тактильні системи (маркування для людей з вадами зору) для навігації в просторі (таблички з назвами структурних підрозділів та графіків роботи) та контрастне маркування (жовті смуги, стрічки), що виділяє перешкоди та важливі елементи, допомагаючи людям з порушеннями зору орієнтуватися, знаходити потрібне та забезпечуючи безпеку.</w:t>
      </w:r>
    </w:p>
    <w:p w:rsidR="00407A55" w:rsidRPr="00407A55" w:rsidP="00407A55" w14:paraId="2F6D8F44"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Оплату за надання адміністративних послуг відвідувачі також можуть здійснити безпосередньо через термінал самообслуговування, що розташований у приміщеннях Центру, як в готівковій формі так і карткою будь-якого банку.</w:t>
      </w:r>
    </w:p>
    <w:p w:rsidR="00407A55" w:rsidRPr="00407A55" w:rsidP="00407A55" w14:paraId="191DDE99"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в Центрі запроваджено прийом громадян нотаріусами Броварського округу для надання консультацій. </w:t>
      </w:r>
    </w:p>
    <w:p w:rsidR="00407A55" w:rsidRPr="00407A55" w:rsidP="00407A55" w14:paraId="29F16495"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За звітний період, за рахунок коштів міського бюджету повністю оновлено 7 робочих місць адміністраторів (встановлено нові комп’ютери та багатофункціональні пристрої), що дозволило значно скоротити час обслуговування суб’єктів звернень, відповідно, зменшено час очікування у черзі.</w:t>
      </w:r>
    </w:p>
    <w:p w:rsidR="00407A55" w:rsidRPr="00407A55" w:rsidP="00407A55" w14:paraId="2CAC692B" w14:textId="77777777">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Також, у звітному періоді було проведено роботи з благоустрою вхідної групи відділу документування та оформлення паспортів громадянина України.</w:t>
      </w:r>
    </w:p>
    <w:p w:rsidR="00407A55" w:rsidRPr="00407A55" w:rsidP="00407A55" w14:paraId="6D4B6392" w14:textId="77777777">
      <w:pPr>
        <w:autoSpaceDE w:val="0"/>
        <w:autoSpaceDN w:val="0"/>
        <w:adjustRightInd w:val="0"/>
        <w:spacing w:after="0" w:line="240" w:lineRule="auto"/>
        <w:ind w:firstLine="567"/>
        <w:jc w:val="both"/>
        <w:rPr>
          <w:rFonts w:ascii="Times New Roman" w:eastAsia="Calibri" w:hAnsi="Times New Roman" w:cs="Times New Roman"/>
          <w:sz w:val="27"/>
          <w:szCs w:val="27"/>
          <w:lang w:val="ru-RU" w:eastAsia="en-US"/>
        </w:rPr>
      </w:pPr>
      <w:r w:rsidRPr="00407A55">
        <w:rPr>
          <w:rFonts w:ascii="Times New Roman" w:eastAsia="Calibri" w:hAnsi="Times New Roman" w:cs="Times New Roman"/>
          <w:sz w:val="27"/>
          <w:szCs w:val="27"/>
          <w:lang w:val="ru-RU" w:eastAsia="en-US"/>
        </w:rPr>
        <w:t>У 202</w:t>
      </w:r>
      <w:r w:rsidRPr="00407A55">
        <w:rPr>
          <w:rFonts w:ascii="Times New Roman" w:eastAsia="Calibri" w:hAnsi="Times New Roman" w:cs="Times New Roman"/>
          <w:sz w:val="27"/>
          <w:szCs w:val="27"/>
          <w:lang w:eastAsia="en-US"/>
        </w:rPr>
        <w:t>6</w:t>
      </w:r>
      <w:r w:rsidRPr="00407A55">
        <w:rPr>
          <w:rFonts w:ascii="Times New Roman" w:eastAsia="Calibri" w:hAnsi="Times New Roman" w:cs="Times New Roman"/>
          <w:sz w:val="27"/>
          <w:szCs w:val="27"/>
          <w:lang w:val="ru-RU" w:eastAsia="en-US"/>
        </w:rPr>
        <w:t xml:space="preserve"> році у Центрі продовжу</w:t>
      </w:r>
      <w:r w:rsidRPr="00407A55">
        <w:rPr>
          <w:rFonts w:ascii="Times New Roman" w:eastAsia="Calibri" w:hAnsi="Times New Roman" w:cs="Times New Roman"/>
          <w:sz w:val="27"/>
          <w:szCs w:val="27"/>
          <w:lang w:eastAsia="en-US"/>
        </w:rPr>
        <w:t>є</w:t>
      </w:r>
      <w:r w:rsidRPr="00407A55">
        <w:rPr>
          <w:rFonts w:ascii="Times New Roman" w:eastAsia="Calibri" w:hAnsi="Times New Roman" w:cs="Times New Roman"/>
          <w:sz w:val="27"/>
          <w:szCs w:val="27"/>
          <w:lang w:val="ru-RU" w:eastAsia="en-US"/>
        </w:rPr>
        <w:t xml:space="preserve"> працювати Центр рекрутингу української армії.</w:t>
      </w:r>
    </w:p>
    <w:p w:rsidR="00407A55" w:rsidRPr="00407A55" w:rsidP="00407A55" w14:paraId="0037C6CA" w14:textId="77777777">
      <w:pPr>
        <w:shd w:val="clear" w:color="auto" w:fill="FFFFFF"/>
        <w:tabs>
          <w:tab w:val="left" w:pos="6662"/>
        </w:tabs>
        <w:spacing w:after="0" w:line="240" w:lineRule="auto"/>
        <w:ind w:firstLine="567"/>
        <w:jc w:val="center"/>
        <w:rPr>
          <w:rFonts w:ascii="Times New Roman" w:eastAsia="Times New Roman" w:hAnsi="Times New Roman" w:cs="Times New Roman"/>
          <w:b/>
          <w:i/>
          <w:sz w:val="27"/>
          <w:szCs w:val="27"/>
          <w:lang w:val="ru-RU" w:eastAsia="ru-RU"/>
        </w:rPr>
      </w:pPr>
    </w:p>
    <w:p w:rsidR="00407A55" w:rsidRPr="00407A55" w:rsidP="00407A55" w14:paraId="76D1D27A" w14:textId="77777777">
      <w:pPr>
        <w:tabs>
          <w:tab w:val="left" w:pos="284"/>
        </w:tabs>
        <w:spacing w:after="0" w:line="240" w:lineRule="auto"/>
        <w:ind w:firstLine="567"/>
        <w:jc w:val="center"/>
        <w:rPr>
          <w:rFonts w:ascii="Times New Roman" w:eastAsia="Calibri" w:hAnsi="Times New Roman" w:cs="Times New Roman"/>
          <w:b/>
          <w:i/>
          <w:iCs/>
          <w:sz w:val="27"/>
          <w:szCs w:val="27"/>
          <w:lang w:eastAsia="en-US"/>
        </w:rPr>
      </w:pPr>
      <w:r w:rsidRPr="00407A55">
        <w:rPr>
          <w:rFonts w:ascii="Times New Roman" w:eastAsia="Calibri" w:hAnsi="Times New Roman" w:cs="Times New Roman"/>
          <w:b/>
          <w:i/>
          <w:iCs/>
          <w:sz w:val="27"/>
          <w:szCs w:val="27"/>
          <w:lang w:eastAsia="en-US"/>
        </w:rPr>
        <w:t>Розвиток сільськогосподарського виробництва</w:t>
      </w:r>
    </w:p>
    <w:p w:rsidR="00407A55" w:rsidRPr="00407A55" w:rsidP="00407A55" w14:paraId="6A847AC5" w14:textId="77777777">
      <w:pPr>
        <w:spacing w:after="0" w:line="240" w:lineRule="auto"/>
        <w:ind w:right="140" w:firstLine="567"/>
        <w:contextualSpacing/>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 території Броварської міської територіальної громади в селах Княжичі та Требухів працюють </w:t>
      </w:r>
      <w:r w:rsidRPr="00407A55">
        <w:rPr>
          <w:rFonts w:ascii="Times New Roman" w:eastAsia="Times New Roman" w:hAnsi="Times New Roman" w:cs="Times New Roman"/>
          <w:iCs/>
          <w:sz w:val="27"/>
          <w:szCs w:val="27"/>
          <w:lang w:eastAsia="ru-RU"/>
        </w:rPr>
        <w:t>чотири суб’єкти господарювання</w:t>
      </w:r>
      <w:r w:rsidRPr="00407A55">
        <w:rPr>
          <w:rFonts w:ascii="Times New Roman" w:eastAsia="Times New Roman" w:hAnsi="Times New Roman" w:cs="Times New Roman"/>
          <w:sz w:val="27"/>
          <w:szCs w:val="27"/>
          <w:lang w:eastAsia="ru-RU"/>
        </w:rPr>
        <w:t>, пріоритетами розвитку яких є рослинництво.</w:t>
      </w:r>
    </w:p>
    <w:p w:rsidR="00407A55" w:rsidRPr="00407A55" w:rsidP="00407A55" w14:paraId="7766C7BB" w14:textId="77777777">
      <w:pPr>
        <w:spacing w:after="0" w:line="240" w:lineRule="auto"/>
        <w:ind w:right="140" w:firstLine="567"/>
        <w:contextualSpacing/>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Посіяно сільськогосподарських культур в громаді (га)</w:t>
      </w:r>
    </w:p>
    <w:p w:rsidR="00407A55" w:rsidRPr="00407A55" w:rsidP="00407A55" w14:paraId="3D094DEA" w14:textId="3F316529">
      <w:pPr>
        <w:spacing w:after="0" w:line="240" w:lineRule="auto"/>
        <w:ind w:right="140"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noProof/>
          <w:sz w:val="27"/>
          <w:szCs w:val="27"/>
          <w:lang w:val="ru-RU" w:eastAsia="ru-RU"/>
        </w:rPr>
        <w:drawing>
          <wp:inline distT="0" distB="0" distL="0" distR="0">
            <wp:extent cx="5619750" cy="25146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07A55" w:rsidRPr="00407A55" w:rsidP="00407A55" w14:paraId="28FEE2F3" w14:textId="77777777">
      <w:pPr>
        <w:tabs>
          <w:tab w:val="left" w:pos="9356"/>
        </w:tabs>
        <w:spacing w:after="0" w:line="240" w:lineRule="auto"/>
        <w:ind w:right="140" w:firstLine="567"/>
        <w:contextualSpacing/>
        <w:jc w:val="both"/>
        <w:rPr>
          <w:rFonts w:ascii="Times New Roman" w:eastAsia="Times New Roman" w:hAnsi="Times New Roman" w:cs="Times New Roman"/>
          <w:sz w:val="27"/>
          <w:szCs w:val="27"/>
          <w:lang w:eastAsia="ru-RU"/>
        </w:rPr>
      </w:pPr>
    </w:p>
    <w:p w:rsidR="00407A55" w:rsidRPr="00407A55" w:rsidP="00407A55" w14:paraId="55554F0E" w14:textId="77777777">
      <w:pPr>
        <w:tabs>
          <w:tab w:val="left" w:pos="9356"/>
        </w:tabs>
        <w:spacing w:after="0" w:line="240" w:lineRule="auto"/>
        <w:ind w:right="140"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eastAsia="ru-RU"/>
        </w:rPr>
        <w:t>В</w:t>
      </w:r>
      <w:r w:rsidRPr="00407A55">
        <w:rPr>
          <w:rFonts w:ascii="Times New Roman" w:eastAsia="Times New Roman" w:hAnsi="Times New Roman" w:cs="Times New Roman"/>
          <w:sz w:val="27"/>
          <w:szCs w:val="27"/>
          <w:lang w:val="ru-RU" w:eastAsia="ru-RU"/>
        </w:rPr>
        <w:t xml:space="preserve"> селах громади </w:t>
      </w:r>
      <w:r w:rsidRPr="00407A55">
        <w:rPr>
          <w:rFonts w:ascii="Times New Roman" w:eastAsia="Times New Roman" w:hAnsi="Times New Roman" w:cs="Times New Roman"/>
          <w:sz w:val="27"/>
          <w:szCs w:val="27"/>
          <w:lang w:eastAsia="ru-RU"/>
        </w:rPr>
        <w:t xml:space="preserve">в 1 півріччі 2026 року було посіяно 710 га </w:t>
      </w:r>
      <w:r w:rsidRPr="00407A55">
        <w:rPr>
          <w:rFonts w:ascii="Times New Roman" w:eastAsia="Times New Roman" w:hAnsi="Times New Roman" w:cs="Times New Roman"/>
          <w:sz w:val="27"/>
          <w:szCs w:val="27"/>
          <w:lang w:val="ru-RU" w:eastAsia="ru-RU"/>
        </w:rPr>
        <w:t>кукурудзи</w:t>
      </w:r>
      <w:r w:rsidRPr="00407A55">
        <w:rPr>
          <w:rFonts w:ascii="Times New Roman" w:eastAsia="Times New Roman" w:hAnsi="Times New Roman" w:cs="Times New Roman"/>
          <w:sz w:val="27"/>
          <w:szCs w:val="27"/>
          <w:lang w:eastAsia="ru-RU"/>
        </w:rPr>
        <w:t xml:space="preserve"> на зерно,</w:t>
      </w:r>
      <w:r w:rsidRPr="00407A55">
        <w:rPr>
          <w:rFonts w:ascii="Times New Roman" w:eastAsia="Times New Roman" w:hAnsi="Times New Roman" w:cs="Times New Roman"/>
          <w:sz w:val="27"/>
          <w:szCs w:val="27"/>
          <w:lang w:val="ru-RU" w:eastAsia="ru-RU"/>
        </w:rPr>
        <w:t xml:space="preserve">  </w:t>
      </w:r>
      <w:r w:rsidRPr="00407A55">
        <w:rPr>
          <w:rFonts w:ascii="Times New Roman" w:eastAsia="Times New Roman" w:hAnsi="Times New Roman" w:cs="Times New Roman"/>
          <w:sz w:val="27"/>
          <w:szCs w:val="27"/>
          <w:lang w:eastAsia="ru-RU"/>
        </w:rPr>
        <w:t>522</w:t>
      </w:r>
      <w:r w:rsidRPr="00407A55">
        <w:rPr>
          <w:rFonts w:ascii="Times New Roman" w:eastAsia="Times New Roman" w:hAnsi="Times New Roman" w:cs="Times New Roman"/>
          <w:sz w:val="27"/>
          <w:szCs w:val="27"/>
          <w:lang w:val="ru-RU" w:eastAsia="ru-RU"/>
        </w:rPr>
        <w:t xml:space="preserve"> га соняшнику</w:t>
      </w:r>
      <w:r w:rsidRPr="00407A55">
        <w:rPr>
          <w:rFonts w:ascii="Times New Roman" w:eastAsia="Times New Roman" w:hAnsi="Times New Roman" w:cs="Times New Roman"/>
          <w:sz w:val="27"/>
          <w:szCs w:val="27"/>
          <w:lang w:eastAsia="ru-RU"/>
        </w:rPr>
        <w:t xml:space="preserve">, 338 га ріпаку. </w:t>
      </w:r>
      <w:r w:rsidRPr="00407A55">
        <w:rPr>
          <w:rFonts w:ascii="Times New Roman" w:eastAsia="Times New Roman" w:hAnsi="Times New Roman" w:cs="Times New Roman"/>
          <w:sz w:val="27"/>
          <w:szCs w:val="27"/>
          <w:lang w:val="ru-RU" w:eastAsia="ru-RU"/>
        </w:rPr>
        <w:t xml:space="preserve">Зібрано врожаю </w:t>
      </w:r>
      <w:r w:rsidRPr="00407A55">
        <w:rPr>
          <w:rFonts w:ascii="Times New Roman" w:eastAsia="Times New Roman" w:hAnsi="Times New Roman" w:cs="Times New Roman"/>
          <w:sz w:val="27"/>
          <w:szCs w:val="27"/>
          <w:lang w:eastAsia="ru-RU"/>
        </w:rPr>
        <w:t>338 га ріпаку.</w:t>
      </w:r>
    </w:p>
    <w:p w:rsidR="00407A55" w:rsidRPr="00407A55" w:rsidP="00407A55" w14:paraId="44C6B091" w14:textId="77777777">
      <w:pPr>
        <w:spacing w:after="0" w:line="240" w:lineRule="auto"/>
        <w:ind w:firstLine="567"/>
        <w:rPr>
          <w:rFonts w:ascii="Times New Roman" w:eastAsia="Times New Roman" w:hAnsi="Times New Roman" w:cs="Times New Roman"/>
          <w:sz w:val="27"/>
          <w:szCs w:val="27"/>
          <w:lang w:val="ru-RU" w:eastAsia="ru-RU"/>
        </w:rPr>
      </w:pPr>
    </w:p>
    <w:p w:rsidR="00407A55" w:rsidRPr="00407A55" w:rsidP="00407A55" w14:paraId="15707468" w14:textId="77777777">
      <w:pPr>
        <w:tabs>
          <w:tab w:val="left" w:pos="284"/>
        </w:tabs>
        <w:spacing w:after="0" w:line="240" w:lineRule="auto"/>
        <w:ind w:firstLine="567"/>
        <w:jc w:val="center"/>
        <w:rPr>
          <w:rFonts w:ascii="Times New Roman" w:eastAsia="Times New Roman" w:hAnsi="Times New Roman" w:cs="Times New Roman"/>
          <w:b/>
          <w:i/>
          <w:iCs/>
          <w:color w:val="000000"/>
          <w:sz w:val="27"/>
          <w:szCs w:val="27"/>
          <w:lang w:eastAsia="ru-RU"/>
        </w:rPr>
      </w:pPr>
      <w:r w:rsidRPr="00407A55">
        <w:rPr>
          <w:rFonts w:ascii="Times New Roman" w:eastAsia="Times New Roman" w:hAnsi="Times New Roman" w:cs="Times New Roman"/>
          <w:b/>
          <w:i/>
          <w:iCs/>
          <w:color w:val="000000"/>
          <w:sz w:val="27"/>
          <w:szCs w:val="27"/>
          <w:lang w:eastAsia="ru-RU"/>
        </w:rPr>
        <w:t>Розвиток промислового потенціалу</w:t>
      </w:r>
    </w:p>
    <w:p w:rsidR="00407A55" w:rsidP="00407A55" w14:paraId="162E896F" w14:textId="4B50E44A">
      <w:pPr>
        <w:spacing w:after="0" w:line="240" w:lineRule="auto"/>
        <w:ind w:right="-1"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shd w:val="clear" w:color="auto" w:fill="FFFFFF"/>
          <w:lang w:eastAsia="ru-RU"/>
        </w:rPr>
        <w:t xml:space="preserve">Провідною галуззю економіки громади є промисловість. </w:t>
      </w:r>
      <w:r w:rsidRPr="00407A55">
        <w:rPr>
          <w:rFonts w:ascii="Times New Roman" w:eastAsia="Times New Roman" w:hAnsi="Times New Roman" w:cs="Times New Roman"/>
          <w:color w:val="000000"/>
          <w:sz w:val="27"/>
          <w:szCs w:val="27"/>
          <w:lang w:eastAsia="ru-RU"/>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з деревини, машинобудуванням, текстильним виробництвом, виробництвом одягу, виробництвом іншої неметалевої мінеральної продукції, </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виробництвом основних фармацевтичних продуктів і фармацевтичних препаратів, виробництвом хімічних речовин і хімічної продукції.</w:t>
      </w:r>
    </w:p>
    <w:p w:rsidR="00407A55" w:rsidRPr="00407A55" w:rsidP="00407A55" w14:paraId="7952D727" w14:textId="77777777">
      <w:pPr>
        <w:spacing w:after="0" w:line="240" w:lineRule="auto"/>
        <w:ind w:right="-1" w:firstLine="567"/>
        <w:jc w:val="both"/>
        <w:rPr>
          <w:rFonts w:ascii="Times New Roman" w:eastAsia="Times New Roman" w:hAnsi="Times New Roman" w:cs="Times New Roman"/>
          <w:color w:val="000000"/>
          <w:sz w:val="27"/>
          <w:szCs w:val="27"/>
          <w:lang w:eastAsia="ru-RU"/>
        </w:rPr>
      </w:pPr>
    </w:p>
    <w:p w:rsidR="00407A55" w:rsidRPr="00407A55" w:rsidP="00407A55" w14:paraId="125B1E06" w14:textId="40C591DE">
      <w:pPr>
        <w:spacing w:after="0" w:line="240" w:lineRule="auto"/>
        <w:ind w:right="-1" w:firstLine="567"/>
        <w:jc w:val="both"/>
        <w:rPr>
          <w:rFonts w:ascii="Times New Roman" w:eastAsia="Times New Roman" w:hAnsi="Times New Roman" w:cs="Times New Roman"/>
          <w:color w:val="000000"/>
          <w:sz w:val="27"/>
          <w:szCs w:val="27"/>
          <w:shd w:val="clear" w:color="auto" w:fill="FFFFFF"/>
          <w:lang w:eastAsia="ru-RU"/>
        </w:rPr>
      </w:pPr>
      <w:r w:rsidRPr="00407A55">
        <w:rPr>
          <w:rFonts w:ascii="Times New Roman" w:eastAsia="Times New Roman" w:hAnsi="Times New Roman" w:cs="Times New Roman"/>
          <w:noProof/>
          <w:sz w:val="27"/>
          <w:szCs w:val="27"/>
          <w:lang w:val="ru-RU" w:eastAsia="ru-RU"/>
        </w:rPr>
        <w:drawing>
          <wp:inline distT="0" distB="0" distL="0" distR="0">
            <wp:extent cx="5684520" cy="3216275"/>
            <wp:effectExtent l="0" t="0" r="11430" b="317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07A55" w:rsidRPr="00407A55" w:rsidP="00407A55" w14:paraId="4C9B9695" w14:textId="77777777">
      <w:pPr>
        <w:spacing w:after="0" w:line="240" w:lineRule="auto"/>
        <w:ind w:right="-1" w:firstLine="567"/>
        <w:jc w:val="both"/>
        <w:rPr>
          <w:rFonts w:ascii="Times New Roman" w:eastAsia="Times New Roman" w:hAnsi="Times New Roman" w:cs="Times New Roman"/>
          <w:color w:val="000000"/>
          <w:sz w:val="27"/>
          <w:szCs w:val="27"/>
          <w:shd w:val="clear" w:color="auto" w:fill="FFFFFF"/>
          <w:lang w:eastAsia="ru-RU"/>
        </w:rPr>
      </w:pPr>
      <w:r w:rsidRPr="00407A55">
        <w:rPr>
          <w:rFonts w:ascii="Times New Roman" w:eastAsia="Times New Roman" w:hAnsi="Times New Roman" w:cs="Times New Roman"/>
          <w:color w:val="000000"/>
          <w:sz w:val="27"/>
          <w:szCs w:val="27"/>
          <w:shd w:val="clear" w:color="auto" w:fill="FFFFFF"/>
          <w:lang w:eastAsia="ru-RU"/>
        </w:rPr>
        <w:t xml:space="preserve"> </w:t>
      </w:r>
    </w:p>
    <w:p w:rsidR="00407A55" w:rsidRPr="00407A55" w:rsidP="00407A55" w14:paraId="07ECBA22" w14:textId="77777777">
      <w:pPr>
        <w:spacing w:after="0" w:line="240" w:lineRule="auto"/>
        <w:ind w:right="-1"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color w:val="000000"/>
          <w:sz w:val="27"/>
          <w:szCs w:val="27"/>
          <w:shd w:val="clear" w:color="auto" w:fill="FFFFFF"/>
          <w:lang w:eastAsia="ru-RU"/>
        </w:rPr>
        <w:t xml:space="preserve">За </w:t>
      </w:r>
      <w:bookmarkStart w:id="13" w:name="_Hlk188344818"/>
      <w:r w:rsidRPr="00407A55">
        <w:rPr>
          <w:rFonts w:ascii="Times New Roman" w:eastAsia="Times New Roman" w:hAnsi="Times New Roman" w:cs="Times New Roman"/>
          <w:color w:val="000000"/>
          <w:sz w:val="27"/>
          <w:szCs w:val="27"/>
          <w:shd w:val="clear" w:color="auto" w:fill="FFFFFF"/>
          <w:lang w:eastAsia="ru-RU"/>
        </w:rPr>
        <w:t xml:space="preserve">даними моніторингу діяльності промислових підприємств спостерігається </w:t>
      </w:r>
      <w:r w:rsidRPr="00407A55">
        <w:rPr>
          <w:rFonts w:ascii="Times New Roman" w:eastAsia="Times New Roman" w:hAnsi="Times New Roman" w:cs="Times New Roman"/>
          <w:sz w:val="27"/>
          <w:szCs w:val="27"/>
          <w:lang w:eastAsia="ru-RU"/>
        </w:rPr>
        <w:t>збільшення обсягів виробництва промислової продукції у діючих цінах в порівнянні з  відповідним періодом 2025 року.</w:t>
      </w:r>
    </w:p>
    <w:p w:rsidR="00407A55" w:rsidP="00407A55" w14:paraId="0DBE583C"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243F2D61"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2E188483"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0E10A9F3"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339689E4"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5151B4FB"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73E026C7"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2225E515"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6F253C1E"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P="00407A55" w14:paraId="0A2DAB7A" w14:textId="77777777">
      <w:pPr>
        <w:spacing w:after="0" w:line="240" w:lineRule="auto"/>
        <w:ind w:right="-1" w:firstLine="567"/>
        <w:jc w:val="center"/>
        <w:rPr>
          <w:rFonts w:ascii="Times New Roman" w:eastAsia="Times New Roman" w:hAnsi="Times New Roman" w:cs="Times New Roman"/>
          <w:b/>
          <w:bCs/>
          <w:i/>
          <w:iCs/>
          <w:color w:val="000000"/>
          <w:sz w:val="27"/>
          <w:szCs w:val="27"/>
          <w:lang w:eastAsia="ru-RU"/>
        </w:rPr>
      </w:pPr>
    </w:p>
    <w:p w:rsidR="00407A55" w:rsidRPr="00407A55" w:rsidP="00407A55" w14:paraId="1FAD6253" w14:textId="02802C3C">
      <w:pPr>
        <w:spacing w:after="0" w:line="240" w:lineRule="auto"/>
        <w:ind w:right="-1" w:firstLine="567"/>
        <w:jc w:val="center"/>
        <w:rPr>
          <w:rFonts w:ascii="Times New Roman" w:eastAsia="Times New Roman" w:hAnsi="Times New Roman" w:cs="Times New Roman"/>
          <w:b/>
          <w:bCs/>
          <w:i/>
          <w:iCs/>
          <w:color w:val="000000"/>
          <w:sz w:val="27"/>
          <w:szCs w:val="27"/>
          <w:lang w:eastAsia="ru-RU"/>
        </w:rPr>
      </w:pPr>
      <w:r w:rsidRPr="00407A55">
        <w:rPr>
          <w:rFonts w:ascii="Times New Roman" w:eastAsia="Times New Roman" w:hAnsi="Times New Roman" w:cs="Times New Roman"/>
          <w:b/>
          <w:bCs/>
          <w:i/>
          <w:iCs/>
          <w:color w:val="000000"/>
          <w:sz w:val="27"/>
          <w:szCs w:val="27"/>
          <w:lang w:eastAsia="ru-RU"/>
        </w:rPr>
        <w:t>Структура обсягів реалізованої промислової продукції за видами діяльності у І півріччі 2026 року, %</w:t>
      </w:r>
    </w:p>
    <w:p w:rsidR="00407A55" w:rsidRPr="00407A55" w:rsidP="00407A55" w14:paraId="59A1D7ED" w14:textId="78539E54">
      <w:pPr>
        <w:spacing w:after="0" w:line="240" w:lineRule="auto"/>
        <w:ind w:right="-1"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color w:val="000000"/>
          <w:sz w:val="27"/>
          <w:szCs w:val="27"/>
          <w:shd w:val="clear" w:color="auto" w:fill="FFFFFF"/>
          <w:lang w:val="ru-RU" w:eastAsia="ru-RU"/>
        </w:rPr>
        <w:drawing>
          <wp:inline distT="0" distB="0" distL="0" distR="0">
            <wp:extent cx="5682615" cy="3266440"/>
            <wp:effectExtent l="38100" t="0" r="13335" b="1016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07A55" w:rsidRPr="00407A55" w:rsidP="00407A55" w14:paraId="30E58DC5" w14:textId="77777777">
      <w:pPr>
        <w:spacing w:after="0" w:line="240" w:lineRule="auto"/>
        <w:ind w:right="-1"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Найбільшими за обсягами виробництва промислової продукції є ТОВ «Спецбудмаш», ТОВ «Орієнтир-буделемент», </w:t>
      </w:r>
      <w:r w:rsidRPr="00407A55">
        <w:rPr>
          <w:rFonts w:ascii="Times New Roman" w:eastAsia="Times New Roman" w:hAnsi="Times New Roman" w:cs="Times New Roman"/>
          <w:color w:val="000000"/>
          <w:sz w:val="27"/>
          <w:szCs w:val="27"/>
          <w:lang w:eastAsia="ru-RU"/>
        </w:rPr>
        <w:t>ТОВ «Київгума», ТОВ «Київський Пекарний Дім»</w:t>
      </w:r>
      <w:r w:rsidRPr="00407A55">
        <w:rPr>
          <w:rFonts w:ascii="Times New Roman" w:eastAsia="Times New Roman" w:hAnsi="Times New Roman" w:cs="Times New Roman"/>
          <w:sz w:val="27"/>
          <w:szCs w:val="27"/>
          <w:lang w:eastAsia="ru-RU"/>
        </w:rPr>
        <w:t xml:space="preserve">. </w:t>
      </w:r>
    </w:p>
    <w:p w:rsidR="00407A55" w:rsidRPr="00407A55" w:rsidP="00407A55" w14:paraId="717C7CE7"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Незважаючи на виклики, які постали перед промисловцями у зв’язку з повномасштабною війною в країні (внаслідок бойових дій часткових пошкоджень зазнали 22 промислових підприємства, які розташовані на території громади),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407A55" w:rsidRPr="00407A55" w:rsidP="00407A55" w14:paraId="4FD0AEEA"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ТОВ «Спецбудмаш» - спеціалізується на виробництві комунальної, спеціальної, будівельної та дорожньої техніки і запасних частин до неї.   Продовжує випуск продукції і розробку перспективних моделей устаткування. Здійснює розробку як  новітнього інноваційного обладнання так і підвищує ефективність вже існуючого обладнання за допомогою новітніх технічних рішень.</w:t>
      </w:r>
    </w:p>
    <w:p w:rsidR="00407A55" w:rsidRPr="00407A55" w:rsidP="00407A55" w14:paraId="13D330BC"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sz w:val="27"/>
          <w:szCs w:val="27"/>
          <w:lang w:eastAsia="ru-RU"/>
        </w:rPr>
        <w:t>ТОВ «Політехносервіс» - здійснює створення продукції для міського електричного транспорту вітчизняного виробництва на рівні найкращих європейських зразків, а саме тролейбусів, тролейбусів з автономним ходом, електробусів з максимальною локалізацією вітчизняних комплектуючих.</w:t>
      </w:r>
    </w:p>
    <w:p w:rsidR="00407A55" w:rsidRPr="00407A55" w:rsidP="00407A55" w14:paraId="28015B17"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ТОВ «Орієнтир-буделемент» - найпотужніший виробник автоклавного газобетону в Європі. </w:t>
      </w:r>
      <w:r w:rsidRPr="00407A55">
        <w:rPr>
          <w:rFonts w:ascii="Times New Roman" w:eastAsia="Times New Roman" w:hAnsi="Times New Roman" w:cs="Times New Roman"/>
          <w:color w:val="000000"/>
          <w:sz w:val="27"/>
          <w:szCs w:val="27"/>
          <w:lang w:val="ru-RU" w:eastAsia="ru-RU"/>
        </w:rPr>
        <w:t>Середня добова потужність виробництва лінії з виготовлення газобетонних блоків ТМ Стоунлайт становить понад 4150 м</w:t>
      </w:r>
      <w:r w:rsidRPr="00407A55">
        <w:rPr>
          <w:rFonts w:ascii="Times New Roman" w:eastAsia="Times New Roman" w:hAnsi="Times New Roman" w:cs="Times New Roman"/>
          <w:color w:val="000000"/>
          <w:sz w:val="27"/>
          <w:szCs w:val="27"/>
          <w:vertAlign w:val="superscript"/>
          <w:lang w:val="ru-RU" w:eastAsia="ru-RU"/>
        </w:rPr>
        <w:t>2</w:t>
      </w:r>
      <w:r w:rsidRPr="00407A55">
        <w:rPr>
          <w:rFonts w:ascii="Times New Roman" w:eastAsia="Times New Roman" w:hAnsi="Times New Roman" w:cs="Times New Roman"/>
          <w:color w:val="000000"/>
          <w:sz w:val="27"/>
          <w:szCs w:val="27"/>
          <w:lang w:val="ru-RU" w:eastAsia="ru-RU"/>
        </w:rPr>
        <w:t xml:space="preserve">.  </w:t>
      </w:r>
      <w:r w:rsidRPr="00407A55">
        <w:rPr>
          <w:rFonts w:ascii="Times New Roman" w:eastAsia="Times New Roman" w:hAnsi="Times New Roman" w:cs="Times New Roman"/>
          <w:color w:val="000000"/>
          <w:sz w:val="27"/>
          <w:szCs w:val="27"/>
          <w:lang w:eastAsia="ru-RU"/>
        </w:rPr>
        <w:t>Це стало можливим завдяки постійній модернізації виробництва, використанню власних унікальних запатентованих розробок та впровадженню передових світових технологій.</w:t>
      </w:r>
      <w:r w:rsidRPr="00407A55">
        <w:rPr>
          <w:rFonts w:ascii="Times New Roman" w:eastAsia="Times New Roman" w:hAnsi="Times New Roman" w:cs="Times New Roman"/>
          <w:color w:val="000000"/>
          <w:sz w:val="27"/>
          <w:szCs w:val="27"/>
          <w:shd w:val="clear" w:color="auto" w:fill="FFFFFF"/>
          <w:lang w:val="ru-RU" w:eastAsia="ru-RU"/>
        </w:rPr>
        <w:t xml:space="preserve"> </w:t>
      </w:r>
    </w:p>
    <w:p w:rsidR="00407A55" w:rsidRPr="00407A55" w:rsidP="00407A55" w14:paraId="57103D12"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ТОВ «Київгума» - лідер ринку України з виробництва виробів з гуми, латексу, ПВХ, ТЕП і силікону. В</w:t>
      </w:r>
      <w:r w:rsidRPr="00407A55">
        <w:rPr>
          <w:rFonts w:ascii="Times New Roman" w:eastAsia="Times New Roman" w:hAnsi="Times New Roman" w:cs="Times New Roman"/>
          <w:color w:val="000000"/>
          <w:sz w:val="27"/>
          <w:szCs w:val="27"/>
          <w:lang w:val="ru-RU" w:eastAsia="ru-RU"/>
        </w:rPr>
        <w:t>иробляє більше 4 тис. найменувань продукції для всіх галузей народног</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ru-RU" w:eastAsia="ru-RU"/>
        </w:rPr>
        <w:t>о господарства.</w:t>
      </w:r>
      <w:r w:rsidRPr="00407A55">
        <w:rPr>
          <w:rFonts w:ascii="Times New Roman" w:eastAsia="Times New Roman" w:hAnsi="Times New Roman" w:cs="Times New Roman"/>
          <w:color w:val="000000"/>
          <w:sz w:val="27"/>
          <w:szCs w:val="27"/>
          <w:lang w:eastAsia="ru-RU"/>
        </w:rPr>
        <w:t xml:space="preserve"> Щомісяця освоює виробництво понад 30-ти нових неформових виробів (ущільнювачів), які використовуються в різних галузях </w:t>
      </w:r>
      <w:r w:rsidRPr="00407A55">
        <w:rPr>
          <w:rFonts w:ascii="Times New Roman" w:eastAsia="Times New Roman" w:hAnsi="Times New Roman" w:cs="Times New Roman"/>
          <w:color w:val="000000"/>
          <w:sz w:val="27"/>
          <w:szCs w:val="27"/>
          <w:lang w:eastAsia="ru-RU"/>
        </w:rPr>
        <w:t xml:space="preserve">промисловості: будівництві, сільському господарстві, автомобільній промисловості, побуті і т.д. Продукція підприємства постачається в усі регіони України та понад 30 країн світу. </w:t>
      </w:r>
    </w:p>
    <w:p w:rsidR="00407A55" w:rsidRPr="00407A55" w:rsidP="00407A55" w14:paraId="2503D2D4"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У І півріччі 2026 року ТОВ «Київгума» розпочало виробництво ущільнювачів для сонячних електростанцій та розширило лінію виробництва засобів захисту (гумових рукавичок).</w:t>
      </w:r>
    </w:p>
    <w:p w:rsidR="00407A55" w:rsidRPr="00407A55" w:rsidP="00407A55" w14:paraId="1EBBC916"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ТОВ «Німецько-українська науково-виробнича фірма «Бровафарма» розробила </w:t>
      </w:r>
      <w:r w:rsidRPr="00407A55">
        <w:rPr>
          <w:rFonts w:ascii="Times New Roman" w:eastAsia="Times New Roman" w:hAnsi="Times New Roman" w:cs="Times New Roman"/>
          <w:color w:val="000000"/>
          <w:sz w:val="27"/>
          <w:szCs w:val="27"/>
          <w:lang w:val="ru-RU" w:eastAsia="ru-RU"/>
        </w:rPr>
        <w:t>сучасні краплі для зниження тривожності та профілактики стресу у собак і котів.</w:t>
      </w:r>
      <w:r w:rsidRPr="00407A55">
        <w:rPr>
          <w:rFonts w:ascii="Times New Roman" w:eastAsia="Times New Roman" w:hAnsi="Times New Roman" w:cs="Times New Roman"/>
          <w:color w:val="666666"/>
          <w:sz w:val="27"/>
          <w:szCs w:val="27"/>
          <w:lang w:val="ru-RU" w:eastAsia="ru-RU"/>
        </w:rPr>
        <w:t> </w:t>
      </w:r>
    </w:p>
    <w:p w:rsidR="00407A55" w:rsidRPr="00407A55" w:rsidP="00407A55" w14:paraId="251E2211" w14:textId="77777777">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ДП «Зееландія» спільно з БО «Перспектива 21.3» та «Пекарня 21.3» у співпраці з </w:t>
      </w:r>
      <w:r w:rsidRPr="00407A55">
        <w:rPr>
          <w:rFonts w:ascii="Times New Roman" w:eastAsia="Times New Roman" w:hAnsi="Times New Roman" w:cs="Times New Roman"/>
          <w:color w:val="000000"/>
          <w:sz w:val="27"/>
          <w:szCs w:val="27"/>
          <w:lang w:val="ru-RU" w:eastAsia="ru-RU"/>
        </w:rPr>
        <w:t>Kom</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ru-RU" w:eastAsia="ru-RU"/>
        </w:rPr>
        <w:t>over</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ru-RU" w:eastAsia="ru-RU"/>
        </w:rPr>
        <w:t>an</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ru-RU" w:eastAsia="ru-RU"/>
        </w:rPr>
        <w:t>help</w:t>
      </w:r>
      <w:r w:rsidRPr="00407A55">
        <w:rPr>
          <w:rFonts w:ascii="Times New Roman" w:eastAsia="Times New Roman" w:hAnsi="Times New Roman" w:cs="Times New Roman"/>
          <w:color w:val="000000"/>
          <w:sz w:val="27"/>
          <w:szCs w:val="27"/>
          <w:lang w:eastAsia="ru-RU"/>
        </w:rPr>
        <w:t xml:space="preserve"> реалізовують проєкт уряду Нідерландів </w:t>
      </w:r>
      <w:r w:rsidRPr="00407A55">
        <w:rPr>
          <w:rFonts w:ascii="Times New Roman" w:eastAsia="Times New Roman" w:hAnsi="Times New Roman" w:cs="Times New Roman"/>
          <w:color w:val="000000"/>
          <w:sz w:val="27"/>
          <w:szCs w:val="27"/>
          <w:lang w:val="ru-RU" w:eastAsia="ru-RU"/>
        </w:rPr>
        <w:t>Bake</w:t>
      </w:r>
      <w:r w:rsidRPr="00407A55">
        <w:rPr>
          <w:rFonts w:ascii="Times New Roman" w:eastAsia="Times New Roman" w:hAnsi="Times New Roman" w:cs="Times New Roman"/>
          <w:color w:val="000000"/>
          <w:sz w:val="27"/>
          <w:szCs w:val="27"/>
          <w:lang w:eastAsia="ru-RU"/>
        </w:rPr>
        <w:t>4</w:t>
      </w:r>
      <w:r w:rsidRPr="00407A55">
        <w:rPr>
          <w:rFonts w:ascii="Times New Roman" w:eastAsia="Times New Roman" w:hAnsi="Times New Roman" w:cs="Times New Roman"/>
          <w:color w:val="000000"/>
          <w:sz w:val="27"/>
          <w:szCs w:val="27"/>
          <w:lang w:val="ru-RU" w:eastAsia="ru-RU"/>
        </w:rPr>
        <w:t>Ukraine</w:t>
      </w:r>
      <w:r w:rsidRPr="00407A55">
        <w:rPr>
          <w:rFonts w:ascii="Times New Roman" w:eastAsia="Times New Roman" w:hAnsi="Times New Roman" w:cs="Times New Roman"/>
          <w:color w:val="000000"/>
          <w:sz w:val="27"/>
          <w:szCs w:val="27"/>
          <w:lang w:eastAsia="ru-RU"/>
        </w:rPr>
        <w:t>: Створення навчального Пекарського Центру для розбудови України. Метою проєкту є забезпечення продовольчої безпеки міських та сільських громад шляхом сприяння сталому розвитку індустрії міні-пекарень в регіонах України, що постраждали від військової агресії Росії.</w:t>
      </w:r>
    </w:p>
    <w:p w:rsidR="00407A55" w:rsidRPr="00407A55" w:rsidP="00407A55" w14:paraId="100DAE2F" w14:textId="77777777">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rPr>
      </w:pPr>
      <w:r w:rsidRPr="00407A55">
        <w:rPr>
          <w:rFonts w:ascii="Times New Roman" w:eastAsia="Times New Roman" w:hAnsi="Times New Roman" w:cs="Times New Roman"/>
          <w:color w:val="000000"/>
          <w:sz w:val="27"/>
          <w:szCs w:val="27"/>
          <w:lang w:eastAsia="ru-RU"/>
        </w:rPr>
        <w:t xml:space="preserve">ТОВ «Базис» отримало перемогу у </w:t>
      </w:r>
      <w:r w:rsidRPr="00407A55">
        <w:rPr>
          <w:rFonts w:ascii="Times New Roman" w:eastAsia="Times New Roman" w:hAnsi="Times New Roman" w:cs="Times New Roman"/>
          <w:color w:val="000000"/>
          <w:sz w:val="27"/>
          <w:szCs w:val="27"/>
          <w:lang w:val="ru-RU" w:eastAsia="ru-RU"/>
        </w:rPr>
        <w:t>XXVIII</w:t>
      </w:r>
      <w:r w:rsidRPr="00407A55">
        <w:rPr>
          <w:rFonts w:ascii="Times New Roman" w:eastAsia="Times New Roman" w:hAnsi="Times New Roman" w:cs="Times New Roman"/>
          <w:color w:val="000000"/>
          <w:sz w:val="27"/>
          <w:szCs w:val="27"/>
          <w:lang w:eastAsia="ru-RU"/>
        </w:rPr>
        <w:t xml:space="preserve"> Всеукраїнському конкурсі «Українська зірка упаковки» у 2026 році, інноваційне рішення компанії –</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було визнано кращим у категорії спеціальної картонної упаковки з автоматизованим фасуванням.</w:t>
      </w:r>
    </w:p>
    <w:bookmarkEnd w:id="13"/>
    <w:p w:rsidR="00407A55" w:rsidRPr="00407A55" w:rsidP="00407A55" w14:paraId="77E009E7"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У структурі обсягів реалізованої промислової продукції зберігається тенденція аналогічна виробництву продукції.</w:t>
      </w:r>
    </w:p>
    <w:p w:rsidR="00407A55" w:rsidRPr="00407A55" w:rsidP="00407A55" w14:paraId="68E8D209" w14:textId="77777777">
      <w:pPr>
        <w:spacing w:after="0" w:line="240" w:lineRule="auto"/>
        <w:ind w:right="140" w:firstLine="567"/>
        <w:jc w:val="center"/>
        <w:rPr>
          <w:rFonts w:ascii="Times New Roman" w:eastAsia="Times New Roman" w:hAnsi="Times New Roman" w:cs="Times New Roman"/>
          <w:b/>
          <w:bCs/>
          <w:i/>
          <w:iCs/>
          <w:sz w:val="27"/>
          <w:szCs w:val="27"/>
          <w:lang w:eastAsia="ru-RU"/>
        </w:rPr>
      </w:pPr>
    </w:p>
    <w:p w:rsidR="00407A55" w:rsidRPr="00407A55" w:rsidP="00407A55" w14:paraId="7CCA5402" w14:textId="77777777">
      <w:pPr>
        <w:spacing w:after="0" w:line="240" w:lineRule="auto"/>
        <w:ind w:right="140" w:firstLine="567"/>
        <w:jc w:val="center"/>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b/>
          <w:bCs/>
          <w:i/>
          <w:iCs/>
          <w:sz w:val="27"/>
          <w:szCs w:val="27"/>
          <w:lang w:eastAsia="ru-RU"/>
        </w:rPr>
        <w:t>Розвиток малого та середнього бізнесу, інвестиційна діяльність</w:t>
      </w:r>
    </w:p>
    <w:p w:rsidR="00407A55" w:rsidRPr="00407A55" w:rsidP="00407A55" w14:paraId="7905DEDD" w14:textId="77777777">
      <w:pPr>
        <w:spacing w:after="0" w:line="240" w:lineRule="auto"/>
        <w:ind w:firstLine="567"/>
        <w:jc w:val="both"/>
        <w:rPr>
          <w:rFonts w:ascii="Times New Roman" w:eastAsia="Times New Roman" w:hAnsi="Times New Roman" w:cs="Times New Roman"/>
          <w:color w:val="000000"/>
          <w:sz w:val="27"/>
          <w:szCs w:val="27"/>
          <w:lang w:eastAsia="ru-RU"/>
        </w:rPr>
      </w:pPr>
      <w:bookmarkStart w:id="14" w:name="_Hlk188345214"/>
      <w:bookmarkStart w:id="15" w:name="_Hlk203395836"/>
      <w:r w:rsidRPr="00407A55">
        <w:rPr>
          <w:rFonts w:ascii="Times New Roman" w:eastAsia="Times New Roman" w:hAnsi="Times New Roman" w:cs="Times New Roman"/>
          <w:color w:val="000000"/>
          <w:sz w:val="27"/>
          <w:szCs w:val="27"/>
          <w:lang w:val="ru-RU" w:eastAsia="ru-RU"/>
        </w:rPr>
        <w:t>За даними ГУ ДПС України в Київській області станом на 01.</w:t>
      </w:r>
      <w:r w:rsidRPr="00407A55">
        <w:rPr>
          <w:rFonts w:ascii="Times New Roman" w:eastAsia="Times New Roman" w:hAnsi="Times New Roman" w:cs="Times New Roman"/>
          <w:color w:val="000000"/>
          <w:sz w:val="27"/>
          <w:szCs w:val="27"/>
          <w:lang w:eastAsia="ru-RU"/>
        </w:rPr>
        <w:t>10</w:t>
      </w:r>
      <w:r w:rsidRPr="00407A55">
        <w:rPr>
          <w:rFonts w:ascii="Times New Roman" w:eastAsia="Times New Roman" w:hAnsi="Times New Roman" w:cs="Times New Roman"/>
          <w:color w:val="000000"/>
          <w:sz w:val="27"/>
          <w:szCs w:val="27"/>
          <w:lang w:val="ru-RU" w:eastAsia="ru-RU"/>
        </w:rPr>
        <w:t>.202</w:t>
      </w:r>
      <w:r w:rsidRPr="00407A55">
        <w:rPr>
          <w:rFonts w:ascii="Times New Roman" w:eastAsia="Times New Roman" w:hAnsi="Times New Roman" w:cs="Times New Roman"/>
          <w:color w:val="000000"/>
          <w:sz w:val="27"/>
          <w:szCs w:val="27"/>
          <w:lang w:eastAsia="ru-RU"/>
        </w:rPr>
        <w:t>5</w:t>
      </w:r>
      <w:r w:rsidRPr="00407A55">
        <w:rPr>
          <w:rFonts w:ascii="Times New Roman" w:eastAsia="Times New Roman" w:hAnsi="Times New Roman" w:cs="Times New Roman"/>
          <w:color w:val="000000"/>
          <w:sz w:val="27"/>
          <w:szCs w:val="27"/>
          <w:lang w:val="ru-RU" w:eastAsia="ru-RU"/>
        </w:rPr>
        <w:t xml:space="preserve"> на податковому обліку перебувало 19230 суб’єктів підприємницької діяльності</w:t>
      </w:r>
      <w:r w:rsidRPr="00407A55">
        <w:rPr>
          <w:rFonts w:ascii="Times New Roman" w:eastAsia="Times New Roman" w:hAnsi="Times New Roman" w:cs="Times New Roman"/>
          <w:color w:val="000000"/>
          <w:sz w:val="27"/>
          <w:szCs w:val="27"/>
          <w:lang w:eastAsia="ru-RU"/>
        </w:rPr>
        <w:t>. Із загальної кількості суб’єктів підприємницької діяльності левову частку (97,5%) становило мікропідприємництво.</w:t>
      </w:r>
      <w:r w:rsidRPr="00407A55">
        <w:rPr>
          <w:rFonts w:ascii="Times New Roman" w:eastAsia="Times New Roman" w:hAnsi="Times New Roman" w:cs="Times New Roman"/>
          <w:color w:val="000000"/>
          <w:sz w:val="27"/>
          <w:szCs w:val="27"/>
          <w:lang w:val="en-US" w:eastAsia="ru-RU"/>
        </w:rPr>
        <w:t>  </w:t>
      </w:r>
    </w:p>
    <w:p w:rsidR="00407A55" w:rsidRPr="00407A55" w:rsidP="00407A55" w14:paraId="7143B427" w14:textId="77777777">
      <w:pPr>
        <w:spacing w:after="0" w:line="240" w:lineRule="auto"/>
        <w:ind w:firstLine="567"/>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eastAsia="ru-RU"/>
        </w:rPr>
        <w:t>Внаслідок ворожої атаки у громаді частково було пошкоджено 59 підприємств та 1 підприємство повністю зруйновано.</w:t>
      </w:r>
    </w:p>
    <w:p w:rsidR="00407A55" w:rsidRPr="00407A55" w:rsidP="00407A55" w14:paraId="4D631D59"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Станом на 01.07.2026 суб’єктам підприємницької діяльності передано в оренду 22814,32 м</w:t>
      </w:r>
      <w:r w:rsidRPr="00407A55">
        <w:rPr>
          <w:rFonts w:ascii="Times New Roman" w:eastAsia="Times New Roman" w:hAnsi="Times New Roman" w:cs="Times New Roman"/>
          <w:color w:val="000000"/>
          <w:sz w:val="27"/>
          <w:szCs w:val="27"/>
          <w:vertAlign w:val="superscript"/>
          <w:lang w:eastAsia="ru-RU"/>
        </w:rPr>
        <w:t>2</w:t>
      </w:r>
      <w:r w:rsidRPr="00407A55">
        <w:rPr>
          <w:rFonts w:ascii="Times New Roman" w:eastAsia="Times New Roman" w:hAnsi="Times New Roman" w:cs="Times New Roman"/>
          <w:color w:val="000000"/>
          <w:sz w:val="27"/>
          <w:szCs w:val="27"/>
          <w:lang w:eastAsia="ru-RU"/>
        </w:rPr>
        <w:t xml:space="preserve"> загальних площ приміщень комунальної власності, в тому числі площ в постійній оренді 6375,44 м</w:t>
      </w:r>
      <w:r w:rsidRPr="00407A55">
        <w:rPr>
          <w:rFonts w:ascii="Times New Roman" w:eastAsia="Times New Roman" w:hAnsi="Times New Roman" w:cs="Times New Roman"/>
          <w:color w:val="000000"/>
          <w:sz w:val="27"/>
          <w:szCs w:val="27"/>
          <w:vertAlign w:val="superscript"/>
          <w:lang w:eastAsia="ru-RU"/>
        </w:rPr>
        <w:t>2</w:t>
      </w:r>
      <w:r w:rsidRPr="00407A55">
        <w:rPr>
          <w:rFonts w:ascii="Times New Roman" w:eastAsia="Times New Roman" w:hAnsi="Times New Roman" w:cs="Times New Roman"/>
          <w:color w:val="000000"/>
          <w:sz w:val="27"/>
          <w:szCs w:val="27"/>
          <w:lang w:eastAsia="ru-RU"/>
        </w:rPr>
        <w:t>, в погодинній оренді (площ нежитлових приміщень – 3990,44 м</w:t>
      </w:r>
      <w:r w:rsidRPr="00407A55">
        <w:rPr>
          <w:rFonts w:ascii="Times New Roman" w:eastAsia="Times New Roman" w:hAnsi="Times New Roman" w:cs="Times New Roman"/>
          <w:color w:val="000000"/>
          <w:sz w:val="27"/>
          <w:szCs w:val="27"/>
          <w:vertAlign w:val="superscript"/>
          <w:lang w:eastAsia="ru-RU"/>
        </w:rPr>
        <w:t>2</w:t>
      </w:r>
      <w:r w:rsidRPr="00407A55">
        <w:rPr>
          <w:rFonts w:ascii="Times New Roman" w:eastAsia="Times New Roman" w:hAnsi="Times New Roman" w:cs="Times New Roman"/>
          <w:color w:val="000000"/>
          <w:sz w:val="27"/>
          <w:szCs w:val="27"/>
          <w:lang w:eastAsia="ru-RU"/>
        </w:rPr>
        <w:t>, площ майданчиків – 12448,44 м</w:t>
      </w:r>
      <w:r w:rsidRPr="00407A55">
        <w:rPr>
          <w:rFonts w:ascii="Times New Roman" w:eastAsia="Times New Roman" w:hAnsi="Times New Roman" w:cs="Times New Roman"/>
          <w:color w:val="000000"/>
          <w:sz w:val="27"/>
          <w:szCs w:val="27"/>
          <w:vertAlign w:val="superscript"/>
          <w:lang w:eastAsia="ru-RU"/>
        </w:rPr>
        <w:t>2</w:t>
      </w:r>
      <w:r w:rsidRPr="00407A55">
        <w:rPr>
          <w:rFonts w:ascii="Times New Roman" w:eastAsia="Times New Roman" w:hAnsi="Times New Roman" w:cs="Times New Roman"/>
          <w:color w:val="000000"/>
          <w:sz w:val="27"/>
          <w:szCs w:val="27"/>
          <w:lang w:eastAsia="ru-RU"/>
        </w:rPr>
        <w:t xml:space="preserve">). </w:t>
      </w:r>
    </w:p>
    <w:p w:rsidR="00407A55" w:rsidRPr="00407A55" w:rsidP="00407A55" w14:paraId="6E69CFCC"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На підтримку підприємництва в громаді діє</w:t>
      </w:r>
      <w:r w:rsidRPr="00407A55">
        <w:rPr>
          <w:rFonts w:ascii="Times New Roman" w:eastAsia="Times New Roman" w:hAnsi="Times New Roman" w:cs="Times New Roman"/>
          <w:color w:val="000000"/>
          <w:sz w:val="27"/>
          <w:szCs w:val="27"/>
          <w:lang w:val="ru-RU" w:eastAsia="ru-RU"/>
        </w:rPr>
        <w:t> </w:t>
      </w:r>
      <w:r w:rsidRPr="00407A55">
        <w:rPr>
          <w:rFonts w:ascii="Times New Roman" w:eastAsia="Times New Roman" w:hAnsi="Times New Roman" w:cs="Times New Roman"/>
          <w:color w:val="000000"/>
          <w:sz w:val="27"/>
          <w:szCs w:val="27"/>
          <w:lang w:eastAsia="ru-RU"/>
        </w:rPr>
        <w:t xml:space="preserve"> 17 об’єктів інфраструктури: 8 страхових компаній, 8 аудиторських фірм, молодіжна рада.</w:t>
      </w:r>
      <w:r w:rsidRPr="00407A55">
        <w:rPr>
          <w:rFonts w:ascii="Times New Roman" w:eastAsia="Times New Roman" w:hAnsi="Times New Roman" w:cs="Times New Roman"/>
          <w:color w:val="000000"/>
          <w:sz w:val="27"/>
          <w:szCs w:val="27"/>
          <w:lang w:val="ru-RU" w:eastAsia="ru-RU"/>
        </w:rPr>
        <w:t>   </w:t>
      </w:r>
    </w:p>
    <w:p w:rsidR="00407A55" w:rsidRPr="00407A55" w:rsidP="00407A55" w14:paraId="6C55B799"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Працює Центр підтримки бізнесу, який надає безкоштовну інформаційно-консультаційну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w:t>
      </w:r>
    </w:p>
    <w:p w:rsidR="00407A55" w:rsidRPr="00407A55" w:rsidP="00407A55" w14:paraId="2F715767" w14:textId="3B1F7635">
      <w:pPr>
        <w:spacing w:after="0" w:line="240" w:lineRule="auto"/>
        <w:ind w:firstLine="567"/>
        <w:jc w:val="both"/>
        <w:rPr>
          <w:rFonts w:ascii="Times New Roman" w:eastAsia="Times New Roman" w:hAnsi="Times New Roman" w:cs="Times New Roman"/>
          <w:noProof/>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noProof/>
          <w:sz w:val="27"/>
          <w:szCs w:val="27"/>
          <w:lang w:val="ru-RU" w:eastAsia="ru-RU"/>
        </w:rPr>
        <w:drawing>
          <wp:inline distT="0" distB="0" distL="0" distR="0">
            <wp:extent cx="5334000" cy="3370108"/>
            <wp:effectExtent l="0" t="0" r="0" b="1905"/>
            <wp:docPr id="1637553557" name="Рисунок 163755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53557" name="Графіка 1"/>
                    <pic:cNvPicPr/>
                  </pic:nvPicPr>
                  <pic:blipFill>
                    <a:blip xmlns:r="http://schemas.openxmlformats.org/officeDocument/2006/relationships" r:embed="rId38"/>
                    <a:stretch>
                      <a:fillRect/>
                    </a:stretch>
                  </pic:blipFill>
                  <pic:spPr>
                    <a:xfrm>
                      <a:off x="0" y="0"/>
                      <a:ext cx="5334000" cy="3369945"/>
                    </a:xfrm>
                    <a:prstGeom prst="rect">
                      <a:avLst/>
                    </a:prstGeom>
                  </pic:spPr>
                </pic:pic>
              </a:graphicData>
            </a:graphic>
          </wp:inline>
        </w:drawing>
      </w:r>
    </w:p>
    <w:p w:rsidR="00407A55" w:rsidRPr="00407A55" w:rsidP="00407A55" w14:paraId="2A32D6C6"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В 2026 році у громаді працювали підприємства торгівлі, заклади ресторанного господарства, які представлені у громаді відомими торговельними</w:t>
      </w:r>
      <w:r w:rsidRPr="00407A55">
        <w:rPr>
          <w:rFonts w:ascii="Times New Roman" w:eastAsia="Times New Roman" w:hAnsi="Times New Roman" w:cs="Times New Roman"/>
          <w:color w:val="000000"/>
          <w:sz w:val="27"/>
          <w:szCs w:val="27"/>
          <w:lang w:val="en-US" w:eastAsia="ru-RU"/>
        </w:rPr>
        <w:t> </w:t>
      </w:r>
      <w:r w:rsidRPr="00407A55">
        <w:rPr>
          <w:rFonts w:ascii="Times New Roman" w:eastAsia="Times New Roman" w:hAnsi="Times New Roman" w:cs="Times New Roman"/>
          <w:color w:val="000000"/>
          <w:sz w:val="27"/>
          <w:szCs w:val="27"/>
          <w:lang w:eastAsia="ru-RU"/>
        </w:rPr>
        <w:t>мережами: «Сільпо-фуд», «</w:t>
      </w:r>
      <w:r w:rsidRPr="00407A55">
        <w:rPr>
          <w:rFonts w:ascii="Times New Roman" w:eastAsia="Times New Roman" w:hAnsi="Times New Roman" w:cs="Times New Roman"/>
          <w:color w:val="000000"/>
          <w:sz w:val="27"/>
          <w:szCs w:val="27"/>
          <w:lang w:val="en-US" w:eastAsia="ru-RU"/>
        </w:rPr>
        <w:t>Food</w:t>
      </w:r>
      <w:r w:rsidRPr="00407A55">
        <w:rPr>
          <w:rFonts w:ascii="Times New Roman" w:eastAsia="Times New Roman" w:hAnsi="Times New Roman" w:cs="Times New Roman"/>
          <w:color w:val="000000"/>
          <w:sz w:val="27"/>
          <w:szCs w:val="27"/>
          <w:lang w:eastAsia="ru-RU"/>
        </w:rPr>
        <w:t xml:space="preserve"> </w:t>
      </w:r>
      <w:r w:rsidRPr="00407A55">
        <w:rPr>
          <w:rFonts w:ascii="Times New Roman" w:eastAsia="Times New Roman" w:hAnsi="Times New Roman" w:cs="Times New Roman"/>
          <w:color w:val="000000"/>
          <w:sz w:val="27"/>
          <w:szCs w:val="27"/>
          <w:lang w:val="en-US" w:eastAsia="ru-RU"/>
        </w:rPr>
        <w:t>market</w:t>
      </w:r>
      <w:r w:rsidRPr="00407A55">
        <w:rPr>
          <w:rFonts w:ascii="Times New Roman" w:eastAsia="Times New Roman" w:hAnsi="Times New Roman" w:cs="Times New Roman"/>
          <w:color w:val="000000"/>
          <w:sz w:val="27"/>
          <w:szCs w:val="27"/>
          <w:lang w:eastAsia="ru-RU"/>
        </w:rPr>
        <w:t>», «Варус», «Фора», «АТБ», «</w:t>
      </w:r>
      <w:r w:rsidRPr="00407A55">
        <w:rPr>
          <w:rFonts w:ascii="Times New Roman" w:eastAsia="Times New Roman" w:hAnsi="Times New Roman" w:cs="Times New Roman"/>
          <w:color w:val="000000"/>
          <w:sz w:val="27"/>
          <w:szCs w:val="27"/>
          <w:lang w:val="en-US" w:eastAsia="ru-RU"/>
        </w:rPr>
        <w:t>THRASH</w:t>
      </w:r>
      <w:r w:rsidRPr="00407A55">
        <w:rPr>
          <w:rFonts w:ascii="Times New Roman" w:eastAsia="Times New Roman" w:hAnsi="Times New Roman" w:cs="Times New Roman"/>
          <w:color w:val="000000"/>
          <w:sz w:val="27"/>
          <w:szCs w:val="27"/>
          <w:lang w:eastAsia="ru-RU"/>
        </w:rPr>
        <w:t>», «Копійочка», «</w:t>
      </w:r>
      <w:r w:rsidRPr="00407A55">
        <w:rPr>
          <w:rFonts w:ascii="Times New Roman" w:eastAsia="Times New Roman" w:hAnsi="Times New Roman" w:cs="Times New Roman"/>
          <w:color w:val="000000"/>
          <w:sz w:val="27"/>
          <w:szCs w:val="27"/>
          <w:lang w:val="en-US" w:eastAsia="ru-RU"/>
        </w:rPr>
        <w:t>Eva</w:t>
      </w:r>
      <w:r w:rsidRPr="00407A55">
        <w:rPr>
          <w:rFonts w:ascii="Times New Roman" w:eastAsia="Times New Roman" w:hAnsi="Times New Roman" w:cs="Times New Roman"/>
          <w:color w:val="000000"/>
          <w:sz w:val="27"/>
          <w:szCs w:val="27"/>
          <w:lang w:eastAsia="ru-RU"/>
        </w:rPr>
        <w:t>»,</w:t>
      </w:r>
      <w:r w:rsidRPr="00407A55">
        <w:rPr>
          <w:rFonts w:ascii="Times New Roman" w:eastAsia="Times New Roman" w:hAnsi="Times New Roman" w:cs="Times New Roman"/>
          <w:color w:val="000000"/>
          <w:sz w:val="27"/>
          <w:szCs w:val="27"/>
          <w:lang w:val="en-US" w:eastAsia="ru-RU"/>
        </w:rPr>
        <w:t> </w:t>
      </w:r>
      <w:r w:rsidRPr="00407A55">
        <w:rPr>
          <w:rFonts w:ascii="Times New Roman" w:eastAsia="Times New Roman" w:hAnsi="Times New Roman" w:cs="Times New Roman"/>
          <w:color w:val="000000"/>
          <w:sz w:val="27"/>
          <w:szCs w:val="27"/>
          <w:lang w:eastAsia="ru-RU"/>
        </w:rPr>
        <w:t>«</w:t>
      </w:r>
      <w:r w:rsidRPr="00407A55">
        <w:rPr>
          <w:rFonts w:ascii="Times New Roman" w:eastAsia="Times New Roman" w:hAnsi="Times New Roman" w:cs="Times New Roman"/>
          <w:color w:val="000000"/>
          <w:sz w:val="27"/>
          <w:szCs w:val="27"/>
          <w:lang w:val="en-US" w:eastAsia="ru-RU"/>
        </w:rPr>
        <w:t>Watsons</w:t>
      </w:r>
      <w:r w:rsidRPr="00407A55">
        <w:rPr>
          <w:rFonts w:ascii="Times New Roman" w:eastAsia="Times New Roman" w:hAnsi="Times New Roman" w:cs="Times New Roman"/>
          <w:color w:val="000000"/>
          <w:sz w:val="27"/>
          <w:szCs w:val="27"/>
          <w:lang w:eastAsia="ru-RU"/>
        </w:rPr>
        <w:t>», «Епіцентр», «</w:t>
      </w:r>
      <w:r w:rsidRPr="00407A55">
        <w:rPr>
          <w:rFonts w:ascii="Times New Roman" w:eastAsia="Times New Roman" w:hAnsi="Times New Roman" w:cs="Times New Roman"/>
          <w:color w:val="000000"/>
          <w:sz w:val="27"/>
          <w:szCs w:val="27"/>
          <w:lang w:val="en-US" w:eastAsia="ru-RU"/>
        </w:rPr>
        <w:t>Comfy</w:t>
      </w:r>
      <w:r w:rsidRPr="00407A55">
        <w:rPr>
          <w:rFonts w:ascii="Times New Roman" w:eastAsia="Times New Roman" w:hAnsi="Times New Roman" w:cs="Times New Roman"/>
          <w:color w:val="000000"/>
          <w:sz w:val="27"/>
          <w:szCs w:val="27"/>
          <w:lang w:eastAsia="ru-RU"/>
        </w:rPr>
        <w:t>», «Фокстрот», «Аврора», «</w:t>
      </w:r>
      <w:r w:rsidRPr="00407A55">
        <w:rPr>
          <w:rFonts w:ascii="Times New Roman" w:eastAsia="Times New Roman" w:hAnsi="Times New Roman" w:cs="Times New Roman"/>
          <w:color w:val="000000"/>
          <w:sz w:val="27"/>
          <w:szCs w:val="27"/>
          <w:lang w:val="en-US" w:eastAsia="ru-RU"/>
        </w:rPr>
        <w:t>Prostor</w:t>
      </w:r>
      <w:r w:rsidRPr="00407A55">
        <w:rPr>
          <w:rFonts w:ascii="Times New Roman" w:eastAsia="Times New Roman" w:hAnsi="Times New Roman" w:cs="Times New Roman"/>
          <w:color w:val="000000"/>
          <w:sz w:val="27"/>
          <w:szCs w:val="27"/>
          <w:lang w:eastAsia="ru-RU"/>
        </w:rPr>
        <w:t>», «</w:t>
      </w:r>
      <w:r w:rsidRPr="00407A55">
        <w:rPr>
          <w:rFonts w:ascii="Times New Roman" w:eastAsia="Times New Roman" w:hAnsi="Times New Roman" w:cs="Times New Roman"/>
          <w:color w:val="000000"/>
          <w:sz w:val="27"/>
          <w:szCs w:val="27"/>
          <w:lang w:val="en-US" w:eastAsia="ru-RU"/>
        </w:rPr>
        <w:t>McDonald</w:t>
      </w:r>
      <w:r w:rsidRPr="00407A55">
        <w:rPr>
          <w:rFonts w:ascii="Times New Roman" w:eastAsia="Times New Roman" w:hAnsi="Times New Roman" w:cs="Times New Roman"/>
          <w:color w:val="000000"/>
          <w:sz w:val="27"/>
          <w:szCs w:val="27"/>
          <w:lang w:eastAsia="ru-RU"/>
        </w:rPr>
        <w:t>’</w:t>
      </w:r>
      <w:r w:rsidRPr="00407A55">
        <w:rPr>
          <w:rFonts w:ascii="Times New Roman" w:eastAsia="Times New Roman" w:hAnsi="Times New Roman" w:cs="Times New Roman"/>
          <w:color w:val="000000"/>
          <w:sz w:val="27"/>
          <w:szCs w:val="27"/>
          <w:lang w:val="en-US" w:eastAsia="ru-RU"/>
        </w:rPr>
        <w:t>s</w:t>
      </w:r>
      <w:r w:rsidRPr="00407A55">
        <w:rPr>
          <w:rFonts w:ascii="Times New Roman" w:eastAsia="Times New Roman" w:hAnsi="Times New Roman" w:cs="Times New Roman"/>
          <w:color w:val="000000"/>
          <w:sz w:val="27"/>
          <w:szCs w:val="27"/>
          <w:lang w:eastAsia="ru-RU"/>
        </w:rPr>
        <w:t>», «</w:t>
      </w:r>
      <w:r w:rsidRPr="00407A55">
        <w:rPr>
          <w:rFonts w:ascii="Times New Roman" w:eastAsia="Times New Roman" w:hAnsi="Times New Roman" w:cs="Times New Roman"/>
          <w:color w:val="000000"/>
          <w:sz w:val="27"/>
          <w:szCs w:val="27"/>
          <w:lang w:val="en-US" w:eastAsia="ru-RU"/>
        </w:rPr>
        <w:t>KFC</w:t>
      </w:r>
      <w:r w:rsidRPr="00407A55">
        <w:rPr>
          <w:rFonts w:ascii="Times New Roman" w:eastAsia="Times New Roman" w:hAnsi="Times New Roman" w:cs="Times New Roman"/>
          <w:color w:val="000000"/>
          <w:sz w:val="27"/>
          <w:szCs w:val="27"/>
          <w:lang w:eastAsia="ru-RU"/>
        </w:rPr>
        <w:t>», «</w:t>
      </w:r>
      <w:r w:rsidRPr="00407A55">
        <w:rPr>
          <w:rFonts w:ascii="Times New Roman" w:eastAsia="Times New Roman" w:hAnsi="Times New Roman" w:cs="Times New Roman"/>
          <w:color w:val="000000"/>
          <w:sz w:val="27"/>
          <w:szCs w:val="27"/>
          <w:lang w:val="en-US" w:eastAsia="ru-RU"/>
        </w:rPr>
        <w:t>Hesburger</w:t>
      </w:r>
      <w:r w:rsidRPr="00407A55">
        <w:rPr>
          <w:rFonts w:ascii="Times New Roman" w:eastAsia="Times New Roman" w:hAnsi="Times New Roman" w:cs="Times New Roman"/>
          <w:color w:val="000000"/>
          <w:sz w:val="27"/>
          <w:szCs w:val="27"/>
          <w:lang w:eastAsia="ru-RU"/>
        </w:rPr>
        <w:t>», «Чорноморка» тощо. Також діяли</w:t>
      </w:r>
      <w:r w:rsidRPr="00407A55">
        <w:rPr>
          <w:rFonts w:ascii="Times New Roman" w:eastAsia="Times New Roman" w:hAnsi="Times New Roman" w:cs="Times New Roman"/>
          <w:color w:val="000000"/>
          <w:sz w:val="27"/>
          <w:szCs w:val="27"/>
          <w:lang w:val="ru-RU" w:eastAsia="ru-RU"/>
        </w:rPr>
        <w:t xml:space="preserve"> 3 об’єкти змішаного типу ринкового господарства та 1 торговельно-виставковий павільйон.</w:t>
      </w:r>
    </w:p>
    <w:p w:rsidR="00407A55" w:rsidRPr="00407A55" w:rsidP="00407A55" w14:paraId="7B6620EC" w14:textId="29C588A2">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600700" cy="2619617"/>
            <wp:effectExtent l="0" t="0" r="0" b="9525"/>
            <wp:docPr id="1129830007" name="Рисунок 112983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30007" name="Графіка 1"/>
                    <pic:cNvPicPr/>
                  </pic:nvPicPr>
                  <pic:blipFill>
                    <a:blip xmlns:r="http://schemas.openxmlformats.org/officeDocument/2006/relationships" r:embed="rId39"/>
                    <a:stretch>
                      <a:fillRect/>
                    </a:stretch>
                  </pic:blipFill>
                  <pic:spPr>
                    <a:xfrm>
                      <a:off x="0" y="0"/>
                      <a:ext cx="5606114" cy="2622149"/>
                    </a:xfrm>
                    <a:prstGeom prst="rect">
                      <a:avLst/>
                    </a:prstGeom>
                  </pic:spPr>
                </pic:pic>
              </a:graphicData>
            </a:graphic>
          </wp:inline>
        </w:drawing>
      </w:r>
      <w:r w:rsidRPr="00407A55">
        <w:rPr>
          <w:rFonts w:ascii="Times New Roman" w:eastAsia="Times New Roman" w:hAnsi="Times New Roman" w:cs="Times New Roman"/>
          <w:color w:val="000000"/>
          <w:sz w:val="27"/>
          <w:szCs w:val="27"/>
          <w:lang w:eastAsia="ru-RU"/>
        </w:rPr>
        <w:t xml:space="preserve"> </w:t>
      </w:r>
    </w:p>
    <w:p w:rsidR="00407A55" w:rsidRPr="00407A55" w:rsidP="00407A55" w14:paraId="180A0A61"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eastAsia="ru-RU"/>
        </w:rPr>
        <w:t>У звітному періоді  реалізація державної регуляторної політики Броварською міською радою Броварського району Київської області та її виконавчим комітетом (далі - міська рада, виконавчий комітет) здійснювалась відповідно до вимог Закону України «Про засади державної регуляторної політики у сфері господарської діяльності»: прийнято 3 регуляторних акти,  здійснено 6 відстежень результативності регулятрних актів.</w:t>
      </w:r>
    </w:p>
    <w:bookmarkEnd w:id="14"/>
    <w:bookmarkEnd w:id="15"/>
    <w:p w:rsidR="007C499E" w:rsidP="00407A55" w14:paraId="3BF3CDE7" w14:textId="77777777">
      <w:pPr>
        <w:spacing w:after="0" w:line="240" w:lineRule="auto"/>
        <w:ind w:firstLine="567"/>
        <w:jc w:val="both"/>
        <w:rPr>
          <w:rFonts w:ascii="Times New Roman" w:eastAsia="Calibri" w:hAnsi="Times New Roman" w:cs="Times New Roman"/>
          <w:sz w:val="27"/>
          <w:szCs w:val="27"/>
          <w:lang w:eastAsia="en-US"/>
        </w:rPr>
      </w:pPr>
    </w:p>
    <w:p w:rsidR="00407A55" w:rsidRPr="00407A55" w:rsidP="00407A55" w14:paraId="543CDC77" w14:textId="28EA34AE">
      <w:pPr>
        <w:spacing w:after="0" w:line="240" w:lineRule="auto"/>
        <w:ind w:firstLine="567"/>
        <w:jc w:val="both"/>
        <w:rPr>
          <w:rFonts w:ascii="Times New Roman" w:eastAsia="Calibri" w:hAnsi="Times New Roman" w:cs="Times New Roman"/>
          <w:sz w:val="27"/>
          <w:szCs w:val="27"/>
          <w:lang w:val="en-US" w:eastAsia="en-US"/>
        </w:rPr>
      </w:pPr>
      <w:r w:rsidRPr="00407A55">
        <w:rPr>
          <w:rFonts w:ascii="Times New Roman" w:eastAsia="Calibri" w:hAnsi="Times New Roman" w:cs="Times New Roman"/>
          <w:sz w:val="27"/>
          <w:szCs w:val="27"/>
          <w:lang w:eastAsia="en-US"/>
        </w:rPr>
        <w:t xml:space="preserve">За оперативними даними станом на 01 липня 2026 року у місті Бровари завершено реалізацію 10 інвестиційних проєктів, в т.ч.:  </w:t>
      </w:r>
    </w:p>
    <w:p w:rsidR="00407A55" w:rsidRPr="00407A55" w:rsidP="00407A55" w14:paraId="3DE2A808" w14:textId="689183BB">
      <w:pPr>
        <w:spacing w:after="0" w:line="240" w:lineRule="auto"/>
        <w:ind w:firstLine="567"/>
        <w:jc w:val="center"/>
        <w:rPr>
          <w:rFonts w:ascii="Times New Roman" w:eastAsia="Calibri" w:hAnsi="Times New Roman" w:cs="Times New Roman"/>
          <w:sz w:val="27"/>
          <w:szCs w:val="27"/>
          <w:lang w:val="en-US" w:eastAsia="en-US"/>
        </w:rPr>
      </w:pPr>
      <w:r w:rsidRPr="00407A55">
        <w:rPr>
          <w:rFonts w:ascii="Times New Roman" w:eastAsia="Calibri" w:hAnsi="Times New Roman" w:cs="Times New Roman"/>
          <w:noProof/>
          <w:sz w:val="27"/>
          <w:szCs w:val="27"/>
          <w:lang w:eastAsia="en-US"/>
        </w:rPr>
        <w:drawing>
          <wp:inline distT="0" distB="0" distL="0" distR="0">
            <wp:extent cx="4191000" cy="24574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7A55" w:rsidRPr="00407A55" w:rsidP="00407A55" w14:paraId="3B551CD7" w14:textId="77777777">
      <w:pPr>
        <w:spacing w:after="0" w:line="240" w:lineRule="auto"/>
        <w:ind w:firstLine="567"/>
        <w:jc w:val="both"/>
        <w:rPr>
          <w:rFonts w:ascii="Times New Roman" w:eastAsia="Calibri" w:hAnsi="Times New Roman" w:cs="Times New Roman"/>
          <w:b/>
          <w:i/>
          <w:sz w:val="27"/>
          <w:szCs w:val="27"/>
          <w:lang w:eastAsia="en-US"/>
        </w:rPr>
      </w:pPr>
      <w:r w:rsidRPr="00407A55">
        <w:rPr>
          <w:rFonts w:ascii="Times New Roman" w:eastAsia="Calibri" w:hAnsi="Times New Roman" w:cs="Times New Roman"/>
          <w:b/>
          <w:i/>
          <w:sz w:val="27"/>
          <w:szCs w:val="27"/>
          <w:lang w:eastAsia="en-US"/>
        </w:rPr>
        <w:t>6 – у сфері торгівлі, послуг та адміністративних/офісних приміщень/промислових будівель:</w:t>
      </w:r>
      <w:r w:rsidRPr="00407A55">
        <w:rPr>
          <w:rFonts w:ascii="Times New Roman" w:eastAsia="Times New Roman" w:hAnsi="Times New Roman" w:cs="Times New Roman"/>
          <w:sz w:val="27"/>
          <w:szCs w:val="27"/>
          <w:lang w:eastAsia="ru-RU"/>
        </w:rPr>
        <w:t xml:space="preserve"> р</w:t>
      </w:r>
      <w:r w:rsidRPr="00407A55">
        <w:rPr>
          <w:rFonts w:ascii="Times New Roman" w:eastAsia="Calibri" w:hAnsi="Times New Roman" w:cs="Times New Roman"/>
          <w:sz w:val="27"/>
          <w:szCs w:val="27"/>
          <w:lang w:eastAsia="en-US"/>
        </w:rPr>
        <w:t>еконструкція нежитлового приміщення №113 під стоматологічний кабінет по вул. Київській, 235-А;</w:t>
      </w:r>
      <w:r w:rsidRPr="00407A55">
        <w:rPr>
          <w:rFonts w:ascii="Times New Roman" w:eastAsia="Calibri" w:hAnsi="Times New Roman" w:cs="Times New Roman"/>
          <w:b/>
          <w:i/>
          <w:sz w:val="27"/>
          <w:szCs w:val="27"/>
          <w:shd w:val="clear" w:color="auto" w:fill="FFFFFF"/>
          <w:lang w:eastAsia="en-US"/>
        </w:rPr>
        <w:t xml:space="preserve">  к</w:t>
      </w:r>
      <w:r w:rsidRPr="00407A55">
        <w:rPr>
          <w:rFonts w:ascii="Times New Roman" w:eastAsia="Calibri" w:hAnsi="Times New Roman" w:cs="Times New Roman"/>
          <w:sz w:val="27"/>
          <w:szCs w:val="27"/>
          <w:lang w:eastAsia="en-US"/>
        </w:rPr>
        <w:t xml:space="preserve">апітальний ремонт нежилового приміщення №5 по бульв. Незалежності, 3; реконструкція нежитлового приміщення 3 під торгово-офісне приміщення з влаштуванням вхідних груп з легких металевих конструкцій та засобів безперешкодного доступу осіб з інвалідністю та інших маломобільних груп населення по вул. Петлюри Симона, 23-б; реконструкція існуючих будівель і споруд по вул. Київській, 94; нове будівництво магазину з кафетерієм та магазину непродовольчих товарів по вул. Переяславський шлях, 140; нове будівництво торгового центру на земельній ділянці з кадастровим номером 3210600000:00:015:0539 за адресою: Київська обл., м. Бровари, вул. Чорновола В`ячеслава, 3, </w:t>
      </w:r>
    </w:p>
    <w:p w:rsidR="00407A55" w:rsidRPr="00407A55" w:rsidP="00407A55" w14:paraId="4B402717" w14:textId="77777777">
      <w:pPr>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b/>
          <w:bCs/>
          <w:i/>
          <w:iCs/>
          <w:sz w:val="27"/>
          <w:szCs w:val="27"/>
          <w:lang w:eastAsia="en-US"/>
        </w:rPr>
        <w:t>1 – у сфері промисловості</w:t>
      </w:r>
      <w:r w:rsidRPr="00407A55">
        <w:rPr>
          <w:rFonts w:ascii="Times New Roman" w:eastAsia="Calibri" w:hAnsi="Times New Roman" w:cs="Times New Roman"/>
          <w:sz w:val="27"/>
          <w:szCs w:val="27"/>
          <w:lang w:eastAsia="en-US"/>
        </w:rPr>
        <w:t xml:space="preserve">: реконструкція виробничої бази (надбудова), реконструкція навісу під склад за адресою: вул. Металургів, 4, м. Бровари. </w:t>
      </w:r>
      <w:r w:rsidRPr="00407A55">
        <w:rPr>
          <w:rFonts w:ascii="Times New Roman" w:eastAsia="Calibri" w:hAnsi="Times New Roman" w:cs="Times New Roman"/>
          <w:b/>
          <w:i/>
          <w:sz w:val="27"/>
          <w:szCs w:val="27"/>
          <w:shd w:val="clear" w:color="auto" w:fill="FFFFFF"/>
          <w:lang w:eastAsia="en-US"/>
        </w:rPr>
        <w:t xml:space="preserve"> </w:t>
      </w:r>
    </w:p>
    <w:p w:rsidR="00407A55" w:rsidRPr="00407A55" w:rsidP="00407A55" w14:paraId="77288607" w14:textId="77777777">
      <w:pPr>
        <w:spacing w:after="0" w:line="240" w:lineRule="auto"/>
        <w:ind w:firstLine="567"/>
        <w:jc w:val="both"/>
        <w:rPr>
          <w:rFonts w:ascii="Times New Roman" w:eastAsia="Calibri" w:hAnsi="Times New Roman" w:cs="Times New Roman"/>
          <w:sz w:val="27"/>
          <w:szCs w:val="27"/>
          <w:shd w:val="clear" w:color="auto" w:fill="FFFFFF"/>
          <w:lang w:eastAsia="en-US"/>
        </w:rPr>
      </w:pPr>
      <w:r w:rsidRPr="00407A55">
        <w:rPr>
          <w:rFonts w:ascii="Times New Roman" w:eastAsia="Calibri" w:hAnsi="Times New Roman" w:cs="Times New Roman"/>
          <w:b/>
          <w:i/>
          <w:sz w:val="27"/>
          <w:szCs w:val="27"/>
          <w:shd w:val="clear" w:color="auto" w:fill="FFFFFF"/>
          <w:lang w:eastAsia="en-US"/>
        </w:rPr>
        <w:t xml:space="preserve">3 – у сфері логістики та обслуговування автомобілів: </w:t>
      </w:r>
      <w:r w:rsidRPr="00407A55">
        <w:rPr>
          <w:rFonts w:ascii="Times New Roman" w:eastAsia="Calibri" w:hAnsi="Times New Roman" w:cs="Times New Roman"/>
          <w:sz w:val="27"/>
          <w:szCs w:val="27"/>
          <w:lang w:eastAsia="en-US"/>
        </w:rPr>
        <w:t>нове будівництво складу по вул. Москаленка Сергія, буд. 16-г/8; нове будівництво складських будівель на земельній ділянці з кадастровим номером 3210600000:00:035:0524 по вул. Металургів (І-ша черга будівництва), м. Бровари; нове будівництво виробничо-складського комплексу з побутовими приміщеннями на земельних ділянках з кадастровими номерами: 3210600000:00:037:0510, 3210600000:01:037:0033, 3210600000:01:037:0039 по вул. Лісовій в м. Бровари Броварської територіальної громади Броварського району Київської області</w:t>
      </w:r>
      <w:r w:rsidRPr="00407A55">
        <w:rPr>
          <w:rFonts w:ascii="Times New Roman" w:eastAsia="Calibri" w:hAnsi="Times New Roman" w:cs="Times New Roman"/>
          <w:sz w:val="27"/>
          <w:szCs w:val="27"/>
          <w:shd w:val="clear" w:color="auto" w:fill="FFFFFF"/>
          <w:lang w:eastAsia="en-US"/>
        </w:rPr>
        <w:t>.</w:t>
      </w:r>
    </w:p>
    <w:p w:rsidR="00407A55" w:rsidRPr="00407A55" w:rsidP="00407A55" w14:paraId="68AAB13A" w14:textId="77777777">
      <w:pPr>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 xml:space="preserve">За оперативними даними створено 80 робочих місць, збережено 14 робочих місця та залучено інвестицій на загальну вартість – 319 154 942,67 грн. </w:t>
      </w:r>
    </w:p>
    <w:p w:rsidR="00407A55" w:rsidRPr="00407A55" w:rsidP="00407A55" w14:paraId="775DF37B" w14:textId="587C3146">
      <w:pPr>
        <w:spacing w:after="0" w:line="240" w:lineRule="auto"/>
        <w:ind w:firstLine="567"/>
        <w:jc w:val="both"/>
        <w:rPr>
          <w:rFonts w:ascii="Times New Roman" w:eastAsia="Calibri" w:hAnsi="Times New Roman" w:cs="Times New Roman"/>
          <w:sz w:val="27"/>
          <w:szCs w:val="27"/>
          <w:lang w:eastAsia="en-US"/>
        </w:rPr>
      </w:pPr>
      <w:r w:rsidRPr="00407A55">
        <w:rPr>
          <w:rFonts w:ascii="Times New Roman" w:eastAsia="Calibri" w:hAnsi="Times New Roman" w:cs="Times New Roman"/>
          <w:sz w:val="27"/>
          <w:szCs w:val="27"/>
          <w:lang w:eastAsia="en-US"/>
        </w:rPr>
        <w:t>Станом на 01 липня 2026 року продовжується реалізація 57 інвестиційних проєктів:</w:t>
      </w:r>
    </w:p>
    <w:p w:rsidR="00407A55" w:rsidRPr="00407A55" w:rsidP="00407A55" w14:paraId="6A52A7B9" w14:textId="4A8D1515">
      <w:pPr>
        <w:spacing w:after="0" w:line="240" w:lineRule="auto"/>
        <w:ind w:firstLine="567"/>
        <w:jc w:val="both"/>
        <w:rPr>
          <w:rFonts w:ascii="Times New Roman" w:eastAsia="Calibri" w:hAnsi="Times New Roman" w:cs="Times New Roman"/>
          <w:sz w:val="27"/>
          <w:szCs w:val="27"/>
          <w:lang w:val="ru-RU" w:eastAsia="en-US"/>
        </w:rPr>
      </w:pPr>
      <w:r w:rsidRPr="00407A55">
        <w:rPr>
          <w:rFonts w:ascii="Times New Roman" w:eastAsia="Times New Roman" w:hAnsi="Times New Roman" w:cs="Times New Roman"/>
          <w:noProof/>
          <w:sz w:val="27"/>
          <w:szCs w:val="27"/>
          <w:lang w:val="ru-RU" w:eastAsia="ru-RU"/>
        </w:rPr>
        <w:drawing>
          <wp:inline distT="0" distB="0" distL="0" distR="0">
            <wp:extent cx="5457825" cy="30384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07A55" w:rsidRPr="00407A55" w:rsidP="00407A55" w14:paraId="7FF94FBA" w14:textId="77777777">
      <w:pPr>
        <w:spacing w:after="0" w:line="240" w:lineRule="auto"/>
        <w:ind w:firstLine="39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Броварській міській територіальній громаді активно впроваджується </w:t>
      </w:r>
      <w:r w:rsidRPr="00407A55">
        <w:rPr>
          <w:rFonts w:ascii="Times New Roman" w:eastAsia="Times New Roman" w:hAnsi="Times New Roman" w:cs="Times New Roman"/>
          <w:bCs/>
          <w:sz w:val="27"/>
          <w:szCs w:val="27"/>
          <w:lang w:eastAsia="ru-RU"/>
        </w:rPr>
        <w:t>реформа з управління публічними інвестиціями</w:t>
      </w:r>
      <w:r w:rsidRPr="00407A55">
        <w:rPr>
          <w:rFonts w:ascii="Times New Roman" w:eastAsia="Times New Roman" w:hAnsi="Times New Roman" w:cs="Times New Roman"/>
          <w:sz w:val="27"/>
          <w:szCs w:val="27"/>
          <w:lang w:eastAsia="ru-RU"/>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підвищення довіри інвесторів. На виконання законодавства у сфері публічних інвестицій був розроблений та опрацьований Інвестиційною радою та затверджений рішенням виконавчого комітету </w:t>
      </w:r>
      <w:r w:rsidRPr="00407A55">
        <w:rPr>
          <w:rFonts w:ascii="Times New Roman" w:eastAsia="Times New Roman" w:hAnsi="Times New Roman" w:cs="Times New Roman"/>
          <w:bCs/>
          <w:sz w:val="27"/>
          <w:szCs w:val="27"/>
          <w:lang w:eastAsia="ru-RU"/>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407A55">
        <w:rPr>
          <w:rFonts w:ascii="Times New Roman" w:eastAsia="Times New Roman" w:hAnsi="Times New Roman" w:cs="Times New Roman"/>
          <w:b/>
          <w:i/>
          <w:iCs/>
          <w:sz w:val="27"/>
          <w:szCs w:val="27"/>
          <w:lang w:eastAsia="ru-RU"/>
        </w:rPr>
        <w:t>)</w:t>
      </w:r>
      <w:r w:rsidRPr="00407A55">
        <w:rPr>
          <w:rFonts w:ascii="Times New Roman" w:eastAsia="Times New Roman" w:hAnsi="Times New Roman" w:cs="Times New Roman"/>
          <w:iCs/>
          <w:sz w:val="27"/>
          <w:szCs w:val="27"/>
          <w:lang w:eastAsia="ru-RU"/>
        </w:rPr>
        <w:t xml:space="preserve"> для публічного інвестування</w:t>
      </w:r>
      <w:r w:rsidRPr="00407A55">
        <w:rPr>
          <w:rFonts w:ascii="Times New Roman" w:eastAsia="Times New Roman" w:hAnsi="Times New Roman" w:cs="Times New Roman"/>
          <w:sz w:val="27"/>
          <w:szCs w:val="27"/>
          <w:lang w:eastAsia="ru-RU"/>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407A55" w:rsidRPr="00407A55" w:rsidP="00407A55" w14:paraId="1A748583" w14:textId="77777777">
      <w:pPr>
        <w:spacing w:after="0" w:line="240" w:lineRule="auto"/>
        <w:ind w:firstLine="39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Відповідно до Середньострокового плану орієнтовний граничний сукупний обсяг публічних інвестицій з місцевого бюджету складає 200 000,0 тис. грн. щорічно на період 2026-2028 роки:</w:t>
      </w:r>
    </w:p>
    <w:p w:rsidR="00407A55" w:rsidRPr="00407A55" w:rsidP="00407A55" w14:paraId="431A295D"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Граничний розподіл коштів з місцевого бюджету</w:t>
      </w:r>
    </w:p>
    <w:p w:rsidR="00407A55" w:rsidRPr="00407A55" w:rsidP="00407A55" w14:paraId="5DB19B71" w14:textId="77777777">
      <w:pPr>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у 2026 – 2028 рр. за галузями, (%)</w:t>
      </w:r>
    </w:p>
    <w:p w:rsidR="00407A55" w:rsidRPr="00407A55" w:rsidP="00407A55" w14:paraId="01A522E9" w14:textId="37A979AA">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eastAsia="ru-RU"/>
        </w:rPr>
        <w:drawing>
          <wp:inline distT="0" distB="0" distL="0" distR="0">
            <wp:extent cx="5769610" cy="2621280"/>
            <wp:effectExtent l="0" t="0" r="2540" b="76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407A55">
        <w:rPr>
          <w:rFonts w:ascii="Times New Roman" w:eastAsia="Times New Roman" w:hAnsi="Times New Roman" w:cs="Times New Roman"/>
          <w:sz w:val="27"/>
          <w:szCs w:val="27"/>
          <w:lang w:eastAsia="ru-RU"/>
        </w:rPr>
        <w:t xml:space="preserve">        Також в електронній </w:t>
      </w:r>
      <w:r w:rsidRPr="00407A55">
        <w:rPr>
          <w:rFonts w:ascii="Times New Roman" w:eastAsia="Times New Roman" w:hAnsi="Times New Roman" w:cs="Times New Roman"/>
          <w:color w:val="000000"/>
          <w:sz w:val="27"/>
          <w:szCs w:val="27"/>
          <w:shd w:val="clear" w:color="auto" w:fill="FFFFFF"/>
          <w:lang w:eastAsia="ru-RU"/>
        </w:rPr>
        <w:t xml:space="preserve">системі управління публічними інвестиціями DREAM </w:t>
      </w:r>
      <w:r w:rsidRPr="00407A55">
        <w:rPr>
          <w:rFonts w:ascii="Times New Roman" w:eastAsia="Times New Roman" w:hAnsi="Times New Roman" w:cs="Times New Roman"/>
          <w:sz w:val="27"/>
          <w:szCs w:val="27"/>
          <w:lang w:eastAsia="ru-RU"/>
        </w:rPr>
        <w:t xml:space="preserve">сформовано та схвалено Інвестиційною радою громади Єдиний проєктний портфель публічних інвестицій Броварської міської територіальної громади на 2026 рік, який складається з 27 інвестиційних проєктів за 6 пріоритетними галузями: </w:t>
      </w:r>
    </w:p>
    <w:p w:rsidR="00407A55" w:rsidRPr="00407A55" w:rsidP="00407A55" w14:paraId="3738E47D" w14:textId="77777777">
      <w:pPr>
        <w:spacing w:after="0" w:line="240" w:lineRule="auto"/>
        <w:ind w:firstLine="567"/>
        <w:jc w:val="center"/>
        <w:rPr>
          <w:rFonts w:ascii="Times New Roman" w:eastAsia="Times New Roman" w:hAnsi="Times New Roman" w:cs="Times New Roman"/>
          <w:b/>
          <w:bCs/>
          <w:sz w:val="27"/>
          <w:szCs w:val="27"/>
          <w:lang w:val="ru-RU" w:eastAsia="ru-RU"/>
        </w:rPr>
      </w:pPr>
      <w:r w:rsidRPr="00407A55">
        <w:rPr>
          <w:rFonts w:ascii="Times New Roman" w:eastAsia="Times New Roman" w:hAnsi="Times New Roman" w:cs="Times New Roman"/>
          <w:b/>
          <w:bCs/>
          <w:sz w:val="27"/>
          <w:szCs w:val="27"/>
          <w:lang w:eastAsia="ru-RU"/>
        </w:rPr>
        <w:t>Обсяг публічних інвестицій на 2026 рік за галузями, (%)</w:t>
      </w:r>
    </w:p>
    <w:p w:rsidR="00407A55" w:rsidRPr="00407A55" w:rsidP="00407A55" w14:paraId="1CA270D2" w14:textId="7BE6EDB1">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b/>
          <w:noProof/>
          <w:sz w:val="27"/>
          <w:szCs w:val="27"/>
          <w:lang w:eastAsia="ru-RU"/>
        </w:rPr>
        <w:drawing>
          <wp:inline distT="0" distB="0" distL="0" distR="0">
            <wp:extent cx="5876925" cy="30289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07A55" w:rsidRPr="00407A55" w:rsidP="00407A55" w14:paraId="1ECEEC54"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Розпорядженням Кабінету Міністрів України від 01.07.2026 № 646-р індустріальний парк «БУДШЛЯХМАШ» включено до Реєстру  індустріальних (промислових) парків України. Створення індустріального парку сприятиме залученню інвестицій на суму понад 1,2 млрд грн., створенню 500 нових робочих місць, розширенню вироб</w:t>
      </w:r>
      <w:r w:rsidRPr="00407A55">
        <w:rPr>
          <w:rFonts w:ascii="Times New Roman" w:eastAsia="Times New Roman" w:hAnsi="Times New Roman" w:cs="Times New Roman"/>
          <w:sz w:val="27"/>
          <w:szCs w:val="27"/>
          <w:lang w:eastAsia="ru-RU"/>
        </w:rPr>
        <w:softHyphen/>
        <w:t>ничого та експортного потенціалу регіону, модернізації місцевої інфраструктури.</w:t>
      </w:r>
    </w:p>
    <w:p w:rsidR="00407A55" w:rsidRPr="00407A55" w:rsidP="00407A55" w14:paraId="034D034C" w14:textId="77777777">
      <w:pPr>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Впродовж І півріччя 2026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будівництва захисної споруди цивільного захисту на території   дошкільного навчального закладу (ясла-садок) комбінованого типу «Зірочка»;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реконструкції інфекційного відділення  центру «Дитяча лікарня» КНТ «Броварська багатопрофільна клінічна лікарня» по вул. Ярослава Мудрого, 47 в м. Бровари Київської області;  ремонтні роботи з усунення аварії ліфтів, капітальні ремонти чотирьох ГРЩ-0,4кВ.; капітальні ремонти внутрішньоквартальних міжбудинкових проїздів та інші. </w:t>
      </w:r>
    </w:p>
    <w:p w:rsidR="00407A55" w:rsidRPr="00407A55" w:rsidP="00407A55" w14:paraId="3C84379A" w14:textId="77777777">
      <w:pPr>
        <w:shd w:val="clear" w:color="auto" w:fill="FFFFFF"/>
        <w:tabs>
          <w:tab w:val="left" w:pos="284"/>
          <w:tab w:val="left" w:pos="6662"/>
        </w:tabs>
        <w:spacing w:after="0" w:line="240" w:lineRule="auto"/>
        <w:ind w:firstLine="567"/>
        <w:jc w:val="center"/>
        <w:rPr>
          <w:rFonts w:ascii="Times New Roman" w:eastAsia="Times New Roman" w:hAnsi="Times New Roman" w:cs="Times New Roman"/>
          <w:b/>
          <w:color w:val="000000"/>
          <w:spacing w:val="-2"/>
          <w:sz w:val="27"/>
          <w:szCs w:val="27"/>
          <w:lang w:eastAsia="ru-RU"/>
        </w:rPr>
      </w:pPr>
    </w:p>
    <w:p w:rsidR="00407A55" w:rsidRPr="00407A55" w:rsidP="00407A55" w14:paraId="3755E33E" w14:textId="77777777">
      <w:pPr>
        <w:shd w:val="clear" w:color="auto" w:fill="FFFFFF"/>
        <w:tabs>
          <w:tab w:val="left" w:pos="284"/>
        </w:tabs>
        <w:spacing w:after="0" w:line="240" w:lineRule="auto"/>
        <w:ind w:firstLine="567"/>
        <w:jc w:val="center"/>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b/>
          <w:bCs/>
          <w:i/>
          <w:iCs/>
          <w:sz w:val="27"/>
          <w:szCs w:val="27"/>
          <w:lang w:eastAsia="ru-RU"/>
        </w:rPr>
        <w:t>Розвиток міжнародного співробітництва</w:t>
      </w:r>
    </w:p>
    <w:p w:rsidR="00407A55" w:rsidRPr="00407A55" w:rsidP="00407A55" w14:paraId="74FB9943"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У 2026 році продовжується співпраця з міжнародними партнерами з м. Фонтене-су-Буа (Французька Республіка), м. Єна, м. Ерланген та районом Лан-ділль (ФРН), м. Задар (Республіка Хорватія), м. Рокфорд та м. Такома (США), Гродзиського, Ґнєзненського та Красницького повітів (Республіка Польща), м. </w:t>
      </w:r>
      <w:r w:rsidRPr="00407A55">
        <w:rPr>
          <w:rFonts w:ascii="Times New Roman" w:eastAsia="Times New Roman" w:hAnsi="Times New Roman" w:cs="Times New Roman"/>
          <w:sz w:val="27"/>
          <w:szCs w:val="27"/>
          <w:lang w:eastAsia="ru-RU"/>
        </w:rPr>
        <w:t xml:space="preserve">Сілламяе (Естонія), м.Євле (Королівство Швеція). Проводиться робота щодо налагодження партнерських звꞌязківм з м.Лежа (Албанія). </w:t>
      </w:r>
    </w:p>
    <w:p w:rsidR="00407A55" w:rsidRPr="00407A55" w:rsidP="00407A55" w14:paraId="73339413" w14:textId="095F164D">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Продовжується співпраця  в наступних міжнародних програмах та проєктах: </w:t>
      </w:r>
    </w:p>
    <w:p w:rsidR="00407A55" w:rsidRPr="00407A55" w:rsidP="00407A55" w14:paraId="1CC49D1B" w14:textId="77777777">
      <w:pPr>
        <w:numPr>
          <w:ilvl w:val="0"/>
          <w:numId w:val="14"/>
        </w:numPr>
        <w:spacing w:after="0" w:line="240" w:lineRule="auto"/>
        <w:ind w:left="0"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професійній новаторській  програма з лідерства та управління BLOOMBERG LSE EUROPEAN CITY LEADERSHIP;</w:t>
      </w:r>
    </w:p>
    <w:p w:rsidR="00407A55" w:rsidRPr="00407A55" w:rsidP="00407A55" w14:paraId="3DCBE68E" w14:textId="77777777">
      <w:pPr>
        <w:numPr>
          <w:ilvl w:val="0"/>
          <w:numId w:val="14"/>
        </w:numPr>
        <w:spacing w:after="0" w:line="240" w:lineRule="auto"/>
        <w:ind w:left="0"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програмі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Deutsche Gesellschaft für Internationale Zusammenarbeit (GIZ) GmbH;  </w:t>
      </w:r>
    </w:p>
    <w:p w:rsidR="00407A55" w:rsidRPr="00407A55" w:rsidP="00407A55" w14:paraId="5258B5F1" w14:textId="77777777">
      <w:pPr>
        <w:numPr>
          <w:ilvl w:val="0"/>
          <w:numId w:val="14"/>
        </w:numPr>
        <w:spacing w:after="0" w:line="240" w:lineRule="auto"/>
        <w:ind w:left="0"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програмі Європейського Союзу «CERV» «Громадяни, рівність, права та цінність»: проєкт «Європейські перспективи: громадяни формують майбутнє»;</w:t>
      </w:r>
    </w:p>
    <w:p w:rsidR="00407A55" w:rsidRPr="00407A55" w:rsidP="00407A55" w14:paraId="3048CF05" w14:textId="77777777">
      <w:pPr>
        <w:numPr>
          <w:ilvl w:val="0"/>
          <w:numId w:val="14"/>
        </w:numPr>
        <w:spacing w:after="0" w:line="240" w:lineRule="auto"/>
        <w:ind w:left="0"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швейцарсько-українському проєкті </w:t>
      </w:r>
      <w:r w:rsidRPr="00407A55">
        <w:rPr>
          <w:rFonts w:ascii="Times New Roman" w:eastAsia="Times New Roman" w:hAnsi="Times New Roman" w:cs="Times New Roman"/>
          <w:color w:val="000000"/>
          <w:sz w:val="27"/>
          <w:szCs w:val="27"/>
          <w:lang w:val="en-US" w:eastAsia="ru-RU"/>
        </w:rPr>
        <w:t>DECIDE</w:t>
      </w:r>
      <w:r w:rsidRPr="00407A55">
        <w:rPr>
          <w:rFonts w:ascii="Times New Roman" w:eastAsia="Times New Roman" w:hAnsi="Times New Roman" w:cs="Times New Roman"/>
          <w:color w:val="000000"/>
          <w:sz w:val="27"/>
          <w:szCs w:val="27"/>
          <w:lang w:eastAsia="ru-RU"/>
        </w:rPr>
        <w:t xml:space="preserve"> для підтримка реформи професійної освіти в Україні»; </w:t>
      </w:r>
    </w:p>
    <w:p w:rsidR="00407A55" w:rsidRPr="00407A55" w:rsidP="00407A55" w14:paraId="743ABEF1" w14:textId="77777777">
      <w:pPr>
        <w:numPr>
          <w:ilvl w:val="0"/>
          <w:numId w:val="14"/>
        </w:numPr>
        <w:spacing w:after="0" w:line="240" w:lineRule="auto"/>
        <w:ind w:left="0"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програмі розвитку ООН (UNDP)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w:t>
      </w:r>
    </w:p>
    <w:p w:rsidR="00407A55" w:rsidRPr="00407A55" w:rsidP="00407A55" w14:paraId="0CBC1260" w14:textId="77777777">
      <w:pPr>
        <w:numPr>
          <w:ilvl w:val="0"/>
          <w:numId w:val="14"/>
        </w:numPr>
        <w:spacing w:after="0" w:line="240" w:lineRule="auto"/>
        <w:ind w:left="0"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проєкті «LEP4WORK – Місцеві партнерства з працевлаштування для гідної праці та ефективного управління ринком праці», що реалізується Українським жіночим фондом за підтримки Міжнародної організації праці;</w:t>
      </w:r>
    </w:p>
    <w:p w:rsidR="00407A55" w:rsidRPr="00407A55" w:rsidP="00407A55" w14:paraId="261992DE" w14:textId="77777777">
      <w:pPr>
        <w:numPr>
          <w:ilvl w:val="0"/>
          <w:numId w:val="14"/>
        </w:numPr>
        <w:spacing w:after="0" w:line="240" w:lineRule="auto"/>
        <w:ind w:left="0"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програмі «Зелене відновлення промисловості через муніципальний розвиток в Україні» за фінансування UNIDO, реалізація проєкту «Оновлення існуючого техніко-економічного обґрунтування реконструкції каналізаційних очисних споруд м. Бровари»;</w:t>
      </w:r>
    </w:p>
    <w:p w:rsidR="00407A55" w:rsidRPr="00407A55" w:rsidP="00407A55" w14:paraId="3E2405A5" w14:textId="77777777">
      <w:pPr>
        <w:numPr>
          <w:ilvl w:val="0"/>
          <w:numId w:val="14"/>
        </w:numPr>
        <w:spacing w:after="0" w:line="240" w:lineRule="auto"/>
        <w:ind w:left="0"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європейському проєкт «Шляхи співпраці» за реалізації Мережі асоціацій місцевих влад Південно-Східної Європи та інші.</w:t>
      </w:r>
    </w:p>
    <w:p w:rsidR="00407A55" w:rsidRPr="00407A55" w:rsidP="00407A55" w14:paraId="06F97139" w14:textId="13149A78">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color w:val="000000"/>
          <w:sz w:val="27"/>
          <w:szCs w:val="27"/>
          <w:lang w:eastAsia="ru-RU"/>
        </w:rPr>
        <w:t xml:space="preserve">Громада є членом </w:t>
      </w:r>
      <w:r w:rsidRPr="00407A55">
        <w:rPr>
          <w:rFonts w:ascii="Times New Roman" w:eastAsia="Times New Roman" w:hAnsi="Times New Roman" w:cs="Times New Roman"/>
          <w:sz w:val="27"/>
          <w:szCs w:val="27"/>
          <w:lang w:eastAsia="ru-RU"/>
        </w:rPr>
        <w:t>міжнародної організації ICLEI  «Місцеві органи влади за сталий розвиток»; є учасником європейської ініціативи «Угода мерів» та Міланського Пакту про  продовольчу політику у містах (MUFPP).</w:t>
      </w:r>
    </w:p>
    <w:p w:rsidR="00407A55" w:rsidRPr="00407A55" w:rsidP="00407A55" w14:paraId="2A7948DD" w14:textId="12C72FDF">
      <w:pPr>
        <w:spacing w:after="0" w:line="240" w:lineRule="auto"/>
        <w:ind w:firstLine="567"/>
        <w:jc w:val="both"/>
        <w:rPr>
          <w:rFonts w:ascii="Times New Roman" w:eastAsia="Times New Roman" w:hAnsi="Times New Roman" w:cs="Times New Roman"/>
          <w:iCs/>
          <w:sz w:val="27"/>
          <w:szCs w:val="27"/>
          <w:lang w:eastAsia="ru-RU"/>
        </w:rPr>
      </w:pPr>
      <w:r w:rsidRPr="00407A55">
        <w:rPr>
          <w:rFonts w:ascii="Times New Roman" w:eastAsia="Times New Roman" w:hAnsi="Times New Roman" w:cs="Times New Roman"/>
          <w:sz w:val="27"/>
          <w:szCs w:val="27"/>
          <w:lang w:eastAsia="ru-RU"/>
        </w:rPr>
        <w:t xml:space="preserve">На правах асоційованого партнера громада бере участь у роботі Європейського Альянсу міст і регіонів із відбудови України. Співпраця відбувається в рамках «Платформи з відбудови України» щодо отримання консультацій для міст і регіонів України з питань нарощування потенціалу, належного врядування й технічної допомоги, зміцнення місцевої демократії та підтримці спільних європейських цінностей. </w:t>
      </w:r>
    </w:p>
    <w:p w:rsidR="00407A55" w:rsidRPr="00407A55" w:rsidP="00407A55" w14:paraId="09ECFFC2" w14:textId="425C67B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рамках проєкту ««Муніципальні партнерства для цивільного захисту та відновлення в Україні» — </w:t>
      </w:r>
      <w:r w:rsidRPr="00407A55">
        <w:rPr>
          <w:rFonts w:ascii="Times New Roman" w:eastAsia="Times New Roman" w:hAnsi="Times New Roman" w:cs="Times New Roman"/>
          <w:sz w:val="27"/>
          <w:szCs w:val="27"/>
          <w:lang w:val="en-US" w:eastAsia="ru-RU"/>
        </w:rPr>
        <w:t>Reha</w:t>
      </w:r>
      <w:r w:rsidRPr="00407A55">
        <w:rPr>
          <w:rFonts w:ascii="Times New Roman" w:eastAsia="Times New Roman" w:hAnsi="Times New Roman" w:cs="Times New Roman"/>
          <w:sz w:val="27"/>
          <w:szCs w:val="27"/>
          <w:lang w:eastAsia="ru-RU"/>
        </w:rPr>
        <w:t xml:space="preserve">-1», що реалізується товариством </w:t>
      </w:r>
      <w:r w:rsidRPr="00407A55">
        <w:rPr>
          <w:rFonts w:ascii="Times New Roman" w:eastAsia="Times New Roman" w:hAnsi="Times New Roman" w:cs="Times New Roman"/>
          <w:sz w:val="27"/>
          <w:szCs w:val="27"/>
          <w:lang w:val="en-US" w:eastAsia="ru-RU"/>
        </w:rPr>
        <w:t>GIZ</w:t>
      </w:r>
      <w:r w:rsidRPr="00407A55">
        <w:rPr>
          <w:rFonts w:ascii="Times New Roman" w:eastAsia="Times New Roman" w:hAnsi="Times New Roman" w:cs="Times New Roman"/>
          <w:sz w:val="27"/>
          <w:szCs w:val="27"/>
          <w:lang w:eastAsia="ru-RU"/>
        </w:rPr>
        <w:t xml:space="preserve"> за фінансування Фонду Федерального Міністерства економічного співробітництва та розвитку Німеччини (BMZ), у співпраці із містами-партнерами Єна та Ерланген, ФРН, отримано комплект функціональних меблів та реабілітаційних тренажерів для Броварської багатопрофільної клінічної лікарні та два мікроавтобуса </w:t>
      </w:r>
      <w:r w:rsidRPr="00407A55">
        <w:rPr>
          <w:rFonts w:ascii="Times New Roman" w:eastAsia="Times New Roman" w:hAnsi="Times New Roman" w:cs="Times New Roman"/>
          <w:sz w:val="27"/>
          <w:szCs w:val="27"/>
          <w:lang w:val="en-US" w:eastAsia="ru-RU"/>
        </w:rPr>
        <w:t>Mercedes</w:t>
      </w:r>
      <w:r w:rsidRPr="00407A55">
        <w:rPr>
          <w:rFonts w:ascii="Times New Roman" w:eastAsia="Times New Roman" w:hAnsi="Times New Roman" w:cs="Times New Roman"/>
          <w:sz w:val="27"/>
          <w:szCs w:val="27"/>
          <w:lang w:eastAsia="ru-RU"/>
        </w:rPr>
        <w:t>-</w:t>
      </w:r>
      <w:r w:rsidRPr="00407A55">
        <w:rPr>
          <w:rFonts w:ascii="Times New Roman" w:eastAsia="Times New Roman" w:hAnsi="Times New Roman" w:cs="Times New Roman"/>
          <w:sz w:val="27"/>
          <w:szCs w:val="27"/>
          <w:lang w:val="en-US" w:eastAsia="ru-RU"/>
        </w:rPr>
        <w:t>Benz</w:t>
      </w:r>
      <w:r w:rsidRPr="00407A55">
        <w:rPr>
          <w:rFonts w:ascii="Times New Roman" w:eastAsia="Times New Roman" w:hAnsi="Times New Roman" w:cs="Times New Roman"/>
          <w:sz w:val="27"/>
          <w:szCs w:val="27"/>
          <w:lang w:eastAsia="ru-RU"/>
        </w:rPr>
        <w:t xml:space="preserve"> для підтримки комунальних служб та здійснення заходів із реабілітації осіб з обмеженими можливостями/ветеранів війни. </w:t>
      </w:r>
    </w:p>
    <w:p w:rsidR="00407A55" w:rsidRPr="00407A55" w:rsidP="00407A55" w14:paraId="641C752A"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рамках Фонду малих проєктів від Engagement Global за кошти Федерального міністерства економічного співробітництва та розвитку Німеччини </w:t>
      </w:r>
      <w:r w:rsidRPr="00407A55">
        <w:rPr>
          <w:rFonts w:ascii="Times New Roman" w:eastAsia="Times New Roman" w:hAnsi="Times New Roman" w:cs="Times New Roman"/>
          <w:sz w:val="27"/>
          <w:szCs w:val="27"/>
          <w:lang w:eastAsia="ru-RU"/>
        </w:rPr>
        <w:t xml:space="preserve">й міста-побратима Броварів Ерланген, ФРН придбано 107 сучасних високоточних лічильників води та систему дистанційного моніторингу для зчитування даних для КП «Броваритепловодоенергія» для встановлення в комунальних багатоквартирних будинках громади. </w:t>
      </w:r>
    </w:p>
    <w:p w:rsidR="00407A55" w:rsidRPr="00407A55" w:rsidP="00407A55" w14:paraId="32C7B53C"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За фінансування м. Ерланген (ФРН), придбано дизельний генератор, від міста Єна (ФРН) громада також отримала новий дизельний генератор, від пожежної службою м.Єна, ФРН  5-й Державний пожежно-рятувальний загон м. Бровари отримав генератор; за рахунок мешканців м.Фонтене-су-Буа, Франція, придбано та передано до Броварського Контакт центру зарядну станцію </w:t>
      </w:r>
      <w:r w:rsidRPr="00407A55">
        <w:rPr>
          <w:rFonts w:ascii="Times New Roman" w:eastAsia="Times New Roman" w:hAnsi="Times New Roman" w:cs="Times New Roman"/>
          <w:sz w:val="27"/>
          <w:szCs w:val="27"/>
          <w:lang w:val="en-US" w:eastAsia="ru-RU"/>
        </w:rPr>
        <w:t>EcoFlow</w:t>
      </w:r>
      <w:r w:rsidRPr="00407A55">
        <w:rPr>
          <w:rFonts w:ascii="Times New Roman" w:eastAsia="Times New Roman" w:hAnsi="Times New Roman" w:cs="Times New Roman"/>
          <w:sz w:val="27"/>
          <w:szCs w:val="27"/>
          <w:lang w:eastAsia="ru-RU"/>
        </w:rPr>
        <w:t>. Також отримано багатофункціональний колісний навантажувач від району Лан-Ділль, (ФРН) в рамках проєкту «Муніципальні партнерства для цивільного захисту та відновлення в Україні».  В рамках проєкту «Посилення постраждалих від війни громад України через місцеві ініціативи (</w:t>
      </w:r>
      <w:r w:rsidRPr="00407A55">
        <w:rPr>
          <w:rFonts w:ascii="Times New Roman" w:eastAsia="Times New Roman" w:hAnsi="Times New Roman" w:cs="Times New Roman"/>
          <w:sz w:val="27"/>
          <w:szCs w:val="27"/>
          <w:lang w:val="en-US" w:eastAsia="ru-RU"/>
        </w:rPr>
        <w:t>EMPOWER</w:t>
      </w:r>
      <w:r w:rsidRPr="00407A55">
        <w:rPr>
          <w:rFonts w:ascii="Times New Roman" w:eastAsia="Times New Roman" w:hAnsi="Times New Roman" w:cs="Times New Roman"/>
          <w:sz w:val="27"/>
          <w:szCs w:val="27"/>
          <w:lang w:eastAsia="ru-RU"/>
        </w:rPr>
        <w:t xml:space="preserve">)» від німецького товариства міжнародного співробітництва GIZ отримано 3 гібрідні СЕС потужністю 38 кВт для 3-х ЗДО громади та 3 системи зберігання енергії(СЗЕ) потужністю 60 кВт для 3-х котелен. </w:t>
      </w:r>
    </w:p>
    <w:p w:rsidR="00407A55" w:rsidRPr="00407A55" w:rsidP="00407A55" w14:paraId="328084A2"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Крім того, в звітному періоді отримано 13 генераторів від БО «</w:t>
      </w:r>
      <w:r w:rsidRPr="00407A55">
        <w:rPr>
          <w:rFonts w:ascii="Times New Roman" w:eastAsia="Times New Roman" w:hAnsi="Times New Roman" w:cs="Times New Roman"/>
          <w:sz w:val="27"/>
          <w:szCs w:val="27"/>
          <w:lang w:val="en-US" w:eastAsia="ru-RU"/>
        </w:rPr>
        <w:t>Team</w:t>
      </w:r>
      <w:r w:rsidRPr="00407A55">
        <w:rPr>
          <w:rFonts w:ascii="Times New Roman" w:eastAsia="Times New Roman" w:hAnsi="Times New Roman" w:cs="Times New Roman"/>
          <w:sz w:val="27"/>
          <w:szCs w:val="27"/>
          <w:lang w:eastAsia="ru-RU"/>
        </w:rPr>
        <w:t>4</w:t>
      </w:r>
      <w:r w:rsidRPr="00407A55">
        <w:rPr>
          <w:rFonts w:ascii="Times New Roman" w:eastAsia="Times New Roman" w:hAnsi="Times New Roman" w:cs="Times New Roman"/>
          <w:sz w:val="27"/>
          <w:szCs w:val="27"/>
          <w:lang w:val="en-US" w:eastAsia="ru-RU"/>
        </w:rPr>
        <w:t>Ukraine</w:t>
      </w:r>
      <w:r w:rsidRPr="00407A55">
        <w:rPr>
          <w:rFonts w:ascii="Times New Roman" w:eastAsia="Times New Roman" w:hAnsi="Times New Roman" w:cs="Times New Roman"/>
          <w:sz w:val="27"/>
          <w:szCs w:val="27"/>
          <w:lang w:eastAsia="ru-RU"/>
        </w:rPr>
        <w:t xml:space="preserve">» (Чехія),  вантажний пожежний автомобіль Mercedes-Benz від компанії HatchTech Global B.V.(Нідерланди). </w:t>
      </w:r>
    </w:p>
    <w:p w:rsidR="00407A55" w:rsidRPr="00407A55" w:rsidP="00407A55" w14:paraId="076CF96C"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В рамках співпраці діти нашої громади долучались до міжнародних змагань з плавання в м. Ерланген. </w:t>
      </w:r>
    </w:p>
    <w:p w:rsidR="00407A55" w:rsidRPr="00407A55" w:rsidP="00407A55" w14:paraId="7AA94B0B"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Група дітей пільгових категорій Броварської громади в червні поточного року відпочивала у Ґродзиському повіті (Республіки Польща).</w:t>
      </w:r>
    </w:p>
    <w:p w:rsidR="00407A55" w:rsidRPr="00407A55" w:rsidP="00407A55" w14:paraId="4BB0E8A5"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Підприємства громади здійснюють експорт продукції в різні країни світу. В 2023 році розпочало свою діяльність підприємство ТОВ «ПАТРІОТ-ПЛАСТ», яке на сьогодні постачає високоякісні підвіконня для віконних систем ПВХ до Німеччини, Польщі, країн Балтії, Словаччини, Болгарії, Молдови, Румунії.</w:t>
      </w:r>
    </w:p>
    <w:p w:rsidR="00407A55" w:rsidRPr="00407A55" w:rsidP="00407A55" w14:paraId="5CD9E153" w14:textId="77777777">
      <w:pPr>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Експортерами також є ТОВ "ВІВО-АКТИВ" -  виробник заквасок та пробіотиків, ТОВ "Німецько - Українська НВФ "Бровафарма" – виробник фармацевтичних препаратів для тварин, ТОВ "Київгума" – виробник гумових виробів будь-якої складності, ТОВ "Орієнтир-буделемент" – виробник газоблоків, ТОВ «Абрісо ЮА» - виробник  поліетиленової (PE) і полістиролової (PS) піни і повітряно-пухирчастої плівки для упаковки, АТ "Бротеп-Еко" виробник градирень (відкритого/закритого типу) та комплектуючих тощо.</w:t>
      </w:r>
    </w:p>
    <w:p w:rsidR="00407A55" w:rsidRPr="00407A55" w:rsidP="00407A55" w14:paraId="2DA60FC2" w14:textId="77777777">
      <w:pPr>
        <w:spacing w:after="0" w:line="240" w:lineRule="auto"/>
        <w:ind w:firstLine="567"/>
        <w:jc w:val="both"/>
        <w:rPr>
          <w:rFonts w:ascii="Times New Roman" w:eastAsia="Times New Roman" w:hAnsi="Times New Roman" w:cs="Times New Roman"/>
          <w:color w:val="538135"/>
          <w:sz w:val="27"/>
          <w:szCs w:val="27"/>
          <w:lang w:eastAsia="ru-RU"/>
        </w:rPr>
      </w:pPr>
    </w:p>
    <w:p w:rsidR="00407A55" w:rsidRPr="00407A55" w:rsidP="00407A55" w14:paraId="56B760D0" w14:textId="77777777">
      <w:pPr>
        <w:shd w:val="clear" w:color="auto" w:fill="FFFFFF"/>
        <w:tabs>
          <w:tab w:val="left" w:pos="284"/>
          <w:tab w:val="left" w:pos="6662"/>
        </w:tabs>
        <w:spacing w:after="0" w:line="240" w:lineRule="auto"/>
        <w:ind w:firstLine="567"/>
        <w:jc w:val="center"/>
        <w:rPr>
          <w:rFonts w:ascii="Times New Roman" w:eastAsia="Times New Roman" w:hAnsi="Times New Roman" w:cs="Times New Roman"/>
          <w:b/>
          <w:i/>
          <w:iCs/>
          <w:color w:val="000000"/>
          <w:spacing w:val="-2"/>
          <w:sz w:val="27"/>
          <w:szCs w:val="27"/>
          <w:lang w:eastAsia="ru-RU"/>
        </w:rPr>
      </w:pPr>
      <w:r w:rsidRPr="00407A55">
        <w:rPr>
          <w:rFonts w:ascii="Times New Roman" w:eastAsia="Times New Roman" w:hAnsi="Times New Roman" w:cs="Times New Roman"/>
          <w:b/>
          <w:i/>
          <w:iCs/>
          <w:color w:val="000000"/>
          <w:spacing w:val="-2"/>
          <w:sz w:val="27"/>
          <w:szCs w:val="27"/>
          <w:lang w:eastAsia="ru-RU"/>
        </w:rPr>
        <w:t>Містобудівна діяльність</w:t>
      </w:r>
    </w:p>
    <w:p w:rsidR="00407A55" w:rsidRPr="00407A55" w:rsidP="00407A55" w14:paraId="5409F583" w14:textId="77777777">
      <w:pPr>
        <w:spacing w:after="0" w:line="240" w:lineRule="auto"/>
        <w:ind w:firstLine="567"/>
        <w:contextualSpacing/>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В громаді діють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та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407A55" w:rsidRPr="00407A55" w:rsidP="00407A55" w14:paraId="1D1C764A" w14:textId="77777777">
      <w:pPr>
        <w:spacing w:after="0" w:line="240" w:lineRule="auto"/>
        <w:ind w:firstLine="567"/>
        <w:contextualSpacing/>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 xml:space="preserve">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w:t>
      </w:r>
      <w:r w:rsidRPr="00407A55">
        <w:rPr>
          <w:rFonts w:ascii="Times New Roman" w:eastAsia="Times New Roman" w:hAnsi="Times New Roman" w:cs="Times New Roman"/>
          <w:color w:val="000000"/>
          <w:sz w:val="27"/>
          <w:szCs w:val="27"/>
          <w:lang w:val="ru-RU" w:eastAsia="ru-RU"/>
        </w:rPr>
        <w:t>Броварській міській територіальній громаді Броварського району Київської області на 2025-2029 роки, у звітному періоді профінансовано заходів на суму 150,0 тис. грн.</w:t>
      </w:r>
    </w:p>
    <w:p w:rsidR="00407A55" w:rsidRPr="00407A55" w:rsidP="00407A55" w14:paraId="67F2A43C" w14:textId="77777777">
      <w:pPr>
        <w:spacing w:after="0" w:line="240" w:lineRule="auto"/>
        <w:ind w:firstLine="567"/>
        <w:contextualSpacing/>
        <w:jc w:val="both"/>
        <w:rPr>
          <w:rFonts w:ascii="Times New Roman" w:eastAsia="Times New Roman" w:hAnsi="Times New Roman" w:cs="Times New Roman"/>
          <w:color w:val="000000"/>
          <w:sz w:val="27"/>
          <w:szCs w:val="27"/>
          <w:lang w:val="ru-RU" w:eastAsia="ru-RU"/>
        </w:rPr>
      </w:pPr>
      <w:r w:rsidRPr="00407A55">
        <w:rPr>
          <w:rFonts w:ascii="Times New Roman" w:eastAsia="Times New Roman" w:hAnsi="Times New Roman" w:cs="Times New Roman"/>
          <w:color w:val="000000"/>
          <w:sz w:val="27"/>
          <w:szCs w:val="27"/>
          <w:lang w:val="ru-RU" w:eastAsia="ru-RU"/>
        </w:rPr>
        <w:t>У І півріччі 2026 року  в сфері містобудування та архітектури надано: містобудівних умов та обмеження для проєктування об’єктів будівництва – 79; надання мотивованих висновків про можливість розміщення на земельній ділянці відповідного об’єкта – 8; будівельних паспортів забудови земельних ділянок – 15; присвоєно 202 адреси; 46 змін, відмов, скасування містобудівних умов та обмежень; 2 – відмови мотивованих висновків; надано 109 дозволів на розміщення зовнішньої реклами; оформлено 12 паспортів прив’язок тимчасових споруд; 334 витягів із містобудівної документації та викопіювань з топозйомки.</w:t>
      </w:r>
    </w:p>
    <w:p w:rsidR="00407A55" w:rsidRPr="00407A55" w:rsidP="00407A55" w14:paraId="62938A34" w14:textId="77777777">
      <w:pPr>
        <w:spacing w:after="0" w:line="240" w:lineRule="auto"/>
        <w:ind w:firstLine="567"/>
        <w:contextualSpacing/>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У звітному періоді продовжувалась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Показник верифікації – 12107 адрес, що складає 62,3 % від загальної кількості адрес громади.</w:t>
      </w:r>
    </w:p>
    <w:p w:rsidR="00407A55" w:rsidRPr="00407A55" w:rsidP="00407A55" w14:paraId="5129E91F" w14:textId="77777777">
      <w:pPr>
        <w:tabs>
          <w:tab w:val="left" w:pos="9781"/>
        </w:tabs>
        <w:spacing w:after="0" w:line="240" w:lineRule="auto"/>
        <w:ind w:firstLine="567"/>
        <w:jc w:val="both"/>
        <w:rPr>
          <w:rFonts w:ascii="Times New Roman" w:eastAsia="Times New Roman" w:hAnsi="Times New Roman" w:cs="Times New Roman"/>
          <w:sz w:val="27"/>
          <w:szCs w:val="27"/>
          <w:highlight w:val="yellow"/>
          <w:lang w:eastAsia="ru-RU"/>
        </w:rPr>
      </w:pPr>
      <w:r w:rsidRPr="00407A55">
        <w:rPr>
          <w:rFonts w:ascii="Times New Roman" w:eastAsia="Times New Roman" w:hAnsi="Times New Roman" w:cs="Times New Roman"/>
          <w:sz w:val="27"/>
          <w:szCs w:val="27"/>
          <w:lang w:eastAsia="ru-RU"/>
        </w:rPr>
        <w:t>З метою створення повноцінної інформаційної бази даних</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щодо</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земель</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Броварської</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міської</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територіальної</w:t>
      </w:r>
      <w:r w:rsidRPr="00407A55">
        <w:rPr>
          <w:rFonts w:ascii="Times New Roman" w:eastAsia="Times New Roman" w:hAnsi="Times New Roman" w:cs="Times New Roman"/>
          <w:spacing w:val="53"/>
          <w:sz w:val="27"/>
          <w:szCs w:val="27"/>
          <w:lang w:eastAsia="ru-RU"/>
        </w:rPr>
        <w:t xml:space="preserve"> </w:t>
      </w:r>
      <w:r w:rsidRPr="00407A55">
        <w:rPr>
          <w:rFonts w:ascii="Times New Roman" w:eastAsia="Times New Roman" w:hAnsi="Times New Roman" w:cs="Times New Roman"/>
          <w:sz w:val="27"/>
          <w:szCs w:val="27"/>
          <w:lang w:eastAsia="ru-RU"/>
        </w:rPr>
        <w:t>громади, на виконання Програми проведення інвентаризації земель на</w:t>
      </w:r>
      <w:r w:rsidRPr="00407A55">
        <w:rPr>
          <w:rFonts w:ascii="Times New Roman" w:eastAsia="Times New Roman" w:hAnsi="Times New Roman" w:cs="Times New Roman"/>
          <w:spacing w:val="80"/>
          <w:w w:val="150"/>
          <w:sz w:val="27"/>
          <w:szCs w:val="27"/>
          <w:lang w:eastAsia="ru-RU"/>
        </w:rPr>
        <w:t xml:space="preserve"> </w:t>
      </w:r>
      <w:r w:rsidRPr="00407A55">
        <w:rPr>
          <w:rFonts w:ascii="Times New Roman" w:eastAsia="Times New Roman" w:hAnsi="Times New Roman" w:cs="Times New Roman"/>
          <w:sz w:val="27"/>
          <w:szCs w:val="27"/>
          <w:lang w:eastAsia="ru-RU"/>
        </w:rPr>
        <w:t>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w:t>
      </w:r>
      <w:r w:rsidRPr="00407A55">
        <w:rPr>
          <w:rFonts w:ascii="Times New Roman" w:eastAsia="Times New Roman" w:hAnsi="Times New Roman" w:cs="Times New Roman"/>
          <w:spacing w:val="40"/>
          <w:sz w:val="27"/>
          <w:szCs w:val="27"/>
          <w:lang w:eastAsia="ru-RU"/>
        </w:rPr>
        <w:t xml:space="preserve"> </w:t>
      </w:r>
      <w:r w:rsidRPr="00407A55">
        <w:rPr>
          <w:rFonts w:ascii="Times New Roman" w:eastAsia="Times New Roman" w:hAnsi="Times New Roman" w:cs="Times New Roman"/>
          <w:sz w:val="27"/>
          <w:szCs w:val="27"/>
          <w:lang w:eastAsia="ru-RU"/>
        </w:rPr>
        <w:t>Київської</w:t>
      </w:r>
      <w:r w:rsidRPr="00407A55">
        <w:rPr>
          <w:rFonts w:ascii="Times New Roman" w:eastAsia="Times New Roman" w:hAnsi="Times New Roman" w:cs="Times New Roman"/>
          <w:spacing w:val="40"/>
          <w:sz w:val="27"/>
          <w:szCs w:val="27"/>
          <w:lang w:eastAsia="ru-RU"/>
        </w:rPr>
        <w:t xml:space="preserve"> </w:t>
      </w:r>
      <w:r w:rsidRPr="00407A55">
        <w:rPr>
          <w:rFonts w:ascii="Times New Roman" w:eastAsia="Times New Roman" w:hAnsi="Times New Roman" w:cs="Times New Roman"/>
          <w:sz w:val="27"/>
          <w:szCs w:val="27"/>
          <w:lang w:eastAsia="ru-RU"/>
        </w:rPr>
        <w:t>області</w:t>
      </w:r>
      <w:r w:rsidRPr="00407A55">
        <w:rPr>
          <w:rFonts w:ascii="Times New Roman" w:eastAsia="Times New Roman" w:hAnsi="Times New Roman" w:cs="Times New Roman"/>
          <w:spacing w:val="40"/>
          <w:sz w:val="27"/>
          <w:szCs w:val="27"/>
          <w:lang w:eastAsia="ru-RU"/>
        </w:rPr>
        <w:t xml:space="preserve"> </w:t>
      </w:r>
      <w:r w:rsidRPr="00407A55">
        <w:rPr>
          <w:rFonts w:ascii="Times New Roman" w:eastAsia="Times New Roman" w:hAnsi="Times New Roman" w:cs="Times New Roman"/>
          <w:sz w:val="27"/>
          <w:szCs w:val="27"/>
          <w:lang w:eastAsia="ru-RU"/>
        </w:rPr>
        <w:t>на</w:t>
      </w:r>
      <w:r w:rsidRPr="00407A55">
        <w:rPr>
          <w:rFonts w:ascii="Times New Roman" w:eastAsia="Times New Roman" w:hAnsi="Times New Roman" w:cs="Times New Roman"/>
          <w:spacing w:val="40"/>
          <w:sz w:val="27"/>
          <w:szCs w:val="27"/>
          <w:lang w:eastAsia="ru-RU"/>
        </w:rPr>
        <w:t xml:space="preserve"> </w:t>
      </w:r>
      <w:r w:rsidRPr="00407A55">
        <w:rPr>
          <w:rFonts w:ascii="Times New Roman" w:eastAsia="Times New Roman" w:hAnsi="Times New Roman" w:cs="Times New Roman"/>
          <w:sz w:val="27"/>
          <w:szCs w:val="27"/>
          <w:lang w:eastAsia="ru-RU"/>
        </w:rPr>
        <w:t>2023-2026</w:t>
      </w:r>
      <w:r w:rsidRPr="00407A55">
        <w:rPr>
          <w:rFonts w:ascii="Times New Roman" w:eastAsia="Times New Roman" w:hAnsi="Times New Roman" w:cs="Times New Roman"/>
          <w:spacing w:val="40"/>
          <w:sz w:val="27"/>
          <w:szCs w:val="27"/>
          <w:lang w:eastAsia="ru-RU"/>
        </w:rPr>
        <w:t xml:space="preserve"> </w:t>
      </w:r>
      <w:r w:rsidRPr="00407A55">
        <w:rPr>
          <w:rFonts w:ascii="Times New Roman" w:eastAsia="Times New Roman" w:hAnsi="Times New Roman" w:cs="Times New Roman"/>
          <w:sz w:val="27"/>
          <w:szCs w:val="27"/>
          <w:lang w:eastAsia="ru-RU"/>
        </w:rPr>
        <w:t>роки, рішенням Броварської міської ради Броварського району Київської області від 29.01.2026 №2529-110-08 затверджено технічну документацію із землеустрою щодо інвентаризації земель на території Броварської міської територіальної громади Київської області (в межах та за межами населених пунктів с. Княжичі,  с. Сотницьке, с. Требухів).</w:t>
      </w:r>
      <w:r w:rsidRPr="00407A55">
        <w:rPr>
          <w:rFonts w:ascii="Times New Roman" w:eastAsia="Times New Roman" w:hAnsi="Times New Roman" w:cs="Times New Roman"/>
          <w:sz w:val="27"/>
          <w:szCs w:val="27"/>
          <w:highlight w:val="yellow"/>
          <w:lang w:eastAsia="ru-RU"/>
        </w:rPr>
        <w:t xml:space="preserve"> </w:t>
      </w:r>
    </w:p>
    <w:p w:rsidR="00407A55" w:rsidRPr="00407A55" w:rsidP="00407A55" w14:paraId="4FE12A3F" w14:textId="77777777">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407A55">
        <w:rPr>
          <w:rFonts w:ascii="Times New Roman" w:eastAsia="Times New Roman" w:hAnsi="Times New Roman" w:cs="Times New Roman"/>
          <w:color w:val="000000"/>
          <w:sz w:val="27"/>
          <w:szCs w:val="27"/>
          <w:lang w:eastAsia="ru-RU"/>
        </w:rPr>
        <w:t xml:space="preserve">Крім того, з метою регулювання земельних </w:t>
      </w:r>
      <w:r w:rsidRPr="00407A55">
        <w:rPr>
          <w:rFonts w:ascii="Times New Roman" w:eastAsia="Times New Roman" w:hAnsi="Times New Roman" w:cs="Times New Roman"/>
          <w:color w:val="0A0A0A"/>
          <w:sz w:val="27"/>
          <w:szCs w:val="27"/>
          <w:lang w:eastAsia="ru-RU"/>
        </w:rPr>
        <w:t xml:space="preserve">відносин, визначення розміру податків та орендної плати, на сесії Броварської міської ради Броварського району Київської області </w:t>
      </w:r>
      <w:r w:rsidRPr="00407A55">
        <w:rPr>
          <w:rFonts w:ascii="Times New Roman" w:eastAsia="Times New Roman" w:hAnsi="Times New Roman" w:cs="Times New Roman"/>
          <w:color w:val="000000"/>
          <w:sz w:val="27"/>
          <w:szCs w:val="27"/>
          <w:lang w:eastAsia="ru-RU"/>
        </w:rPr>
        <w:t>прийнято рішення від 25.06.2026 року №2803-119-08 «Про затвердження технічної документації з нормативної грошової оцінки земельних ділянок міста Бровари Броварського району Київської області», яке вводиться в дію з 01.01.2027 року.</w:t>
      </w:r>
    </w:p>
    <w:p w:rsidR="00407A55" w:rsidRPr="00407A55" w:rsidP="00407A55" w14:paraId="0C1E8084" w14:textId="77777777">
      <w:pPr>
        <w:spacing w:after="0" w:line="240" w:lineRule="auto"/>
        <w:ind w:right="141" w:firstLine="567"/>
        <w:jc w:val="both"/>
        <w:rPr>
          <w:rFonts w:ascii="Times New Roman" w:eastAsia="Times New Roman" w:hAnsi="Times New Roman" w:cs="Times New Roman"/>
          <w:color w:val="000000"/>
          <w:sz w:val="27"/>
          <w:szCs w:val="27"/>
        </w:rPr>
      </w:pPr>
    </w:p>
    <w:p w:rsidR="00407A55" w:rsidRPr="00407A55" w:rsidP="00407A55" w14:paraId="09350253" w14:textId="77777777">
      <w:pPr>
        <w:tabs>
          <w:tab w:val="left" w:pos="284"/>
        </w:tabs>
        <w:spacing w:after="0" w:line="240" w:lineRule="auto"/>
        <w:ind w:firstLine="567"/>
        <w:jc w:val="center"/>
        <w:rPr>
          <w:rFonts w:ascii="Times New Roman" w:eastAsia="Times New Roman" w:hAnsi="Times New Roman" w:cs="Times New Roman"/>
          <w:b/>
          <w:i/>
          <w:sz w:val="27"/>
          <w:szCs w:val="27"/>
          <w:lang w:eastAsia="ru-RU"/>
        </w:rPr>
      </w:pPr>
      <w:r w:rsidRPr="00407A55">
        <w:rPr>
          <w:rFonts w:ascii="Times New Roman" w:eastAsia="Times New Roman" w:hAnsi="Times New Roman" w:cs="Times New Roman"/>
          <w:b/>
          <w:i/>
          <w:sz w:val="27"/>
          <w:szCs w:val="27"/>
          <w:lang w:eastAsia="ru-RU"/>
        </w:rPr>
        <w:t>Фінансові ресурси</w:t>
      </w:r>
    </w:p>
    <w:p w:rsidR="00407A55" w:rsidRPr="00407A55" w:rsidP="00407A55" w14:paraId="51A6F0BC" w14:textId="77777777">
      <w:pPr>
        <w:spacing w:after="0" w:line="240" w:lineRule="auto"/>
        <w:ind w:firstLine="567"/>
        <w:contextualSpacing/>
        <w:jc w:val="both"/>
        <w:rPr>
          <w:rFonts w:ascii="Times New Roman" w:eastAsia="Times New Roman" w:hAnsi="Times New Roman" w:cs="Times New Roman"/>
          <w:sz w:val="27"/>
          <w:szCs w:val="27"/>
        </w:rPr>
      </w:pPr>
      <w:r w:rsidRPr="00407A55">
        <w:rPr>
          <w:rFonts w:ascii="Times New Roman" w:eastAsia="Times New Roman" w:hAnsi="Times New Roman" w:cs="Times New Roman"/>
          <w:bCs/>
          <w:sz w:val="27"/>
          <w:szCs w:val="27"/>
        </w:rPr>
        <w:t xml:space="preserve">У І півріччі 2026 року обсяг </w:t>
      </w:r>
      <w:r w:rsidRPr="00407A55">
        <w:rPr>
          <w:rFonts w:ascii="Times New Roman" w:eastAsia="Times New Roman" w:hAnsi="Times New Roman" w:cs="Times New Roman"/>
          <w:iCs/>
          <w:sz w:val="27"/>
          <w:szCs w:val="27"/>
        </w:rPr>
        <w:t>доходної частини</w:t>
      </w:r>
      <w:r w:rsidRPr="00407A55">
        <w:rPr>
          <w:rFonts w:ascii="Times New Roman" w:eastAsia="Times New Roman" w:hAnsi="Times New Roman" w:cs="Times New Roman"/>
          <w:bCs/>
          <w:sz w:val="27"/>
          <w:szCs w:val="27"/>
        </w:rPr>
        <w:t xml:space="preserve"> місцевого</w:t>
      </w:r>
      <w:r w:rsidRPr="00407A55">
        <w:rPr>
          <w:rFonts w:ascii="Times New Roman" w:eastAsia="Times New Roman" w:hAnsi="Times New Roman" w:cs="Times New Roman"/>
          <w:iCs/>
          <w:sz w:val="27"/>
          <w:szCs w:val="27"/>
        </w:rPr>
        <w:t xml:space="preserve"> бюджету</w:t>
      </w:r>
      <w:r w:rsidRPr="00407A55">
        <w:rPr>
          <w:rFonts w:ascii="Times New Roman" w:eastAsia="Times New Roman" w:hAnsi="Times New Roman" w:cs="Times New Roman"/>
          <w:bCs/>
          <w:sz w:val="27"/>
          <w:szCs w:val="27"/>
        </w:rPr>
        <w:t xml:space="preserve"> склав 1 862,605 млн. грн., з них надходження до загального фонду – 1 730,912 млн. грн. (в тому числі трансферти – 438,268 млн. грн.), до спеціального фонду –  131,692 млн. грн. (в тому числі трансферти – 2,084 млн. грн., власні надходження бюджетних установ –</w:t>
      </w:r>
      <w:r w:rsidRPr="00407A55">
        <w:rPr>
          <w:rFonts w:ascii="Times New Roman" w:eastAsia="Times New Roman" w:hAnsi="Times New Roman" w:cs="Times New Roman"/>
          <w:sz w:val="27"/>
          <w:szCs w:val="27"/>
        </w:rPr>
        <w:t xml:space="preserve"> 111,210 млн. грн.).</w:t>
      </w:r>
    </w:p>
    <w:p w:rsidR="00407A55" w:rsidRPr="00407A55" w:rsidP="00407A55" w14:paraId="0C6E3A2F" w14:textId="77777777">
      <w:pPr>
        <w:shd w:val="clear" w:color="auto" w:fill="FFFFFF"/>
        <w:tabs>
          <w:tab w:val="left" w:pos="284"/>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Основними  бюджетоутворюючими  джерелами місцевого бюджету: податок на доходи фізичних осіб, податок на майно, єдиний податок, акцизний податок. </w:t>
      </w:r>
    </w:p>
    <w:p w:rsidR="00407A55" w:rsidP="00407A55" w14:paraId="1CE1DD8B" w14:textId="77777777">
      <w:pPr>
        <w:tabs>
          <w:tab w:val="left" w:pos="284"/>
        </w:tabs>
        <w:spacing w:after="0" w:line="240" w:lineRule="auto"/>
        <w:ind w:firstLine="567"/>
        <w:jc w:val="center"/>
        <w:rPr>
          <w:rFonts w:ascii="Times New Roman" w:eastAsia="Times New Roman" w:hAnsi="Times New Roman" w:cs="Times New Roman"/>
          <w:b/>
          <w:bCs/>
          <w:color w:val="000000"/>
          <w:sz w:val="27"/>
          <w:szCs w:val="27"/>
          <w:lang w:eastAsia="ru-RU"/>
        </w:rPr>
      </w:pPr>
    </w:p>
    <w:p w:rsidR="00407A55" w:rsidP="00407A55" w14:paraId="43C99106" w14:textId="77777777">
      <w:pPr>
        <w:tabs>
          <w:tab w:val="left" w:pos="284"/>
        </w:tabs>
        <w:spacing w:after="0" w:line="240" w:lineRule="auto"/>
        <w:ind w:firstLine="567"/>
        <w:jc w:val="center"/>
        <w:rPr>
          <w:rFonts w:ascii="Times New Roman" w:eastAsia="Times New Roman" w:hAnsi="Times New Roman" w:cs="Times New Roman"/>
          <w:b/>
          <w:bCs/>
          <w:color w:val="000000"/>
          <w:sz w:val="27"/>
          <w:szCs w:val="27"/>
          <w:lang w:eastAsia="ru-RU"/>
        </w:rPr>
      </w:pPr>
    </w:p>
    <w:p w:rsidR="00407A55" w:rsidRPr="00407A55" w:rsidP="00407A55" w14:paraId="7BBAE766" w14:textId="1FFCE428">
      <w:pPr>
        <w:tabs>
          <w:tab w:val="left" w:pos="284"/>
        </w:tabs>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 xml:space="preserve">Структура надходжень до загального фонду бюджету громади </w:t>
      </w:r>
    </w:p>
    <w:p w:rsidR="00407A55" w:rsidRPr="00407A55" w:rsidP="00407A55" w14:paraId="4C4C3B73" w14:textId="77777777">
      <w:pPr>
        <w:tabs>
          <w:tab w:val="left" w:pos="284"/>
        </w:tabs>
        <w:spacing w:after="0" w:line="240" w:lineRule="auto"/>
        <w:ind w:firstLine="567"/>
        <w:jc w:val="center"/>
        <w:rPr>
          <w:rFonts w:ascii="Times New Roman" w:eastAsia="Times New Roman" w:hAnsi="Times New Roman" w:cs="Times New Roman"/>
          <w:b/>
          <w:bCs/>
          <w:color w:val="000000"/>
          <w:sz w:val="27"/>
          <w:szCs w:val="27"/>
          <w:lang w:eastAsia="ru-RU"/>
        </w:rPr>
      </w:pPr>
      <w:r w:rsidRPr="00407A55">
        <w:rPr>
          <w:rFonts w:ascii="Times New Roman" w:eastAsia="Times New Roman" w:hAnsi="Times New Roman" w:cs="Times New Roman"/>
          <w:b/>
          <w:bCs/>
          <w:color w:val="000000"/>
          <w:sz w:val="27"/>
          <w:szCs w:val="27"/>
          <w:lang w:eastAsia="ru-RU"/>
        </w:rPr>
        <w:t>за І півріччя 2026 року, (млн. грн.)</w:t>
      </w:r>
    </w:p>
    <w:p w:rsidR="00407A55" w:rsidRPr="00407A55" w:rsidP="00407A55" w14:paraId="23918D4F" w14:textId="2CD45C61">
      <w:pPr>
        <w:tabs>
          <w:tab w:val="left" w:pos="284"/>
        </w:tabs>
        <w:spacing w:after="0" w:line="240" w:lineRule="auto"/>
        <w:ind w:firstLine="567"/>
        <w:jc w:val="center"/>
        <w:rPr>
          <w:rFonts w:ascii="Times New Roman" w:eastAsia="MS Mincho" w:hAnsi="Times New Roman" w:cs="Times New Roman"/>
          <w:b/>
          <w:bCs/>
          <w:sz w:val="27"/>
          <w:szCs w:val="27"/>
          <w:lang w:val="ru-RU" w:eastAsia="ru-RU"/>
        </w:rPr>
      </w:pPr>
      <w:r w:rsidRPr="00407A55">
        <w:rPr>
          <w:rFonts w:ascii="Times New Roman" w:eastAsia="Times New Roman" w:hAnsi="Times New Roman" w:cs="Times New Roman"/>
          <w:noProof/>
          <w:sz w:val="27"/>
          <w:szCs w:val="27"/>
          <w:lang w:eastAsia="ru-RU"/>
        </w:rPr>
        <w:drawing>
          <wp:inline distT="0" distB="0" distL="0" distR="0">
            <wp:extent cx="5703570" cy="3676015"/>
            <wp:effectExtent l="0" t="0" r="11430" b="6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07A55" w:rsidRPr="00407A55" w:rsidP="00407A55" w14:paraId="6C6E9A34" w14:textId="77777777">
      <w:pPr>
        <w:tabs>
          <w:tab w:val="left" w:pos="284"/>
        </w:tabs>
        <w:spacing w:after="0" w:line="240" w:lineRule="auto"/>
        <w:ind w:firstLine="567"/>
        <w:jc w:val="center"/>
        <w:rPr>
          <w:rFonts w:ascii="Times New Roman" w:eastAsia="MS Mincho" w:hAnsi="Times New Roman" w:cs="Times New Roman"/>
          <w:b/>
          <w:bCs/>
          <w:sz w:val="27"/>
          <w:szCs w:val="27"/>
          <w:lang w:val="ru-RU" w:eastAsia="ru-RU"/>
        </w:rPr>
      </w:pPr>
    </w:p>
    <w:p w:rsidR="00407A55" w:rsidRPr="00407A55" w:rsidP="00407A55" w14:paraId="6A1EBC7E" w14:textId="77777777">
      <w:pPr>
        <w:tabs>
          <w:tab w:val="left" w:pos="284"/>
        </w:tabs>
        <w:spacing w:after="0" w:line="240" w:lineRule="auto"/>
        <w:ind w:firstLine="567"/>
        <w:jc w:val="center"/>
        <w:rPr>
          <w:rFonts w:ascii="Times New Roman" w:eastAsia="MS Mincho" w:hAnsi="Times New Roman" w:cs="Times New Roman"/>
          <w:b/>
          <w:bCs/>
          <w:sz w:val="27"/>
          <w:szCs w:val="27"/>
          <w:lang w:val="ru-RU" w:eastAsia="ru-RU"/>
        </w:rPr>
      </w:pPr>
      <w:r w:rsidRPr="00407A55">
        <w:rPr>
          <w:rFonts w:ascii="Times New Roman" w:eastAsia="MS Mincho" w:hAnsi="Times New Roman" w:cs="Times New Roman"/>
          <w:b/>
          <w:bCs/>
          <w:sz w:val="27"/>
          <w:szCs w:val="27"/>
          <w:lang w:val="ru-RU" w:eastAsia="ru-RU"/>
        </w:rPr>
        <w:t>Надходження податку на доходи фізичних осіб, (млн. грн.)</w:t>
      </w:r>
    </w:p>
    <w:p w:rsidR="00407A55" w:rsidRPr="00407A55" w:rsidP="00407A55" w14:paraId="38321480" w14:textId="04473B52">
      <w:pPr>
        <w:tabs>
          <w:tab w:val="left" w:pos="284"/>
        </w:tabs>
        <w:spacing w:after="0" w:line="240" w:lineRule="auto"/>
        <w:ind w:firstLine="567"/>
        <w:jc w:val="center"/>
        <w:rPr>
          <w:rFonts w:ascii="Times New Roman" w:eastAsia="MS Mincho" w:hAnsi="Times New Roman" w:cs="Times New Roman"/>
          <w:b/>
          <w:bCs/>
          <w:sz w:val="27"/>
          <w:szCs w:val="27"/>
          <w:lang w:val="ru-RU" w:eastAsia="ru-RU"/>
        </w:rPr>
      </w:pPr>
      <w:r w:rsidRPr="00407A55">
        <w:rPr>
          <w:rFonts w:ascii="Times New Roman" w:eastAsia="Times New Roman" w:hAnsi="Times New Roman" w:cs="Times New Roman"/>
          <w:noProof/>
          <w:sz w:val="27"/>
          <w:szCs w:val="27"/>
          <w:lang w:eastAsia="ru-RU"/>
        </w:rPr>
        <mc:AlternateContent>
          <mc:Choice Requires="cx1">
            <w:drawing>
              <wp:inline distT="0" distB="0" distL="0" distR="0">
                <wp:extent cx="5341620" cy="2901950"/>
                <wp:effectExtent l="0" t="0" r="11430" b="1270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5"/>
                  </a:graphicData>
                </a:graphic>
              </wp:inline>
            </w:drawing>
          </mc:Choice>
          <mc:Fallback>
            <w:drawing>
              <wp:inline distT="0" distB="0" distL="0" distR="0">
                <wp:extent cx="5341620" cy="2901950"/>
                <wp:effectExtent l="0" t="0" r="11430" b="12700"/>
                <wp:docPr id="949806404"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949806404"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46"/>
                        <a:stretch>
                          <a:fillRect/>
                        </a:stretch>
                      </pic:blipFill>
                      <pic:spPr>
                        <a:xfrm>
                          <a:off x="0" y="0"/>
                          <a:ext cx="5341620" cy="2901950"/>
                        </a:xfrm>
                        <a:prstGeom prst="rect">
                          <a:avLst/>
                        </a:prstGeom>
                      </pic:spPr>
                    </pic:pic>
                  </a:graphicData>
                </a:graphic>
              </wp:inline>
            </w:drawing>
          </mc:Fallback>
        </mc:AlternateContent>
      </w:r>
    </w:p>
    <w:p w:rsidR="00407A55" w:rsidRPr="00407A55" w:rsidP="00407A55" w14:paraId="74494D76" w14:textId="77777777">
      <w:pPr>
        <w:tabs>
          <w:tab w:val="left" w:pos="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До спеціального фонду у звітному періоді (без врахування трансфертів) надійшло – 18,398 млн. грн. при плані 12,120 млн. грн., додаткові надходження – 6,278 тис. грн. </w:t>
      </w:r>
    </w:p>
    <w:p w:rsidR="00407A55" w:rsidRPr="00407A55" w:rsidP="00407A55" w14:paraId="3B2D9557" w14:textId="77777777">
      <w:pPr>
        <w:tabs>
          <w:tab w:val="left" w:pos="0"/>
        </w:tabs>
        <w:spacing w:after="0" w:line="240" w:lineRule="auto"/>
        <w:ind w:firstLine="567"/>
        <w:jc w:val="both"/>
        <w:rPr>
          <w:rFonts w:ascii="Times New Roman" w:eastAsia="Times New Roman" w:hAnsi="Times New Roman" w:cs="Times New Roman"/>
          <w:sz w:val="27"/>
          <w:szCs w:val="27"/>
        </w:rPr>
      </w:pPr>
      <w:r w:rsidRPr="00407A55">
        <w:rPr>
          <w:rFonts w:ascii="Times New Roman" w:eastAsia="Times New Roman" w:hAnsi="Times New Roman" w:cs="Times New Roman"/>
          <w:sz w:val="27"/>
          <w:szCs w:val="27"/>
        </w:rPr>
        <w:t xml:space="preserve">Крім того, власні надходження бюджетних установ в звітному періоді склали 111,210 млн. грн.     </w:t>
      </w:r>
    </w:p>
    <w:p w:rsidR="00407A55" w:rsidRPr="00407A55" w:rsidP="00407A55" w14:paraId="5EC6EC9E" w14:textId="77777777">
      <w:pPr>
        <w:tabs>
          <w:tab w:val="left" w:pos="0"/>
        </w:tabs>
        <w:spacing w:after="0" w:line="240" w:lineRule="auto"/>
        <w:ind w:firstLine="567"/>
        <w:jc w:val="both"/>
        <w:rPr>
          <w:rFonts w:ascii="Times New Roman" w:eastAsia="Times New Roman" w:hAnsi="Times New Roman" w:cs="Times New Roman"/>
          <w:b/>
          <w:bCs/>
          <w:sz w:val="27"/>
          <w:szCs w:val="27"/>
        </w:rPr>
      </w:pPr>
      <w:r w:rsidRPr="00407A55">
        <w:rPr>
          <w:rFonts w:ascii="Times New Roman" w:eastAsia="Times New Roman" w:hAnsi="Times New Roman" w:cs="Times New Roman"/>
          <w:sz w:val="27"/>
          <w:szCs w:val="27"/>
        </w:rPr>
        <w:t xml:space="preserve">Видаткова частина бюджету по загальному фонду  громади у звітному періоді виконана на 96,2 %.  Касові видатки за звітний період склали 1 620,468 млн. грн., що на </w:t>
      </w:r>
      <w:r w:rsidRPr="00407A55">
        <w:rPr>
          <w:rFonts w:ascii="Times New Roman" w:eastAsia="Times New Roman" w:hAnsi="Times New Roman" w:cs="Times New Roman"/>
          <w:sz w:val="27"/>
          <w:szCs w:val="27"/>
          <w:lang w:val="ru-RU"/>
        </w:rPr>
        <w:t xml:space="preserve">486,549 млн. </w:t>
      </w:r>
      <w:r w:rsidRPr="00407A55">
        <w:rPr>
          <w:rFonts w:ascii="Times New Roman" w:eastAsia="Times New Roman" w:hAnsi="Times New Roman" w:cs="Times New Roman"/>
          <w:sz w:val="27"/>
          <w:szCs w:val="27"/>
        </w:rPr>
        <w:t xml:space="preserve"> грн. більше, ніж за аналогічний період минулого року.</w:t>
      </w:r>
    </w:p>
    <w:p w:rsidR="00407A55" w:rsidRPr="00407A55" w:rsidP="00407A55" w14:paraId="10704437" w14:textId="77777777">
      <w:pPr>
        <w:tabs>
          <w:tab w:val="left" w:pos="284"/>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Видатки загального фонду</w:t>
      </w:r>
    </w:p>
    <w:p w:rsidR="00407A55" w:rsidRPr="00407A55" w:rsidP="00407A55" w14:paraId="3DF5AB27" w14:textId="77777777">
      <w:pPr>
        <w:tabs>
          <w:tab w:val="left" w:pos="284"/>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за економічною структурою у І півріччі 2026 року, (млн. грн.)</w:t>
      </w:r>
    </w:p>
    <w:p w:rsidR="00407A55" w:rsidRPr="00407A55" w:rsidP="00407A55" w14:paraId="14B3C15A" w14:textId="25787DC2">
      <w:pPr>
        <w:tabs>
          <w:tab w:val="left" w:pos="284"/>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noProof/>
          <w:sz w:val="27"/>
          <w:szCs w:val="27"/>
          <w:lang w:eastAsia="ru-RU"/>
        </w:rPr>
        <w:drawing>
          <wp:inline distT="0" distB="0" distL="0" distR="0">
            <wp:extent cx="5676900" cy="26593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07A55" w:rsidRPr="00407A55" w:rsidP="00407A55" w14:paraId="4F0D466D" w14:textId="77777777">
      <w:pPr>
        <w:tabs>
          <w:tab w:val="left" w:pos="284"/>
        </w:tabs>
        <w:spacing w:after="0" w:line="240" w:lineRule="auto"/>
        <w:ind w:firstLine="567"/>
        <w:jc w:val="both"/>
        <w:rPr>
          <w:rFonts w:ascii="Times New Roman" w:eastAsia="Times New Roman" w:hAnsi="Times New Roman" w:cs="Times New Roman"/>
          <w:sz w:val="27"/>
          <w:szCs w:val="27"/>
          <w:lang w:val="ru-RU" w:eastAsia="ru-RU"/>
        </w:rPr>
      </w:pPr>
      <w:r w:rsidRPr="00407A55">
        <w:rPr>
          <w:rFonts w:ascii="Times New Roman" w:eastAsia="Times New Roman" w:hAnsi="Times New Roman" w:cs="Times New Roman"/>
          <w:sz w:val="27"/>
          <w:szCs w:val="27"/>
          <w:lang w:val="ru-RU" w:eastAsia="ru-RU"/>
        </w:rPr>
        <w:t>Видаткова частина бюджету по спеціальному фонду бюджету громади у звітному періоді склала</w:t>
      </w:r>
      <w:r w:rsidRPr="00407A55">
        <w:rPr>
          <w:rFonts w:ascii="Times New Roman" w:eastAsia="Times New Roman" w:hAnsi="Times New Roman" w:cs="Times New Roman"/>
          <w:color w:val="FF0000"/>
          <w:sz w:val="27"/>
          <w:szCs w:val="27"/>
          <w:lang w:val="ru-RU" w:eastAsia="ru-RU"/>
        </w:rPr>
        <w:t xml:space="preserve"> </w:t>
      </w:r>
      <w:r w:rsidRPr="00407A55">
        <w:rPr>
          <w:rFonts w:ascii="Times New Roman" w:eastAsia="Times New Roman" w:hAnsi="Times New Roman" w:cs="Times New Roman"/>
          <w:color w:val="000000"/>
          <w:sz w:val="27"/>
          <w:szCs w:val="27"/>
          <w:lang w:val="ru-RU" w:eastAsia="ru-RU"/>
        </w:rPr>
        <w:t>180,321 млн. грн</w:t>
      </w:r>
      <w:r w:rsidRPr="00407A55">
        <w:rPr>
          <w:rFonts w:ascii="Times New Roman" w:eastAsia="Times New Roman" w:hAnsi="Times New Roman" w:cs="Times New Roman"/>
          <w:sz w:val="27"/>
          <w:szCs w:val="27"/>
          <w:lang w:val="ru-RU" w:eastAsia="ru-RU"/>
        </w:rPr>
        <w:t>., що на</w:t>
      </w:r>
      <w:r w:rsidRPr="00407A55">
        <w:rPr>
          <w:rFonts w:ascii="Times New Roman" w:eastAsia="Times New Roman" w:hAnsi="Times New Roman" w:cs="Times New Roman"/>
          <w:color w:val="FF0000"/>
          <w:sz w:val="27"/>
          <w:szCs w:val="27"/>
          <w:lang w:val="ru-RU" w:eastAsia="ru-RU"/>
        </w:rPr>
        <w:t xml:space="preserve"> </w:t>
      </w:r>
      <w:r w:rsidRPr="00407A55">
        <w:rPr>
          <w:rFonts w:ascii="Times New Roman" w:eastAsia="Times New Roman" w:hAnsi="Times New Roman" w:cs="Times New Roman"/>
          <w:color w:val="000000"/>
          <w:sz w:val="27"/>
          <w:szCs w:val="27"/>
          <w:lang w:val="ru-RU" w:eastAsia="ru-RU"/>
        </w:rPr>
        <w:t>87,116 млн.</w:t>
      </w:r>
      <w:r w:rsidRPr="00407A55">
        <w:rPr>
          <w:rFonts w:ascii="Times New Roman" w:eastAsia="Times New Roman" w:hAnsi="Times New Roman" w:cs="Times New Roman"/>
          <w:color w:val="FF0000"/>
          <w:sz w:val="27"/>
          <w:szCs w:val="27"/>
          <w:lang w:val="ru-RU" w:eastAsia="ru-RU"/>
        </w:rPr>
        <w:t xml:space="preserve"> </w:t>
      </w:r>
      <w:r w:rsidRPr="00407A55">
        <w:rPr>
          <w:rFonts w:ascii="Times New Roman" w:eastAsia="Times New Roman" w:hAnsi="Times New Roman" w:cs="Times New Roman"/>
          <w:sz w:val="27"/>
          <w:szCs w:val="27"/>
          <w:lang w:val="ru-RU" w:eastAsia="ru-RU"/>
        </w:rPr>
        <w:t>грн. менше, ніж за аналогічний період минулого року. </w:t>
      </w:r>
    </w:p>
    <w:p w:rsidR="00407A55" w:rsidRPr="00407A55" w:rsidP="00407A55" w14:paraId="4B53AE4C" w14:textId="77777777">
      <w:pPr>
        <w:tabs>
          <w:tab w:val="left" w:pos="0"/>
        </w:tabs>
        <w:spacing w:after="0" w:line="240" w:lineRule="auto"/>
        <w:ind w:firstLine="567"/>
        <w:jc w:val="both"/>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sz w:val="27"/>
          <w:szCs w:val="27"/>
          <w:lang w:eastAsia="ru-RU"/>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407A55">
        <w:rPr>
          <w:rFonts w:ascii="Times New Roman" w:eastAsia="Times New Roman" w:hAnsi="Times New Roman" w:cs="Times New Roman"/>
          <w:b/>
          <w:bCs/>
          <w:sz w:val="27"/>
          <w:szCs w:val="27"/>
          <w:lang w:eastAsia="ru-RU"/>
        </w:rPr>
        <w:t xml:space="preserve">                           </w:t>
      </w:r>
    </w:p>
    <w:p w:rsidR="00407A55" w:rsidP="00407A55" w14:paraId="2EEB0C5F" w14:textId="77777777">
      <w:pPr>
        <w:tabs>
          <w:tab w:val="left" w:pos="284"/>
        </w:tabs>
        <w:spacing w:after="0" w:line="240" w:lineRule="auto"/>
        <w:ind w:firstLine="567"/>
        <w:jc w:val="center"/>
        <w:rPr>
          <w:rFonts w:ascii="Times New Roman" w:eastAsia="Times New Roman" w:hAnsi="Times New Roman" w:cs="Times New Roman"/>
          <w:b/>
          <w:bCs/>
          <w:sz w:val="27"/>
          <w:szCs w:val="27"/>
          <w:lang w:eastAsia="ru-RU"/>
        </w:rPr>
      </w:pPr>
    </w:p>
    <w:p w:rsidR="00407A55" w:rsidRPr="00407A55" w:rsidP="00407A55" w14:paraId="64526642" w14:textId="26CD5964">
      <w:pPr>
        <w:tabs>
          <w:tab w:val="left" w:pos="284"/>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Структура видатків</w:t>
      </w:r>
    </w:p>
    <w:p w:rsidR="00407A55" w:rsidRPr="00407A55" w:rsidP="00407A55" w14:paraId="4829EB36" w14:textId="77777777">
      <w:pPr>
        <w:tabs>
          <w:tab w:val="left" w:pos="284"/>
        </w:tabs>
        <w:spacing w:after="0" w:line="240" w:lineRule="auto"/>
        <w:ind w:firstLine="567"/>
        <w:jc w:val="center"/>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b/>
          <w:bCs/>
          <w:sz w:val="27"/>
          <w:szCs w:val="27"/>
          <w:lang w:eastAsia="ru-RU"/>
        </w:rPr>
        <w:t>спеціального фонду бюджету у І півріччі 2026 року, (млн. грн.)</w:t>
      </w:r>
    </w:p>
    <w:p w:rsidR="00407A55" w:rsidRPr="00407A55" w:rsidP="00407A55" w14:paraId="0B314C6A" w14:textId="21F398E0">
      <w:pPr>
        <w:tabs>
          <w:tab w:val="left" w:pos="284"/>
        </w:tabs>
        <w:spacing w:after="0" w:line="240" w:lineRule="auto"/>
        <w:ind w:firstLine="567"/>
        <w:jc w:val="center"/>
        <w:outlineLvl w:val="0"/>
        <w:rPr>
          <w:rFonts w:ascii="Times New Roman" w:eastAsia="Times New Roman" w:hAnsi="Times New Roman" w:cs="Times New Roman"/>
          <w:b/>
          <w:bCs/>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728970" cy="3131185"/>
            <wp:effectExtent l="0" t="0" r="5080" b="1206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07A55" w:rsidP="00407A55" w14:paraId="4C612F93" w14:textId="77777777">
      <w:pPr>
        <w:tabs>
          <w:tab w:val="left" w:pos="284"/>
        </w:tabs>
        <w:spacing w:after="0" w:line="240" w:lineRule="auto"/>
        <w:ind w:firstLine="567"/>
        <w:jc w:val="center"/>
        <w:outlineLvl w:val="0"/>
        <w:rPr>
          <w:rFonts w:ascii="Times New Roman" w:eastAsia="Times New Roman" w:hAnsi="Times New Roman" w:cs="Times New Roman"/>
          <w:b/>
          <w:bCs/>
          <w:i/>
          <w:iCs/>
          <w:sz w:val="27"/>
          <w:szCs w:val="27"/>
          <w:lang w:eastAsia="ru-RU"/>
        </w:rPr>
      </w:pPr>
    </w:p>
    <w:p w:rsidR="00407A55" w:rsidP="00407A55" w14:paraId="6B571525" w14:textId="77777777">
      <w:pPr>
        <w:tabs>
          <w:tab w:val="left" w:pos="284"/>
        </w:tabs>
        <w:spacing w:after="0" w:line="240" w:lineRule="auto"/>
        <w:ind w:firstLine="567"/>
        <w:jc w:val="center"/>
        <w:outlineLvl w:val="0"/>
        <w:rPr>
          <w:rFonts w:ascii="Times New Roman" w:eastAsia="Times New Roman" w:hAnsi="Times New Roman" w:cs="Times New Roman"/>
          <w:b/>
          <w:bCs/>
          <w:i/>
          <w:iCs/>
          <w:sz w:val="27"/>
          <w:szCs w:val="27"/>
          <w:lang w:eastAsia="ru-RU"/>
        </w:rPr>
      </w:pPr>
    </w:p>
    <w:p w:rsidR="00407A55" w:rsidP="00407A55" w14:paraId="6AE3B009" w14:textId="77777777">
      <w:pPr>
        <w:tabs>
          <w:tab w:val="left" w:pos="284"/>
        </w:tabs>
        <w:spacing w:after="0" w:line="240" w:lineRule="auto"/>
        <w:ind w:firstLine="567"/>
        <w:jc w:val="center"/>
        <w:outlineLvl w:val="0"/>
        <w:rPr>
          <w:rFonts w:ascii="Times New Roman" w:eastAsia="Times New Roman" w:hAnsi="Times New Roman" w:cs="Times New Roman"/>
          <w:b/>
          <w:bCs/>
          <w:i/>
          <w:iCs/>
          <w:sz w:val="27"/>
          <w:szCs w:val="27"/>
          <w:lang w:eastAsia="ru-RU"/>
        </w:rPr>
      </w:pPr>
    </w:p>
    <w:p w:rsidR="00407A55" w:rsidP="00407A55" w14:paraId="6471AD99" w14:textId="77777777">
      <w:pPr>
        <w:tabs>
          <w:tab w:val="left" w:pos="284"/>
        </w:tabs>
        <w:spacing w:after="0" w:line="240" w:lineRule="auto"/>
        <w:ind w:firstLine="567"/>
        <w:jc w:val="center"/>
        <w:outlineLvl w:val="0"/>
        <w:rPr>
          <w:rFonts w:ascii="Times New Roman" w:eastAsia="Times New Roman" w:hAnsi="Times New Roman" w:cs="Times New Roman"/>
          <w:b/>
          <w:bCs/>
          <w:i/>
          <w:iCs/>
          <w:sz w:val="27"/>
          <w:szCs w:val="27"/>
          <w:lang w:eastAsia="ru-RU"/>
        </w:rPr>
      </w:pPr>
    </w:p>
    <w:p w:rsidR="00407A55" w:rsidRPr="00407A55" w:rsidP="00407A55" w14:paraId="7D4D3128" w14:textId="3BE53D69">
      <w:pPr>
        <w:tabs>
          <w:tab w:val="left" w:pos="284"/>
        </w:tabs>
        <w:spacing w:after="0" w:line="240" w:lineRule="auto"/>
        <w:ind w:firstLine="567"/>
        <w:jc w:val="center"/>
        <w:outlineLvl w:val="0"/>
        <w:rPr>
          <w:rFonts w:ascii="Times New Roman" w:eastAsia="Times New Roman" w:hAnsi="Times New Roman" w:cs="Times New Roman"/>
          <w:b/>
          <w:bCs/>
          <w:i/>
          <w:iCs/>
          <w:sz w:val="27"/>
          <w:szCs w:val="27"/>
          <w:lang w:eastAsia="ru-RU"/>
        </w:rPr>
      </w:pPr>
      <w:r w:rsidRPr="00407A55">
        <w:rPr>
          <w:rFonts w:ascii="Times New Roman" w:eastAsia="Times New Roman" w:hAnsi="Times New Roman" w:cs="Times New Roman"/>
          <w:b/>
          <w:bCs/>
          <w:i/>
          <w:iCs/>
          <w:sz w:val="27"/>
          <w:szCs w:val="27"/>
          <w:lang w:eastAsia="ru-RU"/>
        </w:rPr>
        <w:t>Виконання місцевих програм</w:t>
      </w:r>
    </w:p>
    <w:p w:rsidR="00407A55" w:rsidRPr="00407A55" w:rsidP="00407A55" w14:paraId="1563C3A5" w14:textId="77777777">
      <w:pPr>
        <w:keepNext/>
        <w:tabs>
          <w:tab w:val="left" w:pos="0"/>
        </w:tabs>
        <w:spacing w:after="0" w:line="240" w:lineRule="auto"/>
        <w:ind w:firstLine="567"/>
        <w:jc w:val="both"/>
        <w:outlineLvl w:val="1"/>
        <w:rPr>
          <w:rFonts w:ascii="Times New Roman" w:eastAsia="Times New Roman" w:hAnsi="Times New Roman" w:cs="Times New Roman"/>
          <w:bCs/>
          <w:iCs/>
          <w:sz w:val="27"/>
          <w:szCs w:val="27"/>
          <w:lang w:eastAsia="ru-RU"/>
        </w:rPr>
      </w:pPr>
      <w:r w:rsidRPr="00407A55">
        <w:rPr>
          <w:rFonts w:ascii="Times New Roman" w:eastAsia="Times New Roman" w:hAnsi="Times New Roman" w:cs="Times New Roman"/>
          <w:bCs/>
          <w:iCs/>
          <w:sz w:val="27"/>
          <w:szCs w:val="27"/>
          <w:lang w:eastAsia="ru-RU"/>
        </w:rPr>
        <w:t xml:space="preserve">Протягом І півріччя 2026 року фінансувались 44 програми, які виконували                                    12  розпорядників коштів. </w:t>
      </w:r>
    </w:p>
    <w:p w:rsidR="00407A55" w:rsidRPr="00407A55" w:rsidP="00407A55" w14:paraId="2F554B03" w14:textId="77777777">
      <w:pPr>
        <w:tabs>
          <w:tab w:val="left" w:pos="0"/>
        </w:tabs>
        <w:spacing w:after="0" w:line="240" w:lineRule="auto"/>
        <w:ind w:firstLine="567"/>
        <w:jc w:val="both"/>
        <w:rPr>
          <w:rFonts w:ascii="Times New Roman" w:eastAsia="Times New Roman" w:hAnsi="Times New Roman" w:cs="Times New Roman"/>
          <w:sz w:val="27"/>
          <w:szCs w:val="27"/>
          <w:lang w:eastAsia="ru-RU"/>
        </w:rPr>
      </w:pPr>
      <w:r w:rsidRPr="00407A55">
        <w:rPr>
          <w:rFonts w:ascii="Times New Roman" w:eastAsia="Times New Roman" w:hAnsi="Times New Roman" w:cs="Times New Roman"/>
          <w:sz w:val="27"/>
          <w:szCs w:val="27"/>
          <w:lang w:eastAsia="ru-RU"/>
        </w:rPr>
        <w:t xml:space="preserve">Сума річних обсягів пропозицій до фінансування склала 795508,3 тис. грн., виконано на суму 446280,6 тис. грн., або  56,1 % від суми пропозиції на рік. </w:t>
      </w:r>
    </w:p>
    <w:p w:rsidR="00407A55" w:rsidRPr="00407A55" w:rsidP="00407A55" w14:paraId="762B8329" w14:textId="77777777">
      <w:pPr>
        <w:tabs>
          <w:tab w:val="left" w:pos="0"/>
        </w:tabs>
        <w:spacing w:after="0" w:line="240" w:lineRule="auto"/>
        <w:ind w:firstLine="567"/>
        <w:jc w:val="center"/>
        <w:rPr>
          <w:rFonts w:ascii="Times New Roman" w:eastAsia="Times New Roman" w:hAnsi="Times New Roman" w:cs="Times New Roman"/>
          <w:b/>
          <w:bCs/>
          <w:iCs/>
          <w:sz w:val="27"/>
          <w:szCs w:val="27"/>
          <w:lang w:eastAsia="ru-RU"/>
        </w:rPr>
      </w:pPr>
      <w:r w:rsidRPr="00407A55">
        <w:rPr>
          <w:rFonts w:ascii="Times New Roman" w:eastAsia="Times New Roman" w:hAnsi="Times New Roman" w:cs="Times New Roman"/>
          <w:b/>
          <w:bCs/>
          <w:iCs/>
          <w:sz w:val="27"/>
          <w:szCs w:val="27"/>
          <w:lang w:eastAsia="ru-RU"/>
        </w:rPr>
        <w:t>Структура використання коштів</w:t>
      </w:r>
    </w:p>
    <w:p w:rsidR="00407A55" w:rsidRPr="00407A55" w:rsidP="00407A55" w14:paraId="7E53AA43" w14:textId="77777777">
      <w:pPr>
        <w:tabs>
          <w:tab w:val="left" w:pos="0"/>
        </w:tabs>
        <w:spacing w:after="0" w:line="240" w:lineRule="auto"/>
        <w:ind w:firstLine="567"/>
        <w:jc w:val="center"/>
        <w:rPr>
          <w:rFonts w:ascii="Times New Roman" w:eastAsia="Times New Roman" w:hAnsi="Times New Roman" w:cs="Times New Roman"/>
          <w:b/>
          <w:bCs/>
          <w:iCs/>
          <w:sz w:val="27"/>
          <w:szCs w:val="27"/>
          <w:lang w:eastAsia="ru-RU"/>
        </w:rPr>
      </w:pPr>
      <w:r w:rsidRPr="00407A55">
        <w:rPr>
          <w:rFonts w:ascii="Times New Roman" w:eastAsia="Times New Roman" w:hAnsi="Times New Roman" w:cs="Times New Roman"/>
          <w:b/>
          <w:bCs/>
          <w:iCs/>
          <w:sz w:val="27"/>
          <w:szCs w:val="27"/>
          <w:lang w:eastAsia="ru-RU"/>
        </w:rPr>
        <w:t>по виконанню місцевих програм у І півріччі 2026 року, (тис. грн.)</w:t>
      </w:r>
    </w:p>
    <w:p w:rsidR="00407A55" w:rsidRPr="00407A55" w:rsidP="00407A55" w14:paraId="6AB7BB9B" w14:textId="38FF28D5">
      <w:pPr>
        <w:tabs>
          <w:tab w:val="left" w:pos="0"/>
        </w:tabs>
        <w:spacing w:after="0" w:line="240" w:lineRule="auto"/>
        <w:ind w:firstLine="567"/>
        <w:rPr>
          <w:rFonts w:ascii="Times New Roman" w:eastAsia="Times New Roman" w:hAnsi="Times New Roman" w:cs="Times New Roman"/>
          <w:sz w:val="27"/>
          <w:szCs w:val="27"/>
          <w:lang w:eastAsia="ru-RU"/>
        </w:rPr>
      </w:pPr>
      <w:r w:rsidRPr="00407A55">
        <w:rPr>
          <w:rFonts w:ascii="Times New Roman" w:eastAsia="Times New Roman" w:hAnsi="Times New Roman" w:cs="Times New Roman"/>
          <w:noProof/>
          <w:sz w:val="27"/>
          <w:szCs w:val="27"/>
          <w:lang w:val="ru-RU" w:eastAsia="ru-RU"/>
        </w:rPr>
        <w:drawing>
          <wp:inline distT="0" distB="0" distL="0" distR="0">
            <wp:extent cx="5749925" cy="3188970"/>
            <wp:effectExtent l="0" t="0" r="3175"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07A55" w:rsidRPr="00407A55" w:rsidP="00407A55" w14:paraId="25A51F79" w14:textId="77777777">
      <w:pPr>
        <w:tabs>
          <w:tab w:val="left" w:pos="0"/>
        </w:tabs>
        <w:spacing w:after="0" w:line="240" w:lineRule="auto"/>
        <w:ind w:firstLine="567"/>
        <w:rPr>
          <w:rFonts w:ascii="Times New Roman" w:eastAsia="Times New Roman" w:hAnsi="Times New Roman" w:cs="Times New Roman"/>
          <w:sz w:val="27"/>
          <w:szCs w:val="27"/>
          <w:lang w:eastAsia="ru-RU"/>
        </w:rPr>
      </w:pPr>
    </w:p>
    <w:p w:rsidR="00407A55" w:rsidRPr="00407A55" w:rsidP="00407A55" w14:paraId="4AB52997" w14:textId="77777777">
      <w:pPr>
        <w:tabs>
          <w:tab w:val="left" w:pos="0"/>
        </w:tabs>
        <w:spacing w:after="0" w:line="240" w:lineRule="auto"/>
        <w:ind w:firstLine="567"/>
        <w:rPr>
          <w:rFonts w:ascii="Times New Roman" w:eastAsia="Times New Roman" w:hAnsi="Times New Roman" w:cs="Times New Roman"/>
          <w:sz w:val="28"/>
          <w:szCs w:val="28"/>
          <w:lang w:eastAsia="ru-RU"/>
        </w:rPr>
      </w:pPr>
      <w:r w:rsidRPr="00407A55">
        <w:rPr>
          <w:rFonts w:ascii="Times New Roman" w:eastAsia="Times New Roman" w:hAnsi="Times New Roman" w:cs="Times New Roman"/>
          <w:sz w:val="27"/>
          <w:szCs w:val="27"/>
          <w:lang w:eastAsia="ru-RU"/>
        </w:rPr>
        <w:t>Міський голова</w:t>
      </w:r>
      <w:r w:rsidRPr="00407A55">
        <w:rPr>
          <w:rFonts w:ascii="Times New Roman" w:eastAsia="Times New Roman" w:hAnsi="Times New Roman" w:cs="Times New Roman"/>
          <w:sz w:val="28"/>
          <w:szCs w:val="28"/>
          <w:lang w:eastAsia="ru-RU"/>
        </w:rPr>
        <w:t xml:space="preserve">                                                                   Ігор САПОЖКО</w:t>
      </w:r>
      <w:permEnd w:id="0"/>
    </w:p>
    <w:sectPr w:rsidSect="004F7CAD">
      <w:headerReference w:type="default" r:id="rId50"/>
      <w:footerReference w:type="default" r:id="rId51"/>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AE211D8"/>
    <w:multiLevelType w:val="hybridMultilevel"/>
    <w:tmpl w:val="71E6084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C0F10EB"/>
    <w:multiLevelType w:val="hybridMultilevel"/>
    <w:tmpl w:val="82209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CAD4796"/>
    <w:multiLevelType w:val="hybridMultilevel"/>
    <w:tmpl w:val="27A2C3F8"/>
    <w:lvl w:ilvl="0">
      <w:start w:val="0"/>
      <w:numFmt w:val="bullet"/>
      <w:lvlText w:val="-"/>
      <w:lvlJc w:val="left"/>
      <w:pPr>
        <w:ind w:left="644"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26676D05"/>
    <w:multiLevelType w:val="multilevel"/>
    <w:tmpl w:val="4E56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B2425"/>
    <w:multiLevelType w:val="hybridMultilevel"/>
    <w:tmpl w:val="93BC4250"/>
    <w:lvl w:ilvl="0">
      <w:start w:val="0"/>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15:restartNumberingAfterBreak="0">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9" w15:restartNumberingAfterBreak="0">
    <w:nsid w:val="32F34220"/>
    <w:multiLevelType w:val="multilevel"/>
    <w:tmpl w:val="1D20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3601A"/>
    <w:multiLevelType w:val="multilevel"/>
    <w:tmpl w:val="2A9E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F76F5F"/>
    <w:multiLevelType w:val="hybridMultilevel"/>
    <w:tmpl w:val="947A8EEC"/>
    <w:lvl w:ilvl="0">
      <w:start w:val="3"/>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46950AFE"/>
    <w:multiLevelType w:val="hybridMultilevel"/>
    <w:tmpl w:val="D1402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4DEF1D99"/>
    <w:multiLevelType w:val="hybridMultilevel"/>
    <w:tmpl w:val="6DD064C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6" w15:restartNumberingAfterBreak="0">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abstractNum w:abstractNumId="17" w15:restartNumberingAfterBreak="0">
    <w:nsid w:val="6D925180"/>
    <w:multiLevelType w:val="multilevel"/>
    <w:tmpl w:val="A93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B39B4"/>
    <w:multiLevelType w:val="hybridMultilevel"/>
    <w:tmpl w:val="D4EE4CA6"/>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77747D39"/>
    <w:multiLevelType w:val="hybridMultilevel"/>
    <w:tmpl w:val="6A060610"/>
    <w:lvl w:ilvl="0">
      <w:start w:val="0"/>
      <w:numFmt w:val="bullet"/>
      <w:lvlText w:val="-"/>
      <w:lvlJc w:val="left"/>
      <w:pPr>
        <w:ind w:left="786"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8"/>
  </w:num>
  <w:num w:numId="4">
    <w:abstractNumId w:val="3"/>
  </w:num>
  <w:num w:numId="5">
    <w:abstractNumId w:val="4"/>
  </w:num>
  <w:num w:numId="6">
    <w:abstractNumId w:val="0"/>
  </w:num>
  <w:num w:numId="7">
    <w:abstractNumId w:val="15"/>
  </w:num>
  <w:num w:numId="8">
    <w:abstractNumId w:val="5"/>
  </w:num>
  <w:num w:numId="9">
    <w:abstractNumId w:val="12"/>
  </w:num>
  <w:num w:numId="10">
    <w:abstractNumId w:val="1"/>
  </w:num>
  <w:num w:numId="11">
    <w:abstractNumId w:val="13"/>
  </w:num>
  <w:num w:numId="12">
    <w:abstractNumId w:val="19"/>
  </w:num>
  <w:num w:numId="13">
    <w:abstractNumId w:val="7"/>
  </w:num>
  <w:num w:numId="14">
    <w:abstractNumId w:val="18"/>
  </w:num>
  <w:num w:numId="15">
    <w:abstractNumId w:val="10"/>
  </w:num>
  <w:num w:numId="16">
    <w:abstractNumId w:val="6"/>
  </w:num>
  <w:num w:numId="17">
    <w:abstractNumId w:val="9"/>
  </w:num>
  <w:num w:numId="18">
    <w:abstractNumId w:val="17"/>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A03C9"/>
    <w:rsid w:val="001D7A69"/>
    <w:rsid w:val="002D71B2"/>
    <w:rsid w:val="003044F0"/>
    <w:rsid w:val="003530E1"/>
    <w:rsid w:val="00365A8B"/>
    <w:rsid w:val="003735BC"/>
    <w:rsid w:val="0038207B"/>
    <w:rsid w:val="003A4315"/>
    <w:rsid w:val="003B2A39"/>
    <w:rsid w:val="00407A55"/>
    <w:rsid w:val="004208DA"/>
    <w:rsid w:val="00424AD7"/>
    <w:rsid w:val="00424B54"/>
    <w:rsid w:val="004C6C25"/>
    <w:rsid w:val="004F7CAD"/>
    <w:rsid w:val="00520285"/>
    <w:rsid w:val="00524AF7"/>
    <w:rsid w:val="00545B76"/>
    <w:rsid w:val="00784598"/>
    <w:rsid w:val="007C499E"/>
    <w:rsid w:val="007C582E"/>
    <w:rsid w:val="0081066D"/>
    <w:rsid w:val="00853C00"/>
    <w:rsid w:val="00893E2E"/>
    <w:rsid w:val="008B6EF2"/>
    <w:rsid w:val="008C7B09"/>
    <w:rsid w:val="008F55D5"/>
    <w:rsid w:val="009E1F3A"/>
    <w:rsid w:val="00A84A56"/>
    <w:rsid w:val="00B20C04"/>
    <w:rsid w:val="00B3670E"/>
    <w:rsid w:val="00BF532A"/>
    <w:rsid w:val="00C72BF6"/>
    <w:rsid w:val="00CB633A"/>
    <w:rsid w:val="00CB6784"/>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407A55"/>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407A55"/>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407A55"/>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407A55"/>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407A55"/>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407A55"/>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407A55"/>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407A55"/>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407A55"/>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407A55"/>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407A55"/>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407A55"/>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407A55"/>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407A55"/>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407A55"/>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407A55"/>
    <w:rPr>
      <w:rFonts w:ascii="Times New Roman" w:eastAsia="Times New Roman" w:hAnsi="Times New Roman" w:cs="Times New Roman"/>
      <w:sz w:val="28"/>
      <w:szCs w:val="24"/>
      <w:lang w:eastAsia="ru-RU"/>
    </w:rPr>
  </w:style>
  <w:style w:type="numbering" w:customStyle="1" w:styleId="10">
    <w:name w:val="Нет списка1"/>
    <w:next w:val="NoList"/>
    <w:semiHidden/>
    <w:rsid w:val="00407A55"/>
  </w:style>
  <w:style w:type="paragraph" w:customStyle="1" w:styleId="a1">
    <w:name w:val="Знак Знак Знак Знак Знак Знак Знак"/>
    <w:basedOn w:val="Normal"/>
    <w:rsid w:val="00407A55"/>
    <w:pPr>
      <w:spacing w:after="0" w:line="240" w:lineRule="auto"/>
    </w:pPr>
    <w:rPr>
      <w:rFonts w:ascii="Verdana" w:eastAsia="Times New Roman" w:hAnsi="Verdana" w:cs="Verdana"/>
      <w:sz w:val="20"/>
      <w:szCs w:val="20"/>
      <w:lang w:val="en-US" w:eastAsia="en-US"/>
    </w:rPr>
  </w:style>
  <w:style w:type="paragraph" w:styleId="BodyTextIndent">
    <w:name w:val="Body Text Indent"/>
    <w:aliases w:val="Подпись к рис.,Ïîäïèñü ê ðèñ.,Ïîäïèñü ê ðèñ. Знак,Ïîäïèñü ê ðèñ. Знак Знак"/>
    <w:basedOn w:val="Normal"/>
    <w:link w:val="11"/>
    <w:rsid w:val="00407A55"/>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407A55"/>
  </w:style>
  <w:style w:type="paragraph" w:styleId="BodyTextIndent20">
    <w:name w:val="Body Text Indent 2"/>
    <w:basedOn w:val="Normal"/>
    <w:link w:val="20"/>
    <w:rsid w:val="00407A5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407A55"/>
    <w:rPr>
      <w:rFonts w:ascii="Times New Roman" w:eastAsia="Times New Roman" w:hAnsi="Times New Roman" w:cs="Times New Roman"/>
      <w:sz w:val="28"/>
      <w:szCs w:val="20"/>
      <w:lang w:eastAsia="ru-RU"/>
    </w:rPr>
  </w:style>
  <w:style w:type="paragraph" w:styleId="BodyText">
    <w:name w:val="Body Text"/>
    <w:basedOn w:val="Normal"/>
    <w:link w:val="a3"/>
    <w:rsid w:val="00407A55"/>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407A55"/>
    <w:rPr>
      <w:rFonts w:ascii="Times New Roman" w:eastAsia="Times New Roman" w:hAnsi="Times New Roman" w:cs="Times New Roman"/>
      <w:sz w:val="28"/>
      <w:szCs w:val="20"/>
      <w:lang w:eastAsia="ru-RU"/>
    </w:rPr>
  </w:style>
  <w:style w:type="character" w:customStyle="1" w:styleId="11">
    <w:name w:val="Основной текст с отступом Знак1"/>
    <w:aliases w:val="Подпись к рис. Знак,Ïîäïèñü ê ðèñ. Знак1,Ïîäïèñü ê ðèñ. Знак Знак1,Ïîäïèñü ê ðèñ. Знак Знак Знак"/>
    <w:link w:val="BodyTextIndent"/>
    <w:rsid w:val="00407A55"/>
    <w:rPr>
      <w:rFonts w:ascii="Times New Roman" w:eastAsia="Times New Roman" w:hAnsi="Times New Roman" w:cs="Times New Roman"/>
      <w:sz w:val="28"/>
      <w:szCs w:val="20"/>
      <w:lang w:eastAsia="ru-RU"/>
    </w:rPr>
  </w:style>
  <w:style w:type="paragraph" w:customStyle="1" w:styleId="14">
    <w:name w:val="Знак Знак1 Знак Знак Знак Знак Знак Знак Знак"/>
    <w:basedOn w:val="Normal"/>
    <w:link w:val="113"/>
    <w:rsid w:val="00407A55"/>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407A55"/>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407A55"/>
    <w:rPr>
      <w:rFonts w:ascii="Arial" w:eastAsia="Times New Roman" w:hAnsi="Arial" w:cs="Times New Roman"/>
      <w:sz w:val="28"/>
      <w:szCs w:val="20"/>
      <w:lang w:eastAsia="ru-RU"/>
    </w:rPr>
  </w:style>
  <w:style w:type="paragraph" w:styleId="BodyTextIndent30">
    <w:name w:val="Body Text Indent 3"/>
    <w:basedOn w:val="Normal"/>
    <w:link w:val="30"/>
    <w:rsid w:val="00407A5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407A55"/>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407A55"/>
    <w:pPr>
      <w:spacing w:after="0" w:line="240" w:lineRule="auto"/>
    </w:pPr>
    <w:rPr>
      <w:rFonts w:ascii="Verdana" w:eastAsia="Times New Roman" w:hAnsi="Verdana" w:cs="Times New Roman"/>
      <w:sz w:val="20"/>
      <w:szCs w:val="20"/>
      <w:lang w:val="en-US" w:eastAsia="en-US"/>
    </w:rPr>
  </w:style>
  <w:style w:type="character" w:customStyle="1" w:styleId="s11">
    <w:name w:val="s11"/>
    <w:rsid w:val="00407A55"/>
    <w:rPr>
      <w:rFonts w:ascii="Times New Roman" w:hAnsi="Times New Roman" w:cs="Times New Roman" w:hint="default"/>
      <w:sz w:val="24"/>
      <w:szCs w:val="24"/>
    </w:rPr>
  </w:style>
  <w:style w:type="paragraph" w:customStyle="1" w:styleId="a5">
    <w:name w:val="Знак"/>
    <w:basedOn w:val="Normal"/>
    <w:rsid w:val="00407A55"/>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407A5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407A55"/>
    <w:rPr>
      <w:rFonts w:ascii="Times New Roman" w:eastAsia="Times New Roman" w:hAnsi="Times New Roman" w:cs="Times New Roman"/>
      <w:sz w:val="24"/>
      <w:szCs w:val="24"/>
    </w:rPr>
  </w:style>
  <w:style w:type="paragraph" w:customStyle="1" w:styleId="CharChar1CharChar">
    <w:name w:val="Char Char1 Знак Знак Знак Char Char"/>
    <w:basedOn w:val="Normal"/>
    <w:rsid w:val="00407A55"/>
    <w:pPr>
      <w:spacing w:after="0" w:line="240" w:lineRule="auto"/>
    </w:pPr>
    <w:rPr>
      <w:rFonts w:ascii="Verdana" w:eastAsia="Batang" w:hAnsi="Verdana" w:cs="Times New Roman"/>
      <w:sz w:val="20"/>
      <w:szCs w:val="20"/>
      <w:lang w:val="en-US" w:eastAsia="en-US"/>
    </w:rPr>
  </w:style>
  <w:style w:type="paragraph" w:customStyle="1" w:styleId="0">
    <w:name w:val="Знак Знак Знак Знак Знак Знак Знак_0"/>
    <w:basedOn w:val="Normal"/>
    <w:rsid w:val="00407A55"/>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407A55"/>
  </w:style>
  <w:style w:type="paragraph" w:customStyle="1" w:styleId="00">
    <w:name w:val="Знак_0"/>
    <w:basedOn w:val="Normal"/>
    <w:rsid w:val="00407A55"/>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Знак Знак Знак"/>
    <w:basedOn w:val="Normal"/>
    <w:rsid w:val="00407A55"/>
    <w:pPr>
      <w:spacing w:after="0" w:line="240" w:lineRule="auto"/>
    </w:pPr>
    <w:rPr>
      <w:rFonts w:ascii="Verdana" w:eastAsia="Times New Roman" w:hAnsi="Verdana" w:cs="Times New Roman"/>
      <w:sz w:val="20"/>
      <w:szCs w:val="20"/>
      <w:lang w:val="en-US" w:eastAsia="en-US"/>
    </w:rPr>
  </w:style>
  <w:style w:type="paragraph" w:customStyle="1" w:styleId="a7">
    <w:name w:val="Знак Знак Знак"/>
    <w:basedOn w:val="Normal"/>
    <w:rsid w:val="00407A55"/>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14"/>
    <w:uiPriority w:val="99"/>
    <w:qFormat/>
    <w:rsid w:val="00407A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407A55"/>
  </w:style>
  <w:style w:type="paragraph" w:customStyle="1" w:styleId="CharChar0">
    <w:name w:val="Char Знак Знак Char Знак Знак Знак Знак Знак Знак Знак Знак Знак Знак Знак Знак"/>
    <w:basedOn w:val="Normal"/>
    <w:semiHidden/>
    <w:rsid w:val="00407A55"/>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3"/>
    <w:uiPriority w:val="34"/>
    <w:qFormat/>
    <w:rsid w:val="00407A55"/>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407A55"/>
    <w:rPr>
      <w:b/>
      <w:bCs/>
    </w:rPr>
  </w:style>
  <w:style w:type="character" w:styleId="Hyperlink">
    <w:name w:val="Hyperlink"/>
    <w:rsid w:val="00407A55"/>
    <w:rPr>
      <w:color w:val="0000FF"/>
      <w:u w:val="single"/>
    </w:rPr>
  </w:style>
  <w:style w:type="paragraph" w:customStyle="1" w:styleId="19">
    <w:name w:val="Основной текст с отступом1"/>
    <w:basedOn w:val="Normal"/>
    <w:link w:val="BodyTextIndentChar"/>
    <w:rsid w:val="00407A55"/>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19"/>
    <w:rsid w:val="00407A55"/>
    <w:rPr>
      <w:rFonts w:ascii="Times New Roman" w:eastAsia="Times New Roman" w:hAnsi="Times New Roman" w:cs="Times New Roman"/>
      <w:sz w:val="24"/>
      <w:szCs w:val="24"/>
      <w:lang w:eastAsia="x-none"/>
    </w:rPr>
  </w:style>
  <w:style w:type="paragraph" w:customStyle="1" w:styleId="112">
    <w:name w:val="Без интервала1"/>
    <w:rsid w:val="00407A55"/>
    <w:pPr>
      <w:spacing w:after="0" w:line="240" w:lineRule="auto"/>
    </w:pPr>
    <w:rPr>
      <w:rFonts w:ascii="Times New Roman" w:eastAsia="Times New Roman" w:hAnsi="Times New Roman" w:cs="Times New Roman"/>
      <w:sz w:val="20"/>
      <w:szCs w:val="20"/>
      <w:lang w:val="ru-RU" w:eastAsia="ru-RU"/>
    </w:rPr>
  </w:style>
  <w:style w:type="paragraph" w:customStyle="1" w:styleId="100">
    <w:name w:val="Основной текст с отступом1_0"/>
    <w:basedOn w:val="Normal"/>
    <w:link w:val="115"/>
    <w:rsid w:val="00407A55"/>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8"/>
    <w:rsid w:val="00407A55"/>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DefaultParagraphFont"/>
    <w:link w:val="PlainText"/>
    <w:rsid w:val="00407A55"/>
    <w:rPr>
      <w:rFonts w:ascii="Courier New" w:eastAsia="Times New Roman" w:hAnsi="Courier New" w:cs="Times New Roman"/>
      <w:sz w:val="20"/>
      <w:szCs w:val="20"/>
      <w:lang w:eastAsia="ru-RU"/>
    </w:rPr>
  </w:style>
  <w:style w:type="character" w:customStyle="1" w:styleId="113">
    <w:name w:val="Знак Знак1 Знак Знак Знак Знак Знак Знак Знак Знак"/>
    <w:link w:val="14"/>
    <w:rsid w:val="00407A55"/>
    <w:rPr>
      <w:rFonts w:ascii="Verdana" w:eastAsia="Times New Roman" w:hAnsi="Verdana" w:cs="Times New Roman"/>
      <w:sz w:val="20"/>
      <w:szCs w:val="20"/>
      <w:lang w:val="en-US" w:eastAsia="en-US"/>
    </w:rPr>
  </w:style>
  <w:style w:type="paragraph" w:customStyle="1" w:styleId="a9">
    <w:name w:val="Знак Знак Знак Знак Знак Знак Знак Знак Знак Знак Знак Знак"/>
    <w:basedOn w:val="Normal"/>
    <w:rsid w:val="00407A55"/>
    <w:pPr>
      <w:spacing w:after="0" w:line="240" w:lineRule="auto"/>
    </w:pPr>
    <w:rPr>
      <w:rFonts w:ascii="Verdana" w:eastAsia="Times New Roman" w:hAnsi="Verdana" w:cs="Verdana"/>
      <w:sz w:val="20"/>
      <w:szCs w:val="20"/>
      <w:lang w:val="en-US" w:eastAsia="en-US"/>
    </w:rPr>
  </w:style>
  <w:style w:type="character" w:customStyle="1" w:styleId="a10">
    <w:name w:val="Основной текст с отступом Знак Знак"/>
    <w:aliases w:val="Подпись к рис. Знак Знак,Ïîäïèñü ê ðèñ. Знак1 Знак,Ïîäïèñü ê ðèñ. Знак Знак Знак Знак"/>
    <w:rsid w:val="00407A55"/>
    <w:rPr>
      <w:sz w:val="28"/>
      <w:lang w:val="uk-UA" w:eastAsia="ru-RU" w:bidi="ar-SA"/>
    </w:rPr>
  </w:style>
  <w:style w:type="paragraph" w:styleId="NoSpacing">
    <w:name w:val="No Spacing"/>
    <w:link w:val="a11"/>
    <w:uiPriority w:val="1"/>
    <w:qFormat/>
    <w:rsid w:val="00407A55"/>
    <w:pPr>
      <w:spacing w:after="0" w:line="240" w:lineRule="auto"/>
    </w:pPr>
    <w:rPr>
      <w:rFonts w:ascii="Times New Roman" w:eastAsia="Times New Roman" w:hAnsi="Times New Roman" w:cs="Times New Roman"/>
      <w:sz w:val="24"/>
      <w:szCs w:val="24"/>
      <w:lang w:eastAsia="ru-RU"/>
    </w:rPr>
  </w:style>
  <w:style w:type="character" w:customStyle="1" w:styleId="115">
    <w:name w:val="Основной текст с отступом1 Знак"/>
    <w:link w:val="100"/>
    <w:rsid w:val="00407A55"/>
    <w:rPr>
      <w:rFonts w:ascii="Times New Roman" w:eastAsia="Times New Roman" w:hAnsi="Times New Roman" w:cs="Times New Roman"/>
      <w:sz w:val="24"/>
      <w:szCs w:val="24"/>
    </w:rPr>
  </w:style>
  <w:style w:type="character" w:customStyle="1" w:styleId="textexposedshow">
    <w:name w:val="text_exposed_show"/>
    <w:rsid w:val="00407A55"/>
  </w:style>
  <w:style w:type="character" w:customStyle="1" w:styleId="a11">
    <w:name w:val="Без интервала Знак"/>
    <w:link w:val="NoSpacing"/>
    <w:uiPriority w:val="1"/>
    <w:locked/>
    <w:rsid w:val="00407A55"/>
    <w:rPr>
      <w:rFonts w:ascii="Times New Roman" w:eastAsia="Times New Roman" w:hAnsi="Times New Roman" w:cs="Times New Roman"/>
      <w:sz w:val="24"/>
      <w:szCs w:val="24"/>
      <w:lang w:eastAsia="ru-RU"/>
    </w:rPr>
  </w:style>
  <w:style w:type="paragraph" w:styleId="BalloonText">
    <w:name w:val="Balloon Text"/>
    <w:basedOn w:val="Normal"/>
    <w:link w:val="a12"/>
    <w:rsid w:val="00407A55"/>
    <w:pPr>
      <w:spacing w:after="0" w:line="240" w:lineRule="auto"/>
    </w:pPr>
    <w:rPr>
      <w:rFonts w:ascii="Tahoma" w:eastAsia="Times New Roman" w:hAnsi="Tahoma" w:cs="Tahoma"/>
      <w:sz w:val="16"/>
      <w:szCs w:val="16"/>
      <w:lang w:val="ru-RU" w:eastAsia="ru-RU"/>
    </w:rPr>
  </w:style>
  <w:style w:type="character" w:customStyle="1" w:styleId="a12">
    <w:name w:val="Текст выноски Знак"/>
    <w:basedOn w:val="DefaultParagraphFont"/>
    <w:link w:val="BalloonText"/>
    <w:rsid w:val="00407A55"/>
    <w:rPr>
      <w:rFonts w:ascii="Tahoma" w:eastAsia="Times New Roman" w:hAnsi="Tahoma" w:cs="Tahoma"/>
      <w:sz w:val="16"/>
      <w:szCs w:val="16"/>
      <w:lang w:val="ru-RU" w:eastAsia="ru-RU"/>
    </w:rPr>
  </w:style>
  <w:style w:type="character" w:customStyle="1" w:styleId="a13">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407A55"/>
    <w:rPr>
      <w:rFonts w:ascii="Times New Roman" w:eastAsia="Times New Roman" w:hAnsi="Times New Roman" w:cs="Times New Roman"/>
      <w:sz w:val="20"/>
      <w:szCs w:val="20"/>
      <w:lang w:val="ru-RU" w:eastAsia="ru-RU"/>
    </w:rPr>
  </w:style>
  <w:style w:type="character" w:customStyle="1" w:styleId="a14">
    <w:name w:val="Обычный (Интернет) Знак"/>
    <w:aliases w:val="Обычный (веб) Знак1,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locked/>
    <w:rsid w:val="00407A55"/>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407A55"/>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2"/>
    <w:uiPriority w:val="99"/>
    <w:unhideWhenUsed/>
    <w:rsid w:val="00407A55"/>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DefaultParagraphFont"/>
    <w:link w:val="BodyText3"/>
    <w:uiPriority w:val="99"/>
    <w:rsid w:val="00407A55"/>
    <w:rPr>
      <w:rFonts w:ascii="Times New Roman" w:eastAsia="Times New Roman" w:hAnsi="Times New Roman" w:cs="Times New Roman"/>
      <w:sz w:val="16"/>
      <w:szCs w:val="16"/>
      <w:lang w:val="ru-RU" w:eastAsia="ru-RU"/>
    </w:rPr>
  </w:style>
  <w:style w:type="character" w:customStyle="1" w:styleId="xfm74375522">
    <w:name w:val="xfm_74375522"/>
    <w:rsid w:val="00407A55"/>
  </w:style>
  <w:style w:type="character" w:styleId="CommentReference">
    <w:name w:val="annotation reference"/>
    <w:rsid w:val="00407A55"/>
    <w:rPr>
      <w:sz w:val="16"/>
      <w:szCs w:val="16"/>
    </w:rPr>
  </w:style>
  <w:style w:type="paragraph" w:styleId="CommentText">
    <w:name w:val="annotation text"/>
    <w:basedOn w:val="Normal"/>
    <w:link w:val="a15"/>
    <w:rsid w:val="00407A55"/>
    <w:pPr>
      <w:spacing w:after="0" w:line="240" w:lineRule="auto"/>
    </w:pPr>
    <w:rPr>
      <w:rFonts w:ascii="Times New Roman" w:eastAsia="Times New Roman" w:hAnsi="Times New Roman" w:cs="Times New Roman"/>
      <w:sz w:val="20"/>
      <w:szCs w:val="20"/>
      <w:lang w:val="ru-RU" w:eastAsia="ru-RU"/>
    </w:rPr>
  </w:style>
  <w:style w:type="character" w:customStyle="1" w:styleId="a15">
    <w:name w:val="Текст примечания Знак"/>
    <w:basedOn w:val="DefaultParagraphFont"/>
    <w:link w:val="CommentText"/>
    <w:rsid w:val="00407A55"/>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6"/>
    <w:rsid w:val="00407A55"/>
    <w:rPr>
      <w:b/>
      <w:bCs/>
    </w:rPr>
  </w:style>
  <w:style w:type="character" w:customStyle="1" w:styleId="a16">
    <w:name w:val="Тема примечания Знак"/>
    <w:basedOn w:val="a15"/>
    <w:link w:val="CommentSubject"/>
    <w:rsid w:val="00407A55"/>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407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407A55"/>
    <w:rPr>
      <w:rFonts w:ascii="Courier New" w:eastAsia="Times New Roman" w:hAnsi="Courier New" w:cs="Courier New"/>
      <w:sz w:val="20"/>
      <w:szCs w:val="20"/>
    </w:rPr>
  </w:style>
  <w:style w:type="character" w:customStyle="1" w:styleId="rvts46">
    <w:name w:val="rvts46"/>
    <w:rsid w:val="00407A55"/>
  </w:style>
  <w:style w:type="character" w:styleId="Emphasis">
    <w:name w:val="Emphasis"/>
    <w:uiPriority w:val="20"/>
    <w:qFormat/>
    <w:rsid w:val="00407A55"/>
    <w:rPr>
      <w:i/>
      <w:iCs/>
    </w:rPr>
  </w:style>
  <w:style w:type="paragraph" w:customStyle="1" w:styleId="121">
    <w:name w:val="Обычный1"/>
    <w:qFormat/>
    <w:rsid w:val="00407A55"/>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407A55"/>
  </w:style>
  <w:style w:type="character" w:customStyle="1" w:styleId="122">
    <w:name w:val="Обычный (Интернет) Знак1"/>
    <w:aliases w:val="Обычный (веб) Знак,Обычный (Web) Знак1,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
    <w:uiPriority w:val="99"/>
    <w:locked/>
    <w:rsid w:val="00407A55"/>
    <w:rPr>
      <w:sz w:val="24"/>
      <w:szCs w:val="24"/>
      <w:lang w:val="ru-RU" w:eastAsia="ru-RU"/>
    </w:rPr>
  </w:style>
  <w:style w:type="paragraph" w:customStyle="1" w:styleId="124">
    <w:name w:val="Без інтервалів1"/>
    <w:qFormat/>
    <w:rsid w:val="00407A55"/>
    <w:pPr>
      <w:suppressAutoHyphens/>
      <w:spacing w:after="0" w:line="240" w:lineRule="auto"/>
    </w:pPr>
    <w:rPr>
      <w:rFonts w:ascii="Calibri" w:eastAsia="Calibri" w:hAnsi="Calibri" w:cs="Calibri"/>
      <w:lang w:eastAsia="zh-CN"/>
    </w:rPr>
  </w:style>
  <w:style w:type="character" w:customStyle="1" w:styleId="rvts23">
    <w:name w:val="rvts23"/>
    <w:rsid w:val="00407A55"/>
  </w:style>
  <w:style w:type="character" w:customStyle="1" w:styleId="ListLabel17">
    <w:name w:val="ListLabel 17"/>
    <w:qFormat/>
    <w:rsid w:val="00407A55"/>
    <w:rPr>
      <w:strike w:val="0"/>
      <w:dstrike w:val="0"/>
      <w:sz w:val="22"/>
      <w:szCs w:val="22"/>
      <w:u w:val="none"/>
      <w:effect w:val="none"/>
      <w:lang w:val="en-US"/>
    </w:rPr>
  </w:style>
  <w:style w:type="paragraph" w:customStyle="1" w:styleId="rvps2">
    <w:name w:val="rvps2"/>
    <w:basedOn w:val="Normal"/>
    <w:rsid w:val="00407A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927,baiaagaaboqcaaadwauaaaxobqaaaaaaaaaaaaaaaaaaaaaaaaaaaaaaaaaaaaaaaaaaaaaaaaaaaaaaaaaaaaaaaaaaaaaaaaaaaaaaaaaaaaaaaaaaaaaaaaaaaaaaaaaaaaaaaaaaaaaaaaaaaaaaaaaaaaaaaaaaaaaaaaaaaaaaaaaaaaaaaaaaaaaaaaaaaaaaaaaaaaaaaaaaaaaaaaaaaaaaaaaaaaaa"/>
    <w:basedOn w:val="Normal"/>
    <w:rsid w:val="00407A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407A55"/>
    <w:rPr>
      <w:rFonts w:ascii="Times New Roman" w:hAnsi="Times New Roman" w:cs="Times New Roman"/>
      <w:spacing w:val="10"/>
      <w:sz w:val="24"/>
      <w:szCs w:val="24"/>
    </w:rPr>
  </w:style>
  <w:style w:type="character" w:customStyle="1" w:styleId="pagetitle--combinations">
    <w:name w:val="page_title--combinations"/>
    <w:basedOn w:val="DefaultParagraphFont"/>
    <w:rsid w:val="00407A55"/>
  </w:style>
  <w:style w:type="paragraph" w:customStyle="1" w:styleId="125">
    <w:name w:val="Стиль1"/>
    <w:basedOn w:val="ListParagraph"/>
    <w:link w:val="126"/>
    <w:qFormat/>
    <w:rsid w:val="00407A55"/>
    <w:pPr>
      <w:ind w:left="0" w:firstLine="426"/>
      <w:jc w:val="both"/>
    </w:pPr>
    <w:rPr>
      <w:sz w:val="28"/>
      <w:szCs w:val="28"/>
      <w:lang w:val="uk-UA"/>
    </w:rPr>
  </w:style>
  <w:style w:type="character" w:customStyle="1" w:styleId="126">
    <w:name w:val="Стиль1 Знак"/>
    <w:link w:val="125"/>
    <w:rsid w:val="00407A55"/>
    <w:rPr>
      <w:rFonts w:ascii="Times New Roman" w:eastAsia="Times New Roman" w:hAnsi="Times New Roman" w:cs="Times New Roman"/>
      <w:sz w:val="28"/>
      <w:szCs w:val="28"/>
      <w:lang w:eastAsia="ru-RU"/>
    </w:rPr>
  </w:style>
  <w:style w:type="paragraph" w:customStyle="1" w:styleId="26">
    <w:name w:val="Стиль2"/>
    <w:basedOn w:val="ListParagraph"/>
    <w:link w:val="27"/>
    <w:qFormat/>
    <w:rsid w:val="00407A55"/>
    <w:pPr>
      <w:ind w:left="0" w:firstLine="426"/>
      <w:jc w:val="both"/>
    </w:pPr>
    <w:rPr>
      <w:color w:val="000000"/>
      <w:sz w:val="28"/>
      <w:szCs w:val="28"/>
      <w:lang w:val="uk-UA"/>
    </w:rPr>
  </w:style>
  <w:style w:type="character" w:customStyle="1" w:styleId="27">
    <w:name w:val="Стиль2 Знак"/>
    <w:link w:val="26"/>
    <w:rsid w:val="00407A55"/>
    <w:rPr>
      <w:rFonts w:ascii="Times New Roman" w:eastAsia="Times New Roman" w:hAnsi="Times New Roman" w:cs="Times New Roman"/>
      <w:color w:val="000000"/>
      <w:sz w:val="28"/>
      <w:szCs w:val="28"/>
      <w:lang w:eastAsia="ru-RU"/>
    </w:rPr>
  </w:style>
  <w:style w:type="character" w:customStyle="1" w:styleId="3323">
    <w:name w:val="3323"/>
    <w:aliases w:val="baiaagaaboqcaaadqakaaavocqaaaaaaaaaaaaaaaaaaaaaaaaaaaaaaaaaaaaaaaaaaaaaaaaaaaaaaaaaaaaaaaaaaaaaaaaaaaaaaaaaaaaaaaaaaaaaaaaaaaaaaaaaaaaaaaaaaaaaaaaaaaaaaaaaaaaaaaaaaaaaaaaaaaaaaaaaaaaaaaaaaaaaaaaaaaaaaaaaaaaaaaaaaaaaaaaaaaaaaaaaaaaaa"/>
    <w:basedOn w:val="DefaultParagraphFont"/>
    <w:rsid w:val="00407A55"/>
  </w:style>
  <w:style w:type="character" w:styleId="LineNumber">
    <w:name w:val="line number"/>
    <w:basedOn w:val="DefaultParagraphFont"/>
    <w:rsid w:val="00407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4.xml" /><Relationship Id="rId11" Type="http://schemas.openxmlformats.org/officeDocument/2006/relationships/chart" Target="charts/chart5.xml" /><Relationship Id="rId12" Type="http://schemas.openxmlformats.org/officeDocument/2006/relationships/chart" Target="charts/chart6.xml" /><Relationship Id="rId13" Type="http://schemas.microsoft.com/office/2007/relationships/diagramDrawing" Target="diagrams/drawing1.xml" /><Relationship Id="rId14" Type="http://schemas.openxmlformats.org/officeDocument/2006/relationships/diagramData" Target="diagrams/data1.xml" /><Relationship Id="rId15" Type="http://schemas.openxmlformats.org/officeDocument/2006/relationships/diagramLayout" Target="diagrams/layout1.xml" /><Relationship Id="rId16" Type="http://schemas.openxmlformats.org/officeDocument/2006/relationships/diagramQuickStyle" Target="diagrams/quickStyle1.xml" /><Relationship Id="rId17" Type="http://schemas.openxmlformats.org/officeDocument/2006/relationships/diagramColors" Target="diagrams/colors1.xml" /><Relationship Id="rId18" Type="http://schemas.openxmlformats.org/officeDocument/2006/relationships/chart" Target="charts/chart7.xml" /><Relationship Id="rId19" Type="http://schemas.microsoft.com/office/2007/relationships/diagramDrawing" Target="diagrams/drawing2.xml" /><Relationship Id="rId2" Type="http://schemas.openxmlformats.org/officeDocument/2006/relationships/webSettings" Target="webSettings.xml" /><Relationship Id="rId20" Type="http://schemas.openxmlformats.org/officeDocument/2006/relationships/diagramData" Target="diagrams/data2.xml" /><Relationship Id="rId21" Type="http://schemas.openxmlformats.org/officeDocument/2006/relationships/diagramLayout" Target="diagrams/layout2.xml" /><Relationship Id="rId22" Type="http://schemas.openxmlformats.org/officeDocument/2006/relationships/diagramQuickStyle" Target="diagrams/quickStyle2.xml" /><Relationship Id="rId23" Type="http://schemas.openxmlformats.org/officeDocument/2006/relationships/diagramColors" Target="diagrams/colors2.xml" /><Relationship Id="rId24" Type="http://schemas.openxmlformats.org/officeDocument/2006/relationships/chart" Target="charts/chart8.xml" /><Relationship Id="rId25" Type="http://schemas.openxmlformats.org/officeDocument/2006/relationships/chart" Target="charts/chart9.xml" /><Relationship Id="rId26" Type="http://schemas.openxmlformats.org/officeDocument/2006/relationships/chart" Target="charts/chart10.xml" /><Relationship Id="rId27" Type="http://schemas.openxmlformats.org/officeDocument/2006/relationships/chart" Target="charts/chart11.xml" /><Relationship Id="rId28" Type="http://schemas.microsoft.com/office/2007/relationships/diagramDrawing" Target="diagrams/drawing3.xml" /><Relationship Id="rId29" Type="http://schemas.openxmlformats.org/officeDocument/2006/relationships/diagramData" Target="diagrams/data3.xml" /><Relationship Id="rId3" Type="http://schemas.openxmlformats.org/officeDocument/2006/relationships/fontTable" Target="fontTable.xml" /><Relationship Id="rId30" Type="http://schemas.openxmlformats.org/officeDocument/2006/relationships/diagramLayout" Target="diagrams/layout3.xml" /><Relationship Id="rId31" Type="http://schemas.openxmlformats.org/officeDocument/2006/relationships/diagramQuickStyle" Target="diagrams/quickStyle3.xml" /><Relationship Id="rId32" Type="http://schemas.openxmlformats.org/officeDocument/2006/relationships/diagramColors" Target="diagrams/colors3.xml" /><Relationship Id="rId33" Type="http://schemas.openxmlformats.org/officeDocument/2006/relationships/chart" Target="charts/chart12.xml" /><Relationship Id="rId34" Type="http://schemas.openxmlformats.org/officeDocument/2006/relationships/chart" Target="charts/chart13.xml" /><Relationship Id="rId35" Type="http://schemas.openxmlformats.org/officeDocument/2006/relationships/chart" Target="charts/chart14.xml" /><Relationship Id="rId36" Type="http://schemas.openxmlformats.org/officeDocument/2006/relationships/chart" Target="charts/chart15.xml" /><Relationship Id="rId37" Type="http://schemas.openxmlformats.org/officeDocument/2006/relationships/chart" Target="charts/chart16.xml" /><Relationship Id="rId38" Type="http://schemas.openxmlformats.org/officeDocument/2006/relationships/image" Target="media/image5.png" /><Relationship Id="rId39" Type="http://schemas.openxmlformats.org/officeDocument/2006/relationships/image" Target="media/image6.png" /><Relationship Id="rId4" Type="http://schemas.openxmlformats.org/officeDocument/2006/relationships/hyperlink" Target="https://zakon.rada.gov.ua/laws/show/722/2019" TargetMode="External" /><Relationship Id="rId40" Type="http://schemas.openxmlformats.org/officeDocument/2006/relationships/chart" Target="charts/chart17.xml" /><Relationship Id="rId41" Type="http://schemas.openxmlformats.org/officeDocument/2006/relationships/chart" Target="charts/chart18.xml" /><Relationship Id="rId42" Type="http://schemas.openxmlformats.org/officeDocument/2006/relationships/chart" Target="charts/chart19.xml" /><Relationship Id="rId43" Type="http://schemas.openxmlformats.org/officeDocument/2006/relationships/chart" Target="charts/chart20.xml" /><Relationship Id="rId44" Type="http://schemas.openxmlformats.org/officeDocument/2006/relationships/chart" Target="charts/chart21.xml" /><Relationship Id="rId45" Type="http://schemas.microsoft.com/office/2014/relationships/chartEx" Target="charts/chartEx1.xml" /><Relationship Id="rId46" Type="http://schemas.openxmlformats.org/officeDocument/2006/relationships/image" Target="media/image7.png" /><Relationship Id="rId47" Type="http://schemas.openxmlformats.org/officeDocument/2006/relationships/chart" Target="charts/chart22.xml" /><Relationship Id="rId48" Type="http://schemas.openxmlformats.org/officeDocument/2006/relationships/chart" Target="charts/chart23.xml" /><Relationship Id="rId49" Type="http://schemas.openxmlformats.org/officeDocument/2006/relationships/chart" Target="charts/chart24.xml" /><Relationship Id="rId5" Type="http://schemas.openxmlformats.org/officeDocument/2006/relationships/hyperlink" Target="https://brovary-rada.gov.ua/meshkantsiu/bezpeka" TargetMode="External" /><Relationship Id="rId50" Type="http://schemas.openxmlformats.org/officeDocument/2006/relationships/header" Target="header1.xml" /><Relationship Id="rId51" Type="http://schemas.openxmlformats.org/officeDocument/2006/relationships/footer" Target="footer1.xml" /><Relationship Id="rId52" Type="http://schemas.openxmlformats.org/officeDocument/2006/relationships/glossaryDocument" Target="glossary/document.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hyperlink" Target="https://koda.gov.ua/gromadskosti/vidkryti-dani/ukryttya/" TargetMode="External"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chart" Target="charts/chart3.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85;&#1072;&#1089;&#1077;&#1083;&#1077;&#1085;&#1085;&#1103;(&#1040;&#1074;&#1090;&#1086;&#1084;&#1072;&#1090;&#1080;&#1095;&#1077;&#1089;&#1082;&#1080;&#1042;&#1086;&#1089;&#1089;&#1090;&#1072;&#1085;&#1086;&#1074;&#1083;&#1077;&#1085;&#108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44;&#1110;&#1072;&#1075;&#1088;&#1072;&#1084;&#1080;%20&#1055;&#1040;&#1042;&#1051;&#1054;&#1042;.xlsx" TargetMode="External" /><Relationship Id="rId2" Type="http://schemas.openxmlformats.org/officeDocument/2006/relationships/themeOverride" Target="../theme/themeOverride10.xml" /><Relationship Id="rId3" Type="http://schemas.microsoft.com/office/2011/relationships/chartColorStyle" Target="chart/colors10.xml" /><Relationship Id="rId4"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94;&#1077;&#1085;&#1090;&#1088;%20&#1079;&#1072;&#1081;&#1085;&#1103;&#1090;&#1086;&#1089;&#1090;&#1110;.xlsx" TargetMode="External" /><Relationship Id="rId2" Type="http://schemas.openxmlformats.org/officeDocument/2006/relationships/themeOverride" Target="../theme/themeOverride11.xml" /><Relationship Id="rId3" Type="http://schemas.microsoft.com/office/2011/relationships/chartColorStyle" Target="chart/colors11.xml" /><Relationship Id="rId4" Type="http://schemas.microsoft.com/office/2011/relationships/chartStyle" Target="chart/style11.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94;&#1085;&#1072;&#1087;.xlsx" TargetMode="External" /><Relationship Id="rId2" Type="http://schemas.openxmlformats.org/officeDocument/2006/relationships/themeOverride" Target="../theme/themeOverride12.xml" /><Relationship Id="rId3" Type="http://schemas.microsoft.com/office/2011/relationships/chartColorStyle" Target="chart/colors12.xml" /><Relationship Id="rId4"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94;&#1085;&#1072;&#1087;.xlsx" TargetMode="External" /><Relationship Id="rId2" Type="http://schemas.openxmlformats.org/officeDocument/2006/relationships/themeOverride" Target="../theme/themeOverride13.xml" /><Relationship Id="rId3" Type="http://schemas.microsoft.com/office/2011/relationships/chartColorStyle" Target="chart/colors13.xml" /><Relationship Id="rId4"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oleObject" Target="file:///C:\Users\User\Desktop\&#1053;&#1086;&#1074;&#1080;&#1081;%20&#1040;&#1088;&#1082;&#1091;&#1096;%20Microsoft%20Excel%20(3).xlsx" TargetMode="External" /><Relationship Id="rId2" Type="http://schemas.openxmlformats.org/officeDocument/2006/relationships/themeOverride" Target="../theme/themeOverride14.xml" /><Relationship Id="rId3" Type="http://schemas.microsoft.com/office/2011/relationships/chartColorStyle" Target="chart/colors14.xml" /><Relationship Id="rId4" Type="http://schemas.microsoft.com/office/2011/relationships/chartStyle" Target="chart/style14.xml" /></Relationships>
</file>

<file path=word/charts/_rels/chart15.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47;&#1042;&#1030;&#1058;&#1048;%20&#1047;&#1040;%20&#1055;&#1030;&#1042;&#1056;&#1030;&#1063;&#1063;&#1071;\&#1057;&#1058;&#1056;&#1059;&#1050;&#1058;&#1059;&#1056;&#1040;%20&#1055;&#1056;&#1054;&#1052;&#1048;&#1057;&#1051;&#1054;&#1042;&#1054;&#1057;&#1058;&#1048;%2006%202025.xlsx" TargetMode="External" /><Relationship Id="rId2" Type="http://schemas.openxmlformats.org/officeDocument/2006/relationships/themeOverride" Target="../theme/themeOverride15.xml" /><Relationship Id="rId3" Type="http://schemas.microsoft.com/office/2011/relationships/chartColorStyle" Target="chart/colors15.xml" /><Relationship Id="rId4" Type="http://schemas.microsoft.com/office/2011/relationships/chartStyle" Target="chart/style15.xml" /></Relationships>
</file>

<file path=word/charts/_rels/chart16.xml.rels><?xml version="1.0" encoding="utf-8" standalone="yes"?><Relationships xmlns="http://schemas.openxmlformats.org/package/2006/relationships"><Relationship Id="rId1" Type="http://schemas.openxmlformats.org/officeDocument/2006/relationships/oleObject" Target="file:///C:\Users\User\Downloads\02%2026%20&#1057;&#1058;&#1056;&#1059;&#1050;&#1058;&#1059;&#1056;&#1040;%20&#1087;&#1086;&#1076;&#1072;&#1090;&#1082;&#1080;%20&#1090;&#1072;%20&#1055;&#1056;&#1054;&#1052;&#1048;&#1057;&#1051;&#1054;&#1042;&#1030;%20(1).xlsx" TargetMode="External" /><Relationship Id="rId2" Type="http://schemas.openxmlformats.org/officeDocument/2006/relationships/themeOverride" Target="../theme/themeOverride16.xml" /><Relationship Id="rId3" Type="http://schemas.microsoft.com/office/2011/relationships/chartColorStyle" Target="chart/colors16.xml" /><Relationship Id="rId4" Type="http://schemas.microsoft.com/office/2011/relationships/chartStyle" Target="chart/style16.xml" /></Relationships>
</file>

<file path=word/charts/_rels/chart17.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7.xml" /></Relationships>
</file>

<file path=word/charts/_rels/chart18.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openxmlformats.org/officeDocument/2006/relationships/themeOverride" Target="../theme/themeOverride18.xml" /></Relationships>
</file>

<file path=word/charts/_rels/chart1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75;&#1088;&#1072;&#1085;&#1080;&#1095;&#1085;&#1086;&#1084;&#1091;%20&#1086;&#1073;&#1089;&#1103;&#1075;&#1091;%20(&#1110;&#1085;&#1074;&#1077;&#1089;&#1090;&#1080;&#1094;&#1110;&#1111;).xlsx" TargetMode="External" /><Relationship Id="rId2" Type="http://schemas.openxmlformats.org/officeDocument/2006/relationships/themeOverride" Target="../theme/themeOverride19.xml" /><Relationship Id="rId3" Type="http://schemas.microsoft.com/office/2011/relationships/chartColorStyle" Target="chart/colors17.xml" /><Relationship Id="rId4" Type="http://schemas.microsoft.com/office/2011/relationships/chartStyle" Target="chart/style17.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85;&#1072;&#1089;&#1077;&#1083;&#1077;&#1085;&#1085;&#1103;(&#1040;&#1074;&#1090;&#1086;&#1084;&#1072;&#1090;&#1080;&#1095;&#1077;&#1089;&#1082;&#1080;&#1042;&#1086;&#1089;&#1089;&#1090;&#1072;&#1085;&#1086;&#1074;&#1083;&#1077;&#1085;&#108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20.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openxmlformats.org/officeDocument/2006/relationships/themeOverride" Target="../theme/themeOverride20.xml" /></Relationships>
</file>

<file path=word/charts/_rels/chart2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5\&#1055;&#1110;&#1076;&#1089;&#1091;&#1084;&#1082;&#1080;%202025\&#1044;&#1110;&#1072;&#1075;&#1088;&#1072;&#1084;&#1080;\&#1092;&#1110;&#1085;.xlsx" TargetMode="External" /><Relationship Id="rId2" Type="http://schemas.openxmlformats.org/officeDocument/2006/relationships/themeOverride" Target="../theme/themeOverride21.xml" /><Relationship Id="rId3" Type="http://schemas.microsoft.com/office/2011/relationships/chartColorStyle" Target="chart/colors18.xml" /><Relationship Id="rId4" Type="http://schemas.microsoft.com/office/2011/relationships/chartStyle" Target="chart/style18.xml" /></Relationships>
</file>

<file path=word/charts/_rels/chart2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5\&#1055;&#1110;&#1076;&#1089;&#1091;&#1084;&#1082;&#1080;%202025\&#1044;&#1110;&#1072;&#1075;&#1088;&#1072;&#1084;&#1080;\&#1092;&#1110;&#1085;.xlsx" TargetMode="External" /><Relationship Id="rId2" Type="http://schemas.openxmlformats.org/officeDocument/2006/relationships/themeOverride" Target="../theme/themeOverride23.xml" /><Relationship Id="rId3" Type="http://schemas.microsoft.com/office/2011/relationships/chartColorStyle" Target="chart/colors20.xml" /><Relationship Id="rId4" Type="http://schemas.microsoft.com/office/2011/relationships/chartStyle" Target="chart/style20.xml" /></Relationships>
</file>

<file path=word/charts/_rels/chart2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5\&#1055;&#1110;&#1076;&#1089;&#1091;&#1084;&#1082;&#1080;%202025\&#1044;&#1110;&#1072;&#1075;&#1088;&#1072;&#1084;&#1080;\&#1092;&#1110;&#1085;.xlsx" TargetMode="External" /><Relationship Id="rId2" Type="http://schemas.openxmlformats.org/officeDocument/2006/relationships/themeOverride" Target="../theme/themeOverride24.xml" /><Relationship Id="rId3" Type="http://schemas.microsoft.com/office/2011/relationships/chartColorStyle" Target="chart/colors21.xml" /><Relationship Id="rId4" Type="http://schemas.microsoft.com/office/2011/relationships/chartStyle" Target="chart/style21.xml" /></Relationships>
</file>

<file path=word/charts/_rels/chart2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42;&#1048;&#1050;&#1054;&#1053;&#1040;&#1053;&#1053;&#1071;%20&#1087;&#1088;&#1086;&#1075;&#1088;&#1072;&#1084;\&#1084;&#1110;&#1089;&#1094;&#1077;&#1074;&#1110;%20&#1087;&#1088;&#1086;&#1075;&#1088;&#1072;&#1084;&#1080;%202026\&#1084;&#1110;&#1089;&#1094;&#1077;&#1074;&#1110;%20&#1087;&#1088;&#1086;&#1075;&#1088;&#1072;&#1084;&#1080;%20&#1095;&#1077;&#1088;&#1074;&#1077;&#1085;&#1100;.xls" TargetMode="External" /><Relationship Id="rId2" Type="http://schemas.openxmlformats.org/officeDocument/2006/relationships/themeOverride" Target="../theme/themeOverride25.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74;&#1087;&#1086;.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79;%20&#1090;&#1091;&#1088;&#1073;&#1086;&#1090;&#1086;&#1102;.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87;&#1077;&#1085;&#1089;%20&#1092;&#1086;&#1085;&#1076;.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74;&#1077;&#1090;%20&#1087;&#1086;&#1083;&#1110;&#1090;&#1080;&#1082;&#1072;.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84;&#1077;&#1076;&#1080;&#1094;&#1080;&#1085;&#1072;.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44;&#1110;&#1072;&#1075;&#1088;&#1072;&#1084;&#1080;%20&#1055;&#1040;&#1042;&#1051;&#1054;&#1042;.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6\&#1055;&#1110;&#1076;&#1089;&#1091;&#1084;&#1082;&#1080;%20&#1030;%20&#1087;&#1110;&#1074;&#1088;&#1110;&#1095;&#1095;&#1103;%202026\&#1044;&#1110;&#1072;&#1075;&#1088;&#1072;&#1084;&#1080;\&#1044;&#1110;&#1072;&#1075;&#1088;&#1072;&#1084;&#1080;%20&#1055;&#1040;&#1042;&#1051;&#1054;&#1042;.xlsx" TargetMode="External" /><Relationship Id="rId2" Type="http://schemas.openxmlformats.org/officeDocument/2006/relationships/themeOverride" Target="../theme/themeOverride9.xml" /><Relationship Id="rId3" Type="http://schemas.microsoft.com/office/2011/relationships/chartColorStyle" Target="chart/colors9.xml" /><Relationship Id="rId4" Type="http://schemas.microsoft.com/office/2011/relationships/chartStyle" Target="chart/styl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56;&#1054;&#1043;&#1056;&#1040;&#1052;&#1048;%20&#1057;&#1054;&#1062;-&#1045;&#1050;%20&#1056;&#1054;&#1047;&#1042;&#1048;&#1058;&#1050;&#1059;\&#1055;&#1110;&#1076;&#1089;&#1091;&#1084;&#1082;&#1080;%202025\&#1055;&#1110;&#1076;&#1089;&#1091;&#1084;&#1082;&#1080;%202025\&#1044;&#1110;&#1072;&#1075;&#1088;&#1072;&#1084;&#1080;\&#1073;&#1102;&#1076;&#1078;&#1077;&#1090;.xlsx" TargetMode="External" /><Relationship Id="rId2" Type="http://schemas.openxmlformats.org/officeDocument/2006/relationships/themeOverride" Target="../theme/themeOverride22.xml" /><Relationship Id="rId3" Type="http://schemas.microsoft.com/office/2011/relationships/chartColorStyle" Target="chart/colors19.xml" /><Relationship Id="rId4" Type="http://schemas.microsoft.com/office/2011/relationships/chartStyle" Target="chart/style19.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chart/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8.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a:solidFill>
          <a:schemeClr val="phClr"/>
        </a:solidFill>
        <a:round/>
      </a:ln>
      <a:effectLst>
        <a:outerShdw blurRad="50800" dist="38100" dir="2700000" sx="100000" sy="100000" kx="0" ky="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a:solidFill>
          <a:schemeClr val="phClr"/>
        </a:solidFill>
        <a:round/>
      </a:ln>
      <a:effectLst>
        <a:outerShdw blurRad="50800" dist="38100" dir="2700000" sx="100000" sy="100000" kx="0" ky="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dist="0" dir="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style19.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9.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8031496062992"/>
          <c:y val="0.027777777777777776"/>
          <c:w val="0.85219685039370074"/>
          <c:h val="0.73577136191309422"/>
        </c:manualLayout>
      </c:layout>
      <c:barChart>
        <c:barDir val="col"/>
        <c:grouping val="clustered"/>
        <c:varyColors val="0"/>
        <c:ser>
          <c:idx val="0"/>
          <c:order val="0"/>
          <c:tx>
            <c:strRef>
              <c:f>Лист1!$F$11</c:f>
              <c:strCache>
                <c:ptCount val="1"/>
                <c:pt idx="0">
                  <c:v>м. Бровари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Лист1!$E$12:$E$13</c:f>
              <c:numCache>
                <c:formatCode>m/d/yyyy</c:formatCode>
                <c:ptCount val="2"/>
                <c:pt idx="0">
                  <c:v>45839</c:v>
                </c:pt>
                <c:pt idx="1">
                  <c:v>46204</c:v>
                </c:pt>
              </c:numCache>
            </c:numRef>
          </c:cat>
          <c:val>
            <c:numRef>
              <c:f>Лист1!$F$12:$F$13</c:f>
              <c:numCache>
                <c:formatCode>General</c:formatCode>
                <c:ptCount val="2"/>
                <c:pt idx="0">
                  <c:v>104087</c:v>
                </c:pt>
                <c:pt idx="1">
                  <c:v>104222</c:v>
                </c:pt>
              </c:numCache>
            </c:numRef>
          </c:val>
          <c:extLst>
            <c:ext xmlns:c16="http://schemas.microsoft.com/office/drawing/2014/chart" uri="{C3380CC4-5D6E-409C-BE32-E72D297353CC}">
              <c16:uniqueId val="{00000000-EE8F-4819-B154-0488CB69FFBB}"/>
            </c:ext>
          </c:extLst>
        </c:ser>
        <c:ser>
          <c:idx val="1"/>
          <c:order val="1"/>
          <c:tx>
            <c:strRef>
              <c:f>Лист1!$G$11</c:f>
              <c:strCache>
                <c:ptCount val="1"/>
                <c:pt idx="0">
                  <c:v>с. Княжичі</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Лист1!$E$12:$E$13</c:f>
              <c:numCache>
                <c:formatCode>m/d/yyyy</c:formatCode>
                <c:ptCount val="2"/>
                <c:pt idx="0">
                  <c:v>45839</c:v>
                </c:pt>
                <c:pt idx="1">
                  <c:v>46204</c:v>
                </c:pt>
              </c:numCache>
            </c:numRef>
          </c:cat>
          <c:val>
            <c:numRef>
              <c:f>Лист1!$G$12:$G$13</c:f>
              <c:numCache>
                <c:formatCode>General</c:formatCode>
                <c:ptCount val="2"/>
                <c:pt idx="0">
                  <c:v>5905</c:v>
                </c:pt>
                <c:pt idx="1">
                  <c:v>5854</c:v>
                </c:pt>
              </c:numCache>
            </c:numRef>
          </c:val>
          <c:extLst>
            <c:ext xmlns:c16="http://schemas.microsoft.com/office/drawing/2014/chart" uri="{C3380CC4-5D6E-409C-BE32-E72D297353CC}">
              <c16:uniqueId val="{00000001-EE8F-4819-B154-0488CB69FFBB}"/>
            </c:ext>
          </c:extLst>
        </c:ser>
        <c:ser>
          <c:idx val="2"/>
          <c:order val="2"/>
          <c:tx>
            <c:strRef>
              <c:f>Лист1!$H$11</c:f>
              <c:strCache>
                <c:ptCount val="1"/>
                <c:pt idx="0">
                  <c:v>с. Требухів</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Лист1!$E$12:$E$13</c:f>
              <c:numCache>
                <c:formatCode>m/d/yyyy</c:formatCode>
                <c:ptCount val="2"/>
                <c:pt idx="0">
                  <c:v>45839</c:v>
                </c:pt>
                <c:pt idx="1">
                  <c:v>46204</c:v>
                </c:pt>
              </c:numCache>
            </c:numRef>
          </c:cat>
          <c:val>
            <c:numRef>
              <c:f>Лист1!$H$12:$H$13</c:f>
              <c:numCache>
                <c:formatCode>General</c:formatCode>
                <c:ptCount val="2"/>
                <c:pt idx="0">
                  <c:v>6576</c:v>
                </c:pt>
                <c:pt idx="1">
                  <c:v>6571</c:v>
                </c:pt>
              </c:numCache>
            </c:numRef>
          </c:val>
          <c:extLst>
            <c:ext xmlns:c16="http://schemas.microsoft.com/office/drawing/2014/chart" uri="{C3380CC4-5D6E-409C-BE32-E72D297353CC}">
              <c16:uniqueId val="{00000002-EE8F-4819-B154-0488CB69FFBB}"/>
            </c:ext>
          </c:extLst>
        </c:ser>
        <c:ser>
          <c:idx val="3"/>
          <c:order val="3"/>
          <c:tx>
            <c:strRef>
              <c:f>Лист1!$I$11</c:f>
              <c:strCache>
                <c:ptCount val="1"/>
                <c:pt idx="0">
                  <c:v>с. Сотницьке</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Лист1!$E$12:$E$13</c:f>
              <c:numCache>
                <c:formatCode>m/d/yyyy</c:formatCode>
                <c:ptCount val="2"/>
                <c:pt idx="0">
                  <c:v>45839</c:v>
                </c:pt>
                <c:pt idx="1">
                  <c:v>46204</c:v>
                </c:pt>
              </c:numCache>
            </c:numRef>
          </c:cat>
          <c:val>
            <c:numRef>
              <c:f>Лист1!$I$12:$I$13</c:f>
              <c:numCache>
                <c:formatCode>General</c:formatCode>
                <c:ptCount val="2"/>
                <c:pt idx="0">
                  <c:v>36</c:v>
                </c:pt>
                <c:pt idx="1">
                  <c:v>39</c:v>
                </c:pt>
              </c:numCache>
            </c:numRef>
          </c:val>
          <c:extLst>
            <c:ext xmlns:c16="http://schemas.microsoft.com/office/drawing/2014/chart" uri="{C3380CC4-5D6E-409C-BE32-E72D297353CC}">
              <c16:uniqueId val="{00000003-EE8F-4819-B154-0488CB69FFBB}"/>
            </c:ext>
          </c:extLst>
        </c:ser>
        <c:dLbls>
          <c:dLblPos val="outEnd"/>
          <c:showLegendKey val="0"/>
          <c:showVal val="1"/>
          <c:showCatName val="0"/>
          <c:showSerName val="0"/>
          <c:showPercent val="0"/>
          <c:showBubbleSize val="0"/>
        </c:dLbls>
        <c:gapWidth val="100"/>
        <c:overlap val="-24"/>
        <c:axId val="126440800"/>
        <c:axId val="126442048"/>
      </c:barChart>
      <c:catAx>
        <c:axId val="126440800"/>
        <c:scaling>
          <c:orientation val="minMax"/>
          <c:max val="2"/>
          <c:min val="1"/>
        </c:scaling>
        <c:delete val="0"/>
        <c:axPos val="b"/>
        <c:numFmt formatCode="m/d/yyyy" sourceLinked="1"/>
        <c:majorTickMark val="out"/>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26442048"/>
        <c:crosses val="autoZero"/>
        <c:auto val="0"/>
        <c:lblAlgn val="ctr"/>
        <c:lblOffset val="100"/>
        <c:noMultiLvlLbl val="0"/>
      </c:catAx>
      <c:valAx>
        <c:axId val="12644204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26440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Лист1!$E$6</c:f>
              <c:strCache>
                <c:ptCount val="1"/>
                <c:pt idx="0">
                  <c:v>І півр. 2025 року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Лист1!$F$6</c:f>
              <c:numCache>
                <c:formatCode>General</c:formatCode>
                <c:ptCount val="1"/>
                <c:pt idx="0">
                  <c:v>1550.3</c:v>
                </c:pt>
              </c:numCache>
            </c:numRef>
          </c:val>
          <c:extLst>
            <c:ext xmlns:c16="http://schemas.microsoft.com/office/drawing/2014/chart" uri="{C3380CC4-5D6E-409C-BE32-E72D297353CC}">
              <c16:uniqueId val="{00000000-13C1-4389-88E4-CDB56E62AD6B}"/>
            </c:ext>
          </c:extLst>
        </c:ser>
        <c:ser>
          <c:idx val="1"/>
          <c:order val="1"/>
          <c:tx>
            <c:strRef>
              <c:f>Лист1!$E$7</c:f>
              <c:strCache>
                <c:ptCount val="1"/>
                <c:pt idx="0">
                  <c:v>І півр. 2026 року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Лист1!$F$7</c:f>
              <c:numCache>
                <c:formatCode>General</c:formatCode>
                <c:ptCount val="1"/>
                <c:pt idx="0">
                  <c:v>2315.3</c:v>
                </c:pt>
              </c:numCache>
            </c:numRef>
          </c:val>
          <c:extLst>
            <c:ext xmlns:c16="http://schemas.microsoft.com/office/drawing/2014/chart" uri="{C3380CC4-5D6E-409C-BE32-E72D297353CC}">
              <c16:uniqueId val="{00000001-13C1-4389-88E4-CDB56E62AD6B}"/>
            </c:ext>
          </c:extLst>
        </c:ser>
        <c:dLbls>
          <c:dLblPos val="outEnd"/>
          <c:showLegendKey val="0"/>
          <c:showVal val="1"/>
          <c:showCatName val="0"/>
          <c:showSerName val="0"/>
          <c:showPercent val="0"/>
          <c:showBubbleSize val="0"/>
        </c:dLbls>
        <c:gapWidth val="267"/>
        <c:overlap val="-43"/>
        <c:axId val="1377078000"/>
        <c:axId val="1377075504"/>
      </c:barChart>
      <c:catAx>
        <c:axId val="1377078000"/>
        <c:scaling>
          <c:orientation val="minMax"/>
        </c:scaling>
        <c:delete val="0"/>
        <c:axPos val="b"/>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1377075504"/>
        <c:crosses val="autoZero"/>
        <c:auto val="1"/>
        <c:lblAlgn val="ctr"/>
        <c:lblOffset val="100"/>
        <c:noMultiLvlLbl val="0"/>
      </c:catAx>
      <c:valAx>
        <c:axId val="1377075504"/>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1377078000"/>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Лист1!$B$21</c:f>
              <c:strCache>
                <c:ptCount val="1"/>
                <c:pt idx="0">
                  <c:v>кількість безробітних, осіб</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І півр. 2025 року</c:v>
                </c:pt>
                <c:pt idx="1">
                  <c:v>І півр. 2026 року</c:v>
                </c:pt>
              </c:strCache>
            </c:strRef>
          </c:cat>
          <c:val>
            <c:numRef>
              <c:f>Лист1!$C$21:$D$21</c:f>
              <c:numCache>
                <c:formatCode>General</c:formatCode>
                <c:ptCount val="2"/>
                <c:pt idx="0">
                  <c:v>261</c:v>
                </c:pt>
                <c:pt idx="1">
                  <c:v>230</c:v>
                </c:pt>
              </c:numCache>
            </c:numRef>
          </c:val>
          <c:extLst>
            <c:ext xmlns:c16="http://schemas.microsoft.com/office/drawing/2014/chart" uri="{C3380CC4-5D6E-409C-BE32-E72D297353CC}">
              <c16:uniqueId val="{00000000-1661-41A2-873B-CD5D79A8FCCA}"/>
            </c:ext>
          </c:extLst>
        </c:ser>
        <c:ser>
          <c:idx val="1"/>
          <c:order val="1"/>
          <c:tx>
            <c:strRef>
              <c:f>Лист1!$B$22</c:f>
              <c:strCache>
                <c:ptCount val="1"/>
                <c:pt idx="0">
                  <c:v>кількість працевлаштованих, осіб</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І півр. 2025 року</c:v>
                </c:pt>
                <c:pt idx="1">
                  <c:v>І півр. 2026 року</c:v>
                </c:pt>
              </c:strCache>
            </c:strRef>
          </c:cat>
          <c:val>
            <c:numRef>
              <c:f>Лист1!$C$22:$D$22</c:f>
              <c:numCache>
                <c:formatCode>General</c:formatCode>
                <c:ptCount val="2"/>
                <c:pt idx="0">
                  <c:v>161</c:v>
                </c:pt>
                <c:pt idx="1">
                  <c:v>196</c:v>
                </c:pt>
              </c:numCache>
            </c:numRef>
          </c:val>
          <c:extLst>
            <c:ext xmlns:c16="http://schemas.microsoft.com/office/drawing/2014/chart" uri="{C3380CC4-5D6E-409C-BE32-E72D297353CC}">
              <c16:uniqueId val="{00000001-1661-41A2-873B-CD5D79A8FCCA}"/>
            </c:ext>
          </c:extLst>
        </c:ser>
        <c:ser>
          <c:idx val="2"/>
          <c:order val="2"/>
          <c:tx>
            <c:strRef>
              <c:f>Лист1!$B$23</c:f>
              <c:strCache>
                <c:ptCount val="1"/>
                <c:pt idx="0">
                  <c:v>загальна кількість вакансій</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І півр. 2025 року</c:v>
                </c:pt>
                <c:pt idx="1">
                  <c:v>І півр. 2026 року</c:v>
                </c:pt>
              </c:strCache>
            </c:strRef>
          </c:cat>
          <c:val>
            <c:numRef>
              <c:f>Лист1!$C$23:$D$23</c:f>
              <c:numCache>
                <c:formatCode>General</c:formatCode>
                <c:ptCount val="2"/>
                <c:pt idx="0">
                  <c:v>957</c:v>
                </c:pt>
                <c:pt idx="1">
                  <c:v>1890</c:v>
                </c:pt>
              </c:numCache>
            </c:numRef>
          </c:val>
          <c:extLst>
            <c:ext xmlns:c16="http://schemas.microsoft.com/office/drawing/2014/chart" uri="{C3380CC4-5D6E-409C-BE32-E72D297353CC}">
              <c16:uniqueId val="{00000002-1661-41A2-873B-CD5D79A8FCCA}"/>
            </c:ext>
          </c:extLst>
        </c:ser>
        <c:dLbls>
          <c:showLegendKey val="0"/>
          <c:showVal val="0"/>
          <c:showCatName val="0"/>
          <c:showSerName val="0"/>
          <c:showPercent val="0"/>
          <c:showBubbleSize val="0"/>
        </c:dLbls>
        <c:gapWidth val="219"/>
        <c:overlap val="-27"/>
        <c:axId val="733447263"/>
        <c:axId val="733447679"/>
      </c:barChart>
      <c:catAx>
        <c:axId val="73344726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crossAx val="733447679"/>
        <c:crosses val="autoZero"/>
        <c:auto val="1"/>
        <c:lblAlgn val="ctr"/>
        <c:lblOffset val="100"/>
        <c:noMultiLvlLbl val="0"/>
      </c:catAx>
      <c:valAx>
        <c:axId val="7334476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34472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2024</c:v>
                </c:pt>
                <c:pt idx="1">
                  <c:v>І півр. 2025</c:v>
                </c:pt>
                <c:pt idx="2">
                  <c:v>І півр. 2026</c:v>
                </c:pt>
              </c:strCache>
            </c:strRef>
          </c:cat>
          <c:val>
            <c:numRef>
              <c:f>Лист1!$B$3:$D$3</c:f>
              <c:numCache>
                <c:formatCode>General</c:formatCode>
                <c:ptCount val="3"/>
                <c:pt idx="0">
                  <c:v>279</c:v>
                </c:pt>
                <c:pt idx="1">
                  <c:v>337</c:v>
                </c:pt>
                <c:pt idx="2">
                  <c:v>371</c:v>
                </c:pt>
              </c:numCache>
            </c:numRef>
          </c:val>
          <c:extLst>
            <c:ext xmlns:c16="http://schemas.microsoft.com/office/drawing/2014/chart" uri="{C3380CC4-5D6E-409C-BE32-E72D297353CC}">
              <c16:uniqueId val="{00000000-C5CA-44C4-A529-D04A527BF8CC}"/>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І півр. 2024</c:v>
                </c:pt>
                <c:pt idx="1">
                  <c:v>І півр. 2025</c:v>
                </c:pt>
                <c:pt idx="2">
                  <c:v>І півр. 2026</c:v>
                </c:pt>
              </c:strCache>
            </c:strRef>
          </c:cat>
          <c:val>
            <c:numRef>
              <c:f>Лист1!$B$4:$D$4</c:f>
              <c:numCache>
                <c:formatCode>General</c:formatCode>
                <c:ptCount val="3"/>
                <c:pt idx="0">
                  <c:v>43</c:v>
                </c:pt>
                <c:pt idx="1">
                  <c:v>42</c:v>
                </c:pt>
                <c:pt idx="2">
                  <c:v>45</c:v>
                </c:pt>
              </c:numCache>
            </c:numRef>
          </c:val>
          <c:extLst>
            <c:ext xmlns:c16="http://schemas.microsoft.com/office/drawing/2014/chart" uri="{C3380CC4-5D6E-409C-BE32-E72D297353CC}">
              <c16:uniqueId val="{00000001-C5CA-44C4-A529-D04A527BF8CC}"/>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Лист1!$B$12:$B$25</c:f>
              <c:strCache>
                <c:ptCount val="14"/>
                <c:pt idx="0">
                  <c:v>Транспорт та водійські посвідчення </c:v>
                </c:pt>
                <c:pt idx="1">
                  <c:v>Будівництво</c:v>
                </c:pt>
                <c:pt idx="2">
                  <c:v>Соціальний захист сімей з дітьми </c:v>
                </c:pt>
                <c:pt idx="3">
                  <c:v>Акти цивільного стану </c:v>
                </c:pt>
                <c:pt idx="4">
                  <c:v>  Благоустрій</c:v>
                </c:pt>
                <c:pt idx="5">
                  <c:v> Реєстрація ВПО</c:v>
                </c:pt>
                <c:pt idx="6">
                  <c:v>Містобудування та архітектура </c:v>
                </c:pt>
                <c:pt idx="7">
                  <c:v>Землекористування</c:v>
                </c:pt>
                <c:pt idx="8">
                  <c:v>Реєстрація бізнесу</c:v>
                </c:pt>
                <c:pt idx="9">
                  <c:v>Виплати та субсидії (ПФУ)</c:v>
                </c:pt>
                <c:pt idx="10">
                  <c:v> Відстрочка </c:v>
                </c:pt>
                <c:pt idx="11">
                  <c:v>Оформлення паспортів</c:v>
                </c:pt>
                <c:pt idx="12">
                  <c:v> Реєстрація прав на нерухомість</c:v>
                </c:pt>
                <c:pt idx="13">
                  <c:v>Реєстрація місця проживання </c:v>
                </c:pt>
              </c:strCache>
            </c:strRef>
          </c:cat>
          <c:val>
            <c:numRef>
              <c:f>Лист1!$C$12:$C$25</c:f>
              <c:numCache>
                <c:formatCode>General</c:formatCode>
                <c:ptCount val="14"/>
                <c:pt idx="0">
                  <c:v>132</c:v>
                </c:pt>
                <c:pt idx="1">
                  <c:v>179</c:v>
                </c:pt>
                <c:pt idx="2">
                  <c:v>210</c:v>
                </c:pt>
                <c:pt idx="3">
                  <c:v>303</c:v>
                </c:pt>
                <c:pt idx="4">
                  <c:v>448</c:v>
                </c:pt>
                <c:pt idx="5">
                  <c:v>565</c:v>
                </c:pt>
                <c:pt idx="6">
                  <c:v>567</c:v>
                </c:pt>
                <c:pt idx="7">
                  <c:v>691</c:v>
                </c:pt>
                <c:pt idx="8" formatCode="#,##0">
                  <c:v>1144</c:v>
                </c:pt>
                <c:pt idx="9" formatCode="#,##0">
                  <c:v>1805</c:v>
                </c:pt>
                <c:pt idx="10" formatCode="#,##0">
                  <c:v>2157</c:v>
                </c:pt>
                <c:pt idx="11" formatCode="#,##0">
                  <c:v>2962</c:v>
                </c:pt>
                <c:pt idx="12" formatCode="#,##0">
                  <c:v>4523</c:v>
                </c:pt>
                <c:pt idx="13" formatCode="#,##0">
                  <c:v>12333</c:v>
                </c:pt>
              </c:numCache>
            </c:numRef>
          </c:val>
          <c:extLst>
            <c:ext xmlns:c16="http://schemas.microsoft.com/office/drawing/2014/chart" uri="{C3380CC4-5D6E-409C-BE32-E72D297353CC}">
              <c16:uniqueId val="{00000000-D627-4896-A21D-023FDE01A9BF}"/>
            </c:ext>
          </c:extLst>
        </c:ser>
        <c:dLbls>
          <c:showLegendKey val="0"/>
          <c:showVal val="0"/>
          <c:showCatName val="0"/>
          <c:showSerName val="0"/>
          <c:showPercent val="0"/>
          <c:showBubbleSize val="0"/>
        </c:dLbls>
        <c:gapWidth val="182"/>
        <c:axId val="1363930175"/>
        <c:axId val="1363932671"/>
      </c:barChart>
      <c:catAx>
        <c:axId val="1363930175"/>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crossAx val="1363932671"/>
        <c:crosses val="autoZero"/>
        <c:auto val="1"/>
        <c:lblAlgn val="ctr"/>
        <c:lblOffset val="100"/>
        <c:noMultiLvlLbl val="0"/>
      </c:catAx>
      <c:valAx>
        <c:axId val="1363932671"/>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63930175"/>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Лист1!$C$33</c:f>
              <c:strCache>
                <c:ptCount val="1"/>
                <c:pt idx="0">
                  <c:v>2025 рік</c:v>
                </c:pt>
              </c:strCache>
            </c:strRef>
          </c:tx>
          <c:spPr>
            <a:solidFill>
              <a:schemeClr val="accent1"/>
            </a:solidFill>
            <a:ln>
              <a:noFill/>
            </a:ln>
            <a:effectLst/>
          </c:spPr>
          <c:invertIfNegative val="0"/>
          <c:dLbls>
            <c:dLbl>
              <c:idx val="0"/>
              <c:layout>
                <c:manualLayout>
                  <c:x val="0"/>
                  <c:y val="0.0143864237186958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32-4F18-9F92-945813784630}"/>
                </c:ext>
              </c:extLst>
            </c:dLbl>
            <c:dLbl>
              <c:idx val="1"/>
              <c:layout>
                <c:manualLayout>
                  <c:x val="0.0021937040693209681"/>
                  <c:y val="0.007166207112197617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32-4F18-9F92-945813784630}"/>
                </c:ext>
              </c:extLst>
            </c:dLbl>
            <c:dLbl>
              <c:idx val="2"/>
              <c:layout>
                <c:manualLayout>
                  <c:x val="-0.0043874081386420976"/>
                  <c:y val="-0.00727422610079883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32-4F18-9F92-9458137846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cat>
            <c:strRef>
              <c:f>Лист1!$B$34:$B$36</c:f>
              <c:strCache>
                <c:ptCount val="3"/>
                <c:pt idx="0">
                  <c:v>Кукурудза</c:v>
                </c:pt>
                <c:pt idx="1">
                  <c:v>Соняшник</c:v>
                </c:pt>
                <c:pt idx="2">
                  <c:v>Ріпак</c:v>
                </c:pt>
              </c:strCache>
            </c:strRef>
          </c:cat>
          <c:val>
            <c:numRef>
              <c:f>Лист1!$C$34:$C$36</c:f>
              <c:numCache>
                <c:formatCode>General</c:formatCode>
                <c:ptCount val="3"/>
                <c:pt idx="0">
                  <c:v>543</c:v>
                </c:pt>
                <c:pt idx="1">
                  <c:v>650</c:v>
                </c:pt>
                <c:pt idx="2">
                  <c:v>300</c:v>
                </c:pt>
              </c:numCache>
            </c:numRef>
          </c:val>
          <c:extLst>
            <c:ext xmlns:c16="http://schemas.microsoft.com/office/drawing/2014/chart" uri="{C3380CC4-5D6E-409C-BE32-E72D297353CC}">
              <c16:uniqueId val="{00000003-0332-4F18-9F92-945813784630}"/>
            </c:ext>
          </c:extLst>
        </c:ser>
        <c:ser>
          <c:idx val="1"/>
          <c:order val="1"/>
          <c:tx>
            <c:strRef>
              <c:f>Лист1!$D$33</c:f>
              <c:strCache>
                <c:ptCount val="1"/>
                <c:pt idx="0">
                  <c:v>2026 рік</c:v>
                </c:pt>
              </c:strCache>
            </c:strRef>
          </c:tx>
          <c:spPr>
            <a:solidFill>
              <a:schemeClr val="accent2"/>
            </a:solidFill>
            <a:ln>
              <a:noFill/>
            </a:ln>
            <a:effectLst/>
          </c:spPr>
          <c:invertIfNegative val="0"/>
          <c:dLbls>
            <c:dLbl>
              <c:idx val="0"/>
              <c:layout>
                <c:manualLayout>
                  <c:x val="-0.0065811122079631459"/>
                  <c:y val="-0.00366411779754968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32-4F18-9F92-945813784630}"/>
                </c:ext>
              </c:extLst>
            </c:dLbl>
            <c:dLbl>
              <c:idx val="1"/>
              <c:layout>
                <c:manualLayout>
                  <c:x val="0"/>
                  <c:y val="0.007166207112197617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32-4F18-9F92-945813784630}"/>
                </c:ext>
              </c:extLst>
            </c:dLbl>
            <c:dLbl>
              <c:idx val="2"/>
              <c:layout>
                <c:manualLayout>
                  <c:x val="0"/>
                  <c:y val="0.00716620711219755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32-4F18-9F92-9458137846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cat>
            <c:strRef>
              <c:f>Лист1!$B$34:$B$36</c:f>
              <c:strCache>
                <c:ptCount val="3"/>
                <c:pt idx="0">
                  <c:v>Кукурудза</c:v>
                </c:pt>
                <c:pt idx="1">
                  <c:v>Соняшник</c:v>
                </c:pt>
                <c:pt idx="2">
                  <c:v>Ріпак</c:v>
                </c:pt>
              </c:strCache>
            </c:strRef>
          </c:cat>
          <c:val>
            <c:numRef>
              <c:f>Лист1!$D$34:$D$36</c:f>
              <c:numCache>
                <c:formatCode>General</c:formatCode>
                <c:ptCount val="3"/>
                <c:pt idx="0">
                  <c:v>710</c:v>
                </c:pt>
                <c:pt idx="1">
                  <c:v>522</c:v>
                </c:pt>
                <c:pt idx="2">
                  <c:v>338</c:v>
                </c:pt>
              </c:numCache>
            </c:numRef>
          </c:val>
          <c:extLst>
            <c:ext xmlns:c16="http://schemas.microsoft.com/office/drawing/2014/chart" uri="{C3380CC4-5D6E-409C-BE32-E72D297353CC}">
              <c16:uniqueId val="{00000007-0332-4F18-9F92-945813784630}"/>
            </c:ext>
          </c:extLst>
        </c:ser>
        <c:dLbls>
          <c:dLblPos val="inEnd"/>
          <c:showLegendKey val="0"/>
          <c:showVal val="1"/>
          <c:showCatName val="0"/>
          <c:showSerName val="0"/>
          <c:showPercent val="0"/>
          <c:showBubbleSize val="0"/>
        </c:dLbls>
        <c:gapWidth val="267"/>
        <c:overlap val="-43"/>
        <c:axId val="1343195183"/>
        <c:axId val="1343254415"/>
      </c:barChart>
      <c:catAx>
        <c:axId val="1343195183"/>
        <c:scaling>
          <c:orientation val="minMax"/>
        </c:scaling>
        <c:delete val="0"/>
        <c:axPos val="b"/>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1343254415"/>
        <c:crosses val="autoZero"/>
        <c:auto val="1"/>
        <c:lblAlgn val="ctr"/>
        <c:lblOffset val="100"/>
        <c:noMultiLvlLbl val="0"/>
      </c:catAx>
      <c:valAx>
        <c:axId val="1343254415"/>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1343195183"/>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5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6200940568703424"/>
          <c:y val="0.01794571596917732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7977900556888754"/>
          <c:w val="0.40429656086803589"/>
          <c:h val="0.7441513134119865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A2-4CFA-8201-3AD622399B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A2-4CFA-8201-3AD622399B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A2-4CFA-8201-3AD622399B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A2-4CFA-8201-3AD622399B48}"/>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95A2-4CFA-8201-3AD622399B48}"/>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95A2-4CFA-8201-3AD622399B48}"/>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95A2-4CFA-8201-3AD622399B48}"/>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95A2-4CFA-8201-3AD622399B48}"/>
              </c:ext>
            </c:extLst>
          </c:dPt>
          <c:dPt>
            <c:idx val="8"/>
            <c:bubble3D val="0"/>
            <c:spPr>
              <a:solidFill>
                <a:srgbClr val="92D050"/>
              </a:solidFill>
              <a:ln w="19050">
                <a:solidFill>
                  <a:schemeClr val="lt1"/>
                </a:solidFill>
              </a:ln>
              <a:effectLst/>
            </c:spPr>
            <c:extLst>
              <c:ext xmlns:c16="http://schemas.microsoft.com/office/drawing/2014/chart" uri="{C3380CC4-5D6E-409C-BE32-E72D297353CC}">
                <c16:uniqueId val="{00000011-95A2-4CFA-8201-3AD622399B4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5A2-4CFA-8201-3AD622399B4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піврічного звіту '!$A$1:$A$10</c:f>
              <c:strCache>
                <c:ptCount val="10"/>
                <c:pt idx="0">
                  <c:v>Металургійне виробництво, виробництво готових металевих виробів, крім машин і устатковання  (29%)</c:v>
                </c:pt>
                <c:pt idx="1">
                  <c:v>Виробництво гумових і пластмасових виробів (12,8%)</c:v>
                </c:pt>
                <c:pt idx="2">
                  <c:v>Виробництво харчових продуктів, напоїв та тютюнових виробів (11,8%)</c:v>
                </c:pt>
                <c:pt idx="3">
                  <c:v>Машинобудування, ремонт машин та устаткування (11,8%)</c:v>
                </c:pt>
                <c:pt idx="4">
                  <c:v>Виготовлення виробів з деревини, паперу та поліграфічна діяльність, виробництво меблів (11,1%)</c:v>
                </c:pt>
                <c:pt idx="5">
                  <c:v>Текстильне виробництво, виробництво одягу, шкіри, виробів зі шкіри та інших матеріалів (7,1%)</c:v>
                </c:pt>
                <c:pt idx="6">
                  <c:v>Виробництво  іншої неметалевої мінеральної продукції (6,7%)</c:v>
                </c:pt>
                <c:pt idx="7">
                  <c:v>Виробництво основних фармацевтичних продуктів і фармацевтичних препаратів (3,7%)</c:v>
                </c:pt>
                <c:pt idx="8">
                  <c:v>Виробництво хімічних речовин і хімічної продукції (3,4%)</c:v>
                </c:pt>
                <c:pt idx="9">
                  <c:v>Виробництво іншої продукції (2,7%)</c:v>
                </c:pt>
              </c:strCache>
            </c:strRef>
          </c:cat>
          <c:val>
            <c:numRef>
              <c:f>'Для піврічного звіту '!$B$1:$B$10</c:f>
              <c:numCache>
                <c:formatCode>General</c:formatCode>
                <c:ptCount val="10"/>
                <c:pt idx="0">
                  <c:v>86</c:v>
                </c:pt>
                <c:pt idx="1">
                  <c:v>38</c:v>
                </c:pt>
                <c:pt idx="2">
                  <c:v>35</c:v>
                </c:pt>
                <c:pt idx="3">
                  <c:v>35</c:v>
                </c:pt>
                <c:pt idx="4">
                  <c:v>33</c:v>
                </c:pt>
                <c:pt idx="5">
                  <c:v>21</c:v>
                </c:pt>
                <c:pt idx="6">
                  <c:v>20</c:v>
                </c:pt>
                <c:pt idx="7">
                  <c:v>11</c:v>
                </c:pt>
                <c:pt idx="8">
                  <c:v>10</c:v>
                </c:pt>
                <c:pt idx="9">
                  <c:v>8</c:v>
                </c:pt>
              </c:numCache>
            </c:numRef>
          </c:val>
          <c:extLst>
            <c:ext xmlns:c16="http://schemas.microsoft.com/office/drawing/2014/chart" uri="{C3380CC4-5D6E-409C-BE32-E72D297353CC}">
              <c16:uniqueId val="{00000014-95A2-4CFA-8201-3AD622399B48}"/>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599552506917024"/>
          <c:y val="0.11050780966863455"/>
          <c:w val="0.44454720937660569"/>
          <c:h val="0.8894921903313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06013038384662898"/>
          <c:y val="0.19167926483636333"/>
          <c:w val="0.50659087054562"/>
          <c:h val="0.59057009082721379"/>
        </c:manualLayout>
      </c:layout>
      <c:pie3DChart>
        <c:varyColors val="1"/>
        <c:ser>
          <c:idx val="0"/>
          <c:order val="0"/>
          <c:explosion val="9"/>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45-42BD-A785-5EC98B79DC6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45-42BD-A785-5EC98B79DC6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545-42BD-A785-5EC98B79DC6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545-42BD-A785-5EC98B79DC68}"/>
              </c:ext>
            </c:extLst>
          </c:dPt>
          <c:dPt>
            <c:idx val="4"/>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9-A545-42BD-A785-5EC98B79DC68}"/>
              </c:ext>
            </c:extLst>
          </c:dPt>
          <c:dPt>
            <c:idx val="5"/>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A545-42BD-A785-5EC98B79DC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промисловість!$A$1:$A$6</c:f>
              <c:strCache>
                <c:ptCount val="6"/>
                <c:pt idx="0">
                  <c:v>Металургійне виробництво, виробництво готових металевих виробів, крім машин і устаткування (17%)</c:v>
                </c:pt>
                <c:pt idx="1">
                  <c:v>Виробництво  іншої неметалевої мінеральної продукції (30%)</c:v>
                </c:pt>
                <c:pt idx="2">
                  <c:v>Виробництво харчових продуктів, напоїв та тютюнових виробів (10%)</c:v>
                </c:pt>
                <c:pt idx="3">
                  <c:v>Машинобудування, ремонт і монтаж машин і устатковання (27%)</c:v>
                </c:pt>
                <c:pt idx="4">
                  <c:v>Виробництво гумових і пластмасових виробів (15%)</c:v>
                </c:pt>
                <c:pt idx="5">
                  <c:v>Текстильне виробництво, виробництво одягу, шкіри, виробів зі шкіри та інших матеріалів (1%)</c:v>
                </c:pt>
              </c:strCache>
            </c:strRef>
          </c:cat>
          <c:val>
            <c:numRef>
              <c:f>промисловість!$B$1:$B$6</c:f>
              <c:numCache>
                <c:formatCode>General</c:formatCode>
                <c:ptCount val="6"/>
                <c:pt idx="0">
                  <c:v>510.1</c:v>
                </c:pt>
                <c:pt idx="1">
                  <c:v>890</c:v>
                </c:pt>
                <c:pt idx="2">
                  <c:v>303</c:v>
                </c:pt>
                <c:pt idx="3">
                  <c:v>821</c:v>
                </c:pt>
                <c:pt idx="4">
                  <c:v>450</c:v>
                </c:pt>
                <c:pt idx="5">
                  <c:v>30</c:v>
                </c:pt>
              </c:numCache>
            </c:numRef>
          </c:val>
          <c:extLst>
            <c:ext xmlns:c16="http://schemas.microsoft.com/office/drawing/2014/chart" uri="{C3380CC4-5D6E-409C-BE32-E72D297353CC}">
              <c16:uniqueId val="{0000000C-A545-42BD-A785-5EC98B79DC68}"/>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53672304047233987"/>
          <c:y val="0.046575868117563042"/>
          <c:w val="0.46327695952766013"/>
          <c:h val="0.9534241318824369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uk-UA"/>
        </a:p>
      </c:txPr>
    </c:legend>
    <c:plotVisOnly val="1"/>
    <c:dispBlanksAs val="zero"/>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Аркуш1!$B$1</c:f>
              <c:strCache>
                <c:ptCount val="1"/>
                <c:pt idx="0">
                  <c:v>Продаж</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0-F7C8-4DD6-A13F-E8AA668E50C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1-F7C8-4DD6-A13F-E8AA668E50C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2-F7C8-4DD6-A13F-E8AA668E50C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3-F7C8-4DD6-A13F-E8AA668E50C4}"/>
              </c:ext>
            </c:extLst>
          </c:dPt>
          <c:dLbls>
            <c:dLbl>
              <c:idx val="0"/>
              <c:layout>
                <c:manualLayout>
                  <c:x val="0.04095113758448575"/>
                  <c:y val="-0.16036562453821959"/>
                </c:manualLayout>
              </c:layout>
              <c:tx>
                <c:rich>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6</a:t>
                    </a:r>
                  </a:p>
                </c:rich>
              </c:tx>
              <c:spPr>
                <a:noFill/>
                <a:ln w="2540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7C8-4DD6-A13F-E8AA668E50C4}"/>
                </c:ext>
              </c:extLst>
            </c:dLbl>
            <c:dLbl>
              <c:idx val="1"/>
              <c:layout>
                <c:manualLayout>
                  <c:x val="-0.037617396271062004"/>
                  <c:y val="0.044013425935699055"/>
                </c:manualLayout>
              </c:layout>
              <c:tx>
                <c:rich>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600" b="1" baseline="0">
                        <a:solidFill>
                          <a:schemeClr val="tx1"/>
                        </a:solidFill>
                        <a:latin typeface="Times New Roman" panose="02020603050405020304" pitchFamily="18" charset="0"/>
                        <a:cs typeface="Times New Roman" panose="02020603050405020304" pitchFamily="18" charset="0"/>
                      </a:rPr>
                      <a:t>
3</a:t>
                    </a:r>
                    <a:endParaRPr lang="en-US" sz="1600" b="1">
                      <a:solidFill>
                        <a:schemeClr val="tx1"/>
                      </a:solidFill>
                      <a:latin typeface="Times New Roman" panose="02020603050405020304" pitchFamily="18" charset="0"/>
                      <a:cs typeface="Times New Roman" panose="02020603050405020304" pitchFamily="18" charset="0"/>
                    </a:endParaRPr>
                  </a:p>
                </c:rich>
              </c:tx>
              <c:spPr>
                <a:noFill/>
                <a:ln w="2540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7C8-4DD6-A13F-E8AA668E50C4}"/>
                </c:ext>
              </c:extLst>
            </c:dLbl>
            <c:dLbl>
              <c:idx val="2"/>
              <c:layout>
                <c:manualLayout>
                  <c:x val="-0.13231800688126422"/>
                  <c:y val="0.010394122986637389"/>
                </c:manualLayout>
              </c:layout>
              <c:tx>
                <c:rich>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600" b="1" i="0">
                        <a:solidFill>
                          <a:schemeClr val="tx1"/>
                        </a:solidFill>
                        <a:latin typeface="Times New Roman" panose="02020603050405020304" pitchFamily="18" charset="0"/>
                        <a:cs typeface="Times New Roman" panose="02020603050405020304" pitchFamily="18" charset="0"/>
                      </a:rPr>
                      <a:t>1</a:t>
                    </a:r>
                  </a:p>
                </c:rich>
              </c:tx>
              <c:spPr>
                <a:noFill/>
                <a:ln w="2540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7C8-4DD6-A13F-E8AA668E50C4}"/>
                </c:ext>
              </c:extLst>
            </c:dLbl>
            <c:spPr>
              <a:noFill/>
              <a:ln w="25401">
                <a:noFill/>
              </a:ln>
            </c:spPr>
            <c:txPr>
              <a:bodyPr rot="0" spcFirstLastPara="1" vertOverflow="ellipsis" vert="horz" wrap="square" lIns="38100" tIns="19050" rIns="38100" bIns="19050" anchor="ctr" anchorCtr="1">
                <a:spAutoFit/>
              </a:bodyPr>
              <a:lstStyle/>
              <a:p>
                <a:pPr>
                  <a:defRPr sz="16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1"/>
            <c:showSerName val="0"/>
            <c:showPercent val="1"/>
            <c:showBubbleSize val="0"/>
            <c:showLeaderLines val="1"/>
            <c:leaderLines>
              <c:spPr>
                <a:ln w="9526">
                  <a:solidFill>
                    <a:schemeClr val="tx2">
                      <a:lumMod val="35000"/>
                      <a:lumOff val="65000"/>
                    </a:schemeClr>
                  </a:solidFill>
                </a:ln>
                <a:effectLst/>
              </c:spPr>
            </c:leaderLines>
            <c:extLst>
              <c:ext xmlns:c15="http://schemas.microsoft.com/office/drawing/2012/chart" uri="{CE6537A1-D6FC-4f65-9D91-7224C49458BB}"/>
            </c:extLst>
          </c:dLbls>
          <c:cat>
            <c:strRef>
              <c:f>Аркуш1!$A$2:$A$5</c:f>
              <c:strCache>
                <c:ptCount val="3"/>
                <c:pt idx="0">
                  <c:v>У сфері торгівлі, послуг та адімінстративних/офісних приміщень - 6</c:v>
                </c:pt>
                <c:pt idx="1">
                  <c:v>У сфері логістики - 3</c:v>
                </c:pt>
                <c:pt idx="2">
                  <c:v>У сфері промисловості - 1</c:v>
                </c:pt>
              </c:strCache>
            </c:strRef>
          </c:cat>
          <c:val>
            <c:numRef>
              <c:f>Аркуш1!$B$2:$B$5</c:f>
              <c:numCache>
                <c:formatCode>\О\с\н\о\в\н\о\й</c:formatCode>
                <c:ptCount val="4"/>
                <c:pt idx="0">
                  <c:v>6</c:v>
                </c:pt>
                <c:pt idx="1">
                  <c:v>3</c:v>
                </c:pt>
                <c:pt idx="2">
                  <c:v>1</c:v>
                </c:pt>
              </c:numCache>
            </c:numRef>
          </c:val>
          <c:extLst>
            <c:ext xmlns:c16="http://schemas.microsoft.com/office/drawing/2014/chart" uri="{C3380CC4-5D6E-409C-BE32-E72D297353CC}">
              <c16:uniqueId val="{00000004-F7C8-4DD6-A13F-E8AA668E50C4}"/>
            </c:ext>
          </c:extLst>
        </c:ser>
        <c:dLbls>
          <c:showLegendKey val="0"/>
          <c:showVal val="0"/>
          <c:showCatName val="0"/>
          <c:showSerName val="0"/>
          <c:showPercent val="0"/>
          <c:showBubbleSize val="0"/>
          <c:showLeaderLines val="1"/>
        </c:dLbls>
      </c:pie3DChart>
      <c:spPr>
        <a:noFill/>
        <a:ln w="25401">
          <a:noFill/>
        </a:ln>
      </c:spPr>
    </c:plotArea>
    <c:legend>
      <c:legendPos val="b"/>
      <c:legendEntry>
        <c:idx val="3"/>
        <c:delete val="1"/>
      </c:legendEntry>
      <c:layout/>
      <c:overlay val="0"/>
      <c:spPr>
        <a:noFill/>
        <a:ln w="25401">
          <a:noFill/>
        </a:ln>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6">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Аркуш1!$B$1</c:f>
              <c:strCache>
                <c:ptCount val="1"/>
                <c:pt idx="0">
                  <c:v>Стовпець1</c:v>
                </c:pt>
              </c:strCache>
            </c:strRef>
          </c:tx>
          <c:explosion val="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0-B79B-49A0-8B06-1E9983EECE2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B79B-49A0-8B06-1E9983EECE2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2-B79B-49A0-8B06-1E9983EECE2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B79B-49A0-8B06-1E9983EECE2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4-B79B-49A0-8B06-1E9983EECE2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B79B-49A0-8B06-1E9983EECE22}"/>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6-B79B-49A0-8B06-1E9983EECE22}"/>
              </c:ext>
            </c:extLst>
          </c:dPt>
          <c:dLbls>
            <c:dLbl>
              <c:idx val="0"/>
              <c:layout>
                <c:manualLayout>
                  <c:x val="0.026975301648444978"/>
                  <c:y val="-0.15068210771899126"/>
                </c:manualLayout>
              </c:layout>
              <c:tx>
                <c:rich>
                  <a:bodyPr rot="0" spcFirstLastPara="1" vertOverflow="ellipsis" vert="horz" wrap="square" lIns="38100" tIns="19050" rIns="38100" bIns="19050"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3</a:t>
                    </a:r>
                  </a:p>
                </c:rich>
              </c:tx>
              <c:spPr>
                <a:noFill/>
                <a:ln w="25400">
                  <a:noFill/>
                </a:ln>
              </c:spPr>
              <c:showLegendKey val="0"/>
              <c:showVal val="0"/>
              <c:showCatName val="0"/>
              <c:showSerName val="0"/>
              <c:showPercent val="0"/>
              <c:showBubbleSize val="0"/>
              <c:extLst>
                <c:ext xmlns:c15="http://schemas.microsoft.com/office/drawing/2012/chart" uri="{CE6537A1-D6FC-4f65-9D91-7224C49458BB}">
                  <c15:spPr>
                    <a:prstGeom prst="rect">
                      <a:avLst/>
                    </a:prstGeom>
                  </c15:spPr>
                  <c15:showDataLabelsRange val="0"/>
                </c:ext>
                <c:ext xmlns:c16="http://schemas.microsoft.com/office/drawing/2014/chart" uri="{C3380CC4-5D6E-409C-BE32-E72D297353CC}">
                  <c16:uniqueId val="{00000000-B79B-49A0-8B06-1E9983EECE22}"/>
                </c:ext>
              </c:extLst>
            </c:dLbl>
            <c:dLbl>
              <c:idx val="1"/>
              <c:layout>
                <c:manualLayout>
                  <c:x val="0.034812968522819454"/>
                  <c:y val="-0.18965081119246058"/>
                </c:manualLayout>
              </c:layout>
              <c:tx>
                <c:rich>
                  <a:bodyPr/>
                  <a:lstStyle/>
                  <a:p>
                    <a:r>
                      <a:rPr lang="en-US"/>
                      <a:t>3</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79B-49A0-8B06-1E9983EECE22}"/>
                </c:ext>
              </c:extLst>
            </c:dLbl>
            <c:dLbl>
              <c:idx val="2"/>
              <c:layout>
                <c:manualLayout>
                  <c:x val="0.1022628372497825"/>
                  <c:y val="-0.063636363636363658"/>
                </c:manualLayout>
              </c:layout>
              <c:tx>
                <c:rich>
                  <a:bodyPr/>
                  <a:lstStyle/>
                  <a:p>
                    <a:r>
                      <a:rPr lang="en-US"/>
                      <a:t>2</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79B-49A0-8B06-1E9983EECE22}"/>
                </c:ext>
              </c:extLst>
            </c:dLbl>
            <c:dLbl>
              <c:idx val="3"/>
              <c:layout>
                <c:manualLayout>
                  <c:x val="0.12157593610151241"/>
                  <c:y val="-0.016002210250034607"/>
                </c:manualLayout>
              </c:layout>
              <c:tx>
                <c:rich>
                  <a:bodyPr/>
                  <a:lstStyle/>
                  <a:p>
                    <a:r>
                      <a:rPr lang="en-US"/>
                      <a:t>11</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79B-49A0-8B06-1E9983EECE22}"/>
                </c:ext>
              </c:extLst>
            </c:dLbl>
            <c:dLbl>
              <c:idx val="4"/>
              <c:layout>
                <c:manualLayout>
                  <c:x val="-0.17239652289039092"/>
                  <c:y val="-0.0515152442679359"/>
                </c:manualLayout>
              </c:layout>
              <c:tx>
                <c:rich>
                  <a:bodyPr/>
                  <a:lstStyle/>
                  <a:p>
                    <a:r>
                      <a:rPr lang="en-US"/>
                      <a:t>25</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79B-49A0-8B06-1E9983EECE22}"/>
                </c:ext>
              </c:extLst>
            </c:dLbl>
            <c:dLbl>
              <c:idx val="5"/>
              <c:layout>
                <c:manualLayout>
                  <c:x val="-0.0698950131233596"/>
                  <c:y val="-0.099149360715875448"/>
                </c:manualLayout>
              </c:layout>
              <c:tx>
                <c:rich>
                  <a:bodyPr/>
                  <a:lstStyle/>
                  <a:p>
                    <a:r>
                      <a:rPr lang="en-US"/>
                      <a:t>7</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79B-49A0-8B06-1E9983EECE22}"/>
                </c:ext>
              </c:extLst>
            </c:dLbl>
            <c:dLbl>
              <c:idx val="6"/>
              <c:layout>
                <c:manualLayout>
                  <c:x val="0.013054815989727903"/>
                  <c:y val="-0.13941152092830503"/>
                </c:manualLayout>
              </c:layout>
              <c:tx>
                <c:rich>
                  <a:bodyPr/>
                  <a:lstStyle/>
                  <a:p>
                    <a:r>
                      <a:rPr lang="en-US"/>
                      <a:t>1</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79B-49A0-8B06-1E9983EECE22}"/>
                </c:ext>
              </c:extLst>
            </c:dLbl>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0"/>
            <c:showBubbleSize val="0"/>
            <c:showLeaderLines val="0"/>
            <c:extLst>
              <c:ext xmlns:c15="http://schemas.microsoft.com/office/drawing/2012/chart" uri="{CE6537A1-D6FC-4f65-9D91-7224C49458BB}"/>
            </c:extLst>
          </c:dLbls>
          <c:cat>
            <c:strRef>
              <c:f>Аркуш1!$A$2:$A$8</c:f>
              <c:strCache>
                <c:ptCount val="7"/>
                <c:pt idx="0">
                  <c:v>Соціальна сфера - 3</c:v>
                </c:pt>
                <c:pt idx="1">
                  <c:v>Медицина - 3</c:v>
                </c:pt>
                <c:pt idx="2">
                  <c:v>Промисловість - 2</c:v>
                </c:pt>
                <c:pt idx="3">
                  <c:v>Логістика/обслуговування автомобілів - 11</c:v>
                </c:pt>
                <c:pt idx="4">
                  <c:v>Торгівля. Послуги та адімінстративні/офісні приміщення - 25</c:v>
                </c:pt>
                <c:pt idx="5">
                  <c:v>Розвиток інфсраструктури та енергетики - 7</c:v>
                </c:pt>
                <c:pt idx="6">
                  <c:v>Житлове будівництво - 1</c:v>
                </c:pt>
              </c:strCache>
            </c:strRef>
          </c:cat>
          <c:val>
            <c:numRef>
              <c:f>Аркуш1!$B$2:$B$8</c:f>
              <c:numCache>
                <c:formatCode>\О\с\н\о\в\н\о\й</c:formatCode>
                <c:ptCount val="7"/>
                <c:pt idx="0">
                  <c:v>3</c:v>
                </c:pt>
                <c:pt idx="1">
                  <c:v>3</c:v>
                </c:pt>
                <c:pt idx="2">
                  <c:v>2</c:v>
                </c:pt>
                <c:pt idx="3">
                  <c:v>11</c:v>
                </c:pt>
                <c:pt idx="4">
                  <c:v>25</c:v>
                </c:pt>
                <c:pt idx="5">
                  <c:v>7</c:v>
                </c:pt>
                <c:pt idx="6">
                  <c:v>1</c:v>
                </c:pt>
              </c:numCache>
            </c:numRef>
          </c:val>
          <c:extLst>
            <c:ext xmlns:c16="http://schemas.microsoft.com/office/drawing/2014/chart" uri="{C3380CC4-5D6E-409C-BE32-E72D297353CC}">
              <c16:uniqueId val="{00000007-B79B-49A0-8B06-1E9983EECE22}"/>
            </c:ext>
          </c:extLst>
        </c:ser>
        <c:dLbls>
          <c:showLegendKey val="0"/>
          <c:showVal val="0"/>
          <c:showCatName val="0"/>
          <c:showSerName val="0"/>
          <c:showPercent val="0"/>
          <c:showBubbleSize val="0"/>
          <c:showLeaderLines val="0"/>
        </c:dLbls>
        <c:firstSliceAng val="6"/>
        <c:holeSize val="41"/>
      </c:doughnutChart>
      <c:spPr>
        <a:noFill/>
        <a:ln w="25400">
          <a:noFill/>
        </a:ln>
      </c:spPr>
    </c:plotArea>
    <c:legend>
      <c:legendPos val="r"/>
      <c:layout>
        <c:manualLayout>
          <c:xMode val="edge"/>
          <c:yMode val="edge"/>
          <c:x val="0.64982355853205187"/>
          <c:y val="0.052745202966134087"/>
          <c:w val="0.3333897497688233"/>
          <c:h val="0.92569885075045233"/>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66545190337162372"/>
          <c:y val="0.052683824912313423"/>
          <c:w val="0.56529424512756976"/>
          <c:h val="0.884816400519601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2A-45C9-9402-F383EDAC6A6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2A-45C9-9402-F383EDAC6A6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02A-45C9-9402-F383EDAC6A6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02A-45C9-9402-F383EDAC6A6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02A-45C9-9402-F383EDAC6A6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02A-45C9-9402-F383EDAC6A6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02A-45C9-9402-F383EDAC6A6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02A-45C9-9402-F383EDAC6A62}"/>
              </c:ext>
            </c:extLst>
          </c:dPt>
          <c:dLbls>
            <c:dLbl>
              <c:idx val="0"/>
              <c:layout>
                <c:manualLayout>
                  <c:x val="-0.024282591304390175"/>
                  <c:y val="-0.02931001345377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2A-45C9-9402-F383EDAC6A62}"/>
                </c:ext>
              </c:extLst>
            </c:dLbl>
            <c:dLbl>
              <c:idx val="1"/>
              <c:layout>
                <c:manualLayout>
                  <c:x val="-0.052722138068312829"/>
                  <c:y val="-0.05606916817942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2A-45C9-9402-F383EDAC6A62}"/>
                </c:ext>
              </c:extLst>
            </c:dLbl>
            <c:dLbl>
              <c:idx val="2"/>
              <c:layout>
                <c:manualLayout>
                  <c:x val="-0.0606835328708167"/>
                  <c:y val="0.068328799790180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2A-45C9-9402-F383EDAC6A62}"/>
                </c:ext>
              </c:extLst>
            </c:dLbl>
            <c:dLbl>
              <c:idx val="3"/>
              <c:layout>
                <c:manualLayout>
                  <c:x val="0.022392016039080698"/>
                  <c:y val="0.0511071365568159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2A-45C9-9402-F383EDAC6A62}"/>
                </c:ext>
              </c:extLst>
            </c:dLbl>
            <c:dLbl>
              <c:idx val="4"/>
              <c:layout>
                <c:manualLayout>
                  <c:x val="-0.020808652728241644"/>
                  <c:y val="0.00268256395872546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02A-45C9-9402-F383EDAC6A62}"/>
                </c:ext>
              </c:extLst>
            </c:dLbl>
            <c:dLbl>
              <c:idx val="5"/>
              <c:layout>
                <c:manualLayout>
                  <c:x val="-0.019944552765788961"/>
                  <c:y val="-0.0275479283893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02A-45C9-9402-F383EDAC6A62}"/>
                </c:ext>
              </c:extLst>
            </c:dLbl>
            <c:dLbl>
              <c:idx val="7"/>
              <c:layout>
                <c:manualLayout>
                  <c:x val="0.031480513369857396"/>
                  <c:y val="-0.0267310723499898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02A-45C9-9402-F383EDAC6A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Лист1!$B$43:$B$50</c:f>
              <c:strCache>
                <c:ptCount val="8"/>
                <c:pt idx="0">
                  <c:v>Муніципальна інфраструктура та послуги (129 150,81 тис. грн.)</c:v>
                </c:pt>
                <c:pt idx="1">
                  <c:v>Житло (6 177,73 тис. грн.)</c:v>
                </c:pt>
                <c:pt idx="2">
                  <c:v>Транспорт (140 681,50 тис. грн.)</c:v>
                </c:pt>
                <c:pt idx="3">
                  <c:v>Освіт і наука (236 058,00 тис. грн.)</c:v>
                </c:pt>
                <c:pt idx="4">
                  <c:v>Охорона здоров`я (42 991,96 тис. грн.)</c:v>
                </c:pt>
                <c:pt idx="5">
                  <c:v>Культура (23 800,00 тис. грн.)</c:v>
                </c:pt>
                <c:pt idx="6">
                  <c:v>Спорт та фізичне виховання (140,00 тис. грн.)</c:v>
                </c:pt>
                <c:pt idx="7">
                  <c:v>Соціальна сфера (21 000,00 тис. грн.)</c:v>
                </c:pt>
              </c:strCache>
            </c:strRef>
          </c:cat>
          <c:val>
            <c:numRef>
              <c:f>Лист1!$C$43:$C$50</c:f>
              <c:numCache>
                <c:formatCode>0.00%</c:formatCode>
                <c:ptCount val="8"/>
                <c:pt idx="0">
                  <c:v>0.215</c:v>
                </c:pt>
                <c:pt idx="1">
                  <c:v>0.0103</c:v>
                </c:pt>
                <c:pt idx="2">
                  <c:v>0.2345</c:v>
                </c:pt>
                <c:pt idx="3">
                  <c:v>0.3934</c:v>
                </c:pt>
                <c:pt idx="4">
                  <c:v>0.0717</c:v>
                </c:pt>
                <c:pt idx="5">
                  <c:v>0.0397</c:v>
                </c:pt>
                <c:pt idx="6">
                  <c:v>0.0002</c:v>
                </c:pt>
                <c:pt idx="7">
                  <c:v>0.035</c:v>
                </c:pt>
              </c:numCache>
            </c:numRef>
          </c:val>
          <c:extLst>
            <c:ext xmlns:c16="http://schemas.microsoft.com/office/drawing/2014/chart" uri="{C3380CC4-5D6E-409C-BE32-E72D297353CC}">
              <c16:uniqueId val="{00000010-902A-45C9-9402-F383EDAC6A62}"/>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4648172390062919"/>
          <c:y val="0.069354973755892627"/>
          <c:w val="0.33947086997503362"/>
          <c:h val="0.8579771626837303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Лист1!$B$35</c:f>
              <c:strCache>
                <c:ptCount val="1"/>
                <c:pt idx="0">
                  <c:v>кількість народжених</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І півр. 2025 рік</c:v>
                </c:pt>
                <c:pt idx="1">
                  <c:v>І півр. 2026 рік</c:v>
                </c:pt>
              </c:strCache>
            </c:strRef>
          </c:cat>
          <c:val>
            <c:numRef>
              <c:f>Лист1!$C$35:$D$35</c:f>
              <c:numCache>
                <c:formatCode>General</c:formatCode>
                <c:ptCount val="2"/>
                <c:pt idx="0">
                  <c:v>504</c:v>
                </c:pt>
                <c:pt idx="1">
                  <c:v>466</c:v>
                </c:pt>
              </c:numCache>
            </c:numRef>
          </c:val>
          <c:extLst>
            <c:ext xmlns:c16="http://schemas.microsoft.com/office/drawing/2014/chart" uri="{C3380CC4-5D6E-409C-BE32-E72D297353CC}">
              <c16:uniqueId val="{00000000-5F8A-444B-9856-DE896E403DB6}"/>
            </c:ext>
          </c:extLst>
        </c:ser>
        <c:ser>
          <c:idx val="1"/>
          <c:order val="1"/>
          <c:tx>
            <c:strRef>
              <c:f>Лист1!$B$36</c:f>
              <c:strCache>
                <c:ptCount val="1"/>
                <c:pt idx="0">
                  <c:v>кількість померлих</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І півр. 2025 рік</c:v>
                </c:pt>
                <c:pt idx="1">
                  <c:v>І півр. 2026 рік</c:v>
                </c:pt>
              </c:strCache>
            </c:strRef>
          </c:cat>
          <c:val>
            <c:numRef>
              <c:f>Лист1!$C$36:$D$36</c:f>
              <c:numCache>
                <c:formatCode>General</c:formatCode>
                <c:ptCount val="2"/>
                <c:pt idx="0">
                  <c:v>888</c:v>
                </c:pt>
                <c:pt idx="1">
                  <c:v>905</c:v>
                </c:pt>
              </c:numCache>
            </c:numRef>
          </c:val>
          <c:extLst>
            <c:ext xmlns:c16="http://schemas.microsoft.com/office/drawing/2014/chart" uri="{C3380CC4-5D6E-409C-BE32-E72D297353CC}">
              <c16:uniqueId val="{00000001-5F8A-444B-9856-DE896E403DB6}"/>
            </c:ext>
          </c:extLst>
        </c:ser>
        <c:dLbls>
          <c:showLegendKey val="0"/>
          <c:showVal val="0"/>
          <c:showCatName val="0"/>
          <c:showSerName val="0"/>
          <c:showPercent val="0"/>
          <c:showBubbleSize val="0"/>
        </c:dLbls>
        <c:gapWidth val="219"/>
        <c:overlap val="-27"/>
        <c:axId val="458417600"/>
        <c:axId val="458412192"/>
      </c:barChart>
      <c:catAx>
        <c:axId val="4584176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2192"/>
        <c:crosses val="autoZero"/>
        <c:auto val="1"/>
        <c:lblAlgn val="ctr"/>
        <c:lblOffset val="100"/>
        <c:noMultiLvlLbl val="0"/>
      </c:catAx>
      <c:valAx>
        <c:axId val="4584121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7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baseline="0">
                <a:solidFill>
                  <a:schemeClr val="tx1">
                    <a:lumMod val="65000"/>
                    <a:lumOff val="35000"/>
                  </a:schemeClr>
                </a:solidFill>
                <a:latin typeface="+mn-lt"/>
                <a:ea typeface="+mn-ea"/>
                <a:cs typeface="+mn-cs"/>
              </a:defRPr>
            </a:pPr>
            <a:endParaRPr lang="uk-UA"/>
          </a:p>
        </c:rich>
      </c:tx>
      <c:layout>
        <c:manualLayout>
          <c:xMode val="edge"/>
          <c:yMode val="edge"/>
          <c:x val="0.79725093769219446"/>
          <c:y val="0.90214983713355046"/>
        </c:manualLayout>
      </c:layout>
      <c:overlay val="0"/>
      <c:spPr>
        <a:noFill/>
        <a:ln>
          <a:noFill/>
        </a:ln>
        <a:effectLst/>
      </c:spPr>
    </c:title>
    <c:autoTitleDeleted val="0"/>
    <c:plotArea>
      <c:layout/>
      <c:pieChart>
        <c:varyColors val="1"/>
        <c:ser>
          <c:idx val="0"/>
          <c:order val="0"/>
          <c:tx>
            <c:strRef>
              <c:f>Аркуш1!$B$1</c:f>
              <c:strCache>
                <c:ptCount val="1"/>
                <c:pt idx="0">
                  <c:v>Стовпець1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0-6569-4D7C-A0C7-62EA6C2695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1-6569-4D7C-A0C7-62EA6C2695A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2-6569-4D7C-A0C7-62EA6C2695A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3-6569-4D7C-A0C7-62EA6C2695A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4-6569-4D7C-A0C7-62EA6C2695A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sx="100000" sy="100000" kx="0" ky="0" algn="ctr" rotWithShape="0">
                  <a:srgbClr val="000000">
                    <a:alpha val="63000"/>
                  </a:srgbClr>
                </a:outerShdw>
              </a:effectLst>
            </c:spPr>
            <c:extLst>
              <c:ext xmlns:c16="http://schemas.microsoft.com/office/drawing/2014/chart" uri="{C3380CC4-5D6E-409C-BE32-E72D297353CC}">
                <c16:uniqueId val="{00000005-6569-4D7C-A0C7-62EA6C2695A6}"/>
              </c:ext>
            </c:extLst>
          </c:dPt>
          <c:dLbls>
            <c:dLbl>
              <c:idx val="0"/>
              <c:layout>
                <c:manualLayout>
                  <c:x val="-0.018531206326481996"/>
                  <c:y val="0.350176937661972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569-4D7C-A0C7-62EA6C2695A6}"/>
                </c:ext>
              </c:extLst>
            </c:dLbl>
            <c:dLbl>
              <c:idx val="1"/>
              <c:layout>
                <c:manualLayout>
                  <c:x val="-0.08517327170190131"/>
                  <c:y val="-0.05560803353644398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69-4D7C-A0C7-62EA6C2695A6}"/>
                </c:ext>
              </c:extLst>
            </c:dLbl>
            <c:dLbl>
              <c:idx val="2"/>
              <c:layout>
                <c:manualLayout>
                  <c:x val="-0.014828062311779047"/>
                  <c:y val="0.01345584893761071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569-4D7C-A0C7-62EA6C2695A6}"/>
                </c:ext>
              </c:extLst>
            </c:dLbl>
            <c:dLbl>
              <c:idx val="3"/>
              <c:layout>
                <c:manualLayout>
                  <c:x val="-0.05432587286182624"/>
                  <c:y val="0.01293902970609239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69-4D7C-A0C7-62EA6C2695A6}"/>
                </c:ext>
              </c:extLst>
            </c:dLbl>
            <c:dLbl>
              <c:idx val="4"/>
              <c:layout>
                <c:manualLayout>
                  <c:x val="0.00974913872741765"/>
                  <c:y val="-0.0187863442864694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569-4D7C-A0C7-62EA6C2695A6}"/>
                </c:ext>
              </c:extLst>
            </c:dLbl>
            <c:dLbl>
              <c:idx val="5"/>
              <c:layout>
                <c:manualLayout>
                  <c:x val="0.014855576343935329"/>
                  <c:y val="-0.02356199512163454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69-4D7C-A0C7-62EA6C2695A6}"/>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2">
                  <a:solidFill>
                    <a:schemeClr val="tx1">
                      <a:lumMod val="35000"/>
                      <a:lumOff val="65000"/>
                    </a:schemeClr>
                  </a:solidFill>
                  <a:round/>
                </a:ln>
                <a:effectLst/>
              </c:spPr>
            </c:leaderLines>
            <c:extLst>
              <c:ext xmlns:c15="http://schemas.microsoft.com/office/drawing/2012/chart" uri="{CE6537A1-D6FC-4f65-9D91-7224C49458BB}"/>
            </c:extLst>
          </c:dLbls>
          <c:cat>
            <c:strRef>
              <c:f>Аркуш1!$A$2:$A$7</c:f>
              <c:strCache>
                <c:ptCount val="6"/>
                <c:pt idx="0">
                  <c:v>Освіта і наука (12 проєктів)</c:v>
                </c:pt>
                <c:pt idx="1">
                  <c:v>Муніципальна інфраструктура та послуги (8 проєктів)</c:v>
                </c:pt>
                <c:pt idx="2">
                  <c:v>Охорона здоров'я (3 проєкти)</c:v>
                </c:pt>
                <c:pt idx="3">
                  <c:v>Спорт та фізичне виховання (2 проєкти)</c:v>
                </c:pt>
                <c:pt idx="4">
                  <c:v>Транспорт та послуги поштового зв'язку (1 проєкт)</c:v>
                </c:pt>
                <c:pt idx="5">
                  <c:v>Соціальна сфера (1 проєкт)</c:v>
                </c:pt>
              </c:strCache>
            </c:strRef>
          </c:cat>
          <c:val>
            <c:numRef>
              <c:f>Аркуш1!$B$2:$B$7</c:f>
              <c:numCache>
                <c:formatCode>\О\с\н\о\в\н\о\й</c:formatCode>
                <c:ptCount val="6"/>
                <c:pt idx="0">
                  <c:v>12</c:v>
                </c:pt>
                <c:pt idx="1">
                  <c:v>8</c:v>
                </c:pt>
                <c:pt idx="2">
                  <c:v>3</c:v>
                </c:pt>
                <c:pt idx="3">
                  <c:v>2</c:v>
                </c:pt>
                <c:pt idx="4">
                  <c:v>1</c:v>
                </c:pt>
                <c:pt idx="5">
                  <c:v>1</c:v>
                </c:pt>
              </c:numCache>
            </c:numRef>
          </c:val>
          <c:extLst>
            <c:ext xmlns:c16="http://schemas.microsoft.com/office/drawing/2014/chart" uri="{C3380CC4-5D6E-409C-BE32-E72D297353CC}">
              <c16:uniqueId val="{00000006-6569-4D7C-A0C7-62EA6C2695A6}"/>
            </c:ext>
          </c:extLst>
        </c:ser>
        <c:dLbls>
          <c:showLegendKey val="0"/>
          <c:showVal val="0"/>
          <c:showCatName val="0"/>
          <c:showSerName val="0"/>
          <c:showPercent val="0"/>
          <c:showBubbleSize val="0"/>
          <c:showLeaderLines val="1"/>
        </c:dLbls>
        <c:firstSliceAng val="0"/>
      </c:pieChart>
      <c:spPr>
        <a:noFill/>
        <a:ln w="25391">
          <a:noFill/>
        </a:ln>
      </c:spPr>
    </c:plotArea>
    <c:legend>
      <c:legendPos val="r"/>
      <c:layout>
        <c:manualLayout>
          <c:xMode val="edge"/>
          <c:yMode val="edge"/>
          <c:x val="0.65870931975087266"/>
          <c:y val="0.0067136884762368865"/>
          <c:w val="0.33917292516653241"/>
          <c:h val="0.9910778253695486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2">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dist="0" dir="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6C0-4262-B115-88358618EB15}"/>
              </c:ext>
            </c:extLst>
          </c:dPt>
          <c:dPt>
            <c:idx val="1"/>
            <c:bubble3D val="0"/>
            <c:spPr>
              <a:solidFill>
                <a:schemeClr val="accent2">
                  <a:alpha val="90000"/>
                </a:schemeClr>
              </a:solidFill>
              <a:ln w="19050">
                <a:solidFill>
                  <a:schemeClr val="accent2">
                    <a:lumMod val="75000"/>
                  </a:schemeClr>
                </a:solidFill>
              </a:ln>
              <a:effectLst>
                <a:innerShdw blurRad="114300" dist="0" dir="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6C0-4262-B115-88358618EB15}"/>
              </c:ext>
            </c:extLst>
          </c:dPt>
          <c:dPt>
            <c:idx val="2"/>
            <c:bubble3D val="0"/>
            <c:spPr>
              <a:solidFill>
                <a:schemeClr val="accent3">
                  <a:alpha val="90000"/>
                </a:schemeClr>
              </a:solidFill>
              <a:ln w="19050">
                <a:solidFill>
                  <a:schemeClr val="accent3">
                    <a:lumMod val="75000"/>
                  </a:schemeClr>
                </a:solidFill>
              </a:ln>
              <a:effectLst>
                <a:innerShdw blurRad="114300" dist="0" dir="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B6C0-4262-B115-88358618EB15}"/>
              </c:ext>
            </c:extLst>
          </c:dPt>
          <c:dPt>
            <c:idx val="3"/>
            <c:bubble3D val="0"/>
            <c:spPr>
              <a:solidFill>
                <a:schemeClr val="accent4">
                  <a:alpha val="90000"/>
                </a:schemeClr>
              </a:solidFill>
              <a:ln w="19050">
                <a:solidFill>
                  <a:schemeClr val="accent4">
                    <a:lumMod val="75000"/>
                  </a:schemeClr>
                </a:solidFill>
              </a:ln>
              <a:effectLst>
                <a:innerShdw blurRad="114300" dist="0" dir="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B6C0-4262-B115-88358618EB15}"/>
              </c:ext>
            </c:extLst>
          </c:dPt>
          <c:dPt>
            <c:idx val="4"/>
            <c:bubble3D val="0"/>
            <c:spPr>
              <a:solidFill>
                <a:schemeClr val="accent5">
                  <a:alpha val="90000"/>
                </a:schemeClr>
              </a:solidFill>
              <a:ln w="19050">
                <a:solidFill>
                  <a:schemeClr val="accent5">
                    <a:lumMod val="75000"/>
                  </a:schemeClr>
                </a:solidFill>
              </a:ln>
              <a:effectLst>
                <a:innerShdw blurRad="114300" dist="0" dir="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B6C0-4262-B115-88358618EB15}"/>
              </c:ext>
            </c:extLst>
          </c:dPt>
          <c:dPt>
            <c:idx val="5"/>
            <c:bubble3D val="0"/>
            <c:spPr>
              <a:solidFill>
                <a:schemeClr val="accent6">
                  <a:alpha val="90000"/>
                </a:schemeClr>
              </a:solidFill>
              <a:ln w="19050">
                <a:solidFill>
                  <a:schemeClr val="accent6">
                    <a:lumMod val="75000"/>
                  </a:schemeClr>
                </a:solidFill>
              </a:ln>
              <a:effectLst>
                <a:innerShdw blurRad="114300" dist="0" dir="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B6C0-4262-B115-88358618EB15}"/>
              </c:ext>
            </c:extLst>
          </c:dPt>
          <c:dLbls>
            <c:dLbl>
              <c:idx val="0"/>
              <c:layout>
                <c:manualLayout>
                  <c:x val="0.00024205303954612521"/>
                  <c:y val="-0.14245876336070198"/>
                </c:manualLayout>
              </c:layout>
              <c:spPr>
                <a:solidFill>
                  <a:schemeClr val="lt1">
                    <a:alpha val="90000"/>
                  </a:schemeClr>
                </a:solidFill>
                <a:ln w="12700">
                  <a:solidFill>
                    <a:schemeClr val="accent1"/>
                  </a:solidFill>
                  <a:round/>
                </a:ln>
                <a:effectLst>
                  <a:outerShdw blurRad="50800" dist="38100" dir="2700000" sx="100000" sy="100000" kx="0" ky="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C0-4262-B115-88358618EB15}"/>
                </c:ext>
              </c:extLst>
            </c:dLbl>
            <c:dLbl>
              <c:idx val="1"/>
              <c:layout>
                <c:manualLayout>
                  <c:x val="-0.008075546334584854"/>
                  <c:y val="-0.054102615035300054"/>
                </c:manualLayout>
              </c:layout>
              <c:spPr>
                <a:solidFill>
                  <a:schemeClr val="lt1">
                    <a:alpha val="90000"/>
                  </a:schemeClr>
                </a:solidFill>
                <a:ln w="12700">
                  <a:solidFill>
                    <a:schemeClr val="accent2"/>
                  </a:solidFill>
                  <a:round/>
                </a:ln>
                <a:effectLst>
                  <a:outerShdw blurRad="50800" dist="38100" dir="2700000" sx="100000" sy="100000" kx="0" ky="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C0-4262-B115-88358618EB15}"/>
                </c:ext>
              </c:extLst>
            </c:dLbl>
            <c:dLbl>
              <c:idx val="2"/>
              <c:layout>
                <c:manualLayout>
                  <c:x val="-0.0011677485890088631"/>
                  <c:y val="0.0882358321230863"/>
                </c:manualLayout>
              </c:layout>
              <c:spPr>
                <a:solidFill>
                  <a:schemeClr val="lt1">
                    <a:alpha val="90000"/>
                  </a:schemeClr>
                </a:solidFill>
                <a:ln w="12700">
                  <a:solidFill>
                    <a:schemeClr val="accent3"/>
                  </a:solidFill>
                  <a:round/>
                </a:ln>
                <a:effectLst>
                  <a:outerShdw blurRad="50800" dist="38100" dir="2700000" sx="100000" sy="100000" kx="0" ky="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C0-4262-B115-88358618EB15}"/>
                </c:ext>
              </c:extLst>
            </c:dLbl>
            <c:dLbl>
              <c:idx val="3"/>
              <c:layout>
                <c:manualLayout>
                  <c:x val="-0.00779389298799819"/>
                  <c:y val="-0.021530241754563209"/>
                </c:manualLayout>
              </c:layout>
              <c:spPr>
                <a:solidFill>
                  <a:schemeClr val="lt1">
                    <a:alpha val="90000"/>
                  </a:schemeClr>
                </a:solidFill>
                <a:ln w="12700">
                  <a:solidFill>
                    <a:schemeClr val="accent4"/>
                  </a:solidFill>
                  <a:round/>
                </a:ln>
                <a:effectLst>
                  <a:outerShdw blurRad="50800" dist="38100" dir="2700000" sx="100000" sy="100000" kx="0" ky="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C0-4262-B115-88358618EB15}"/>
                </c:ext>
              </c:extLst>
            </c:dLbl>
            <c:dLbl>
              <c:idx val="4"/>
              <c:layout>
                <c:manualLayout>
                  <c:x val="0.040639124397304049"/>
                  <c:y val="0.044013830952901734"/>
                </c:manualLayout>
              </c:layout>
              <c:spPr>
                <a:solidFill>
                  <a:schemeClr val="lt1">
                    <a:alpha val="90000"/>
                  </a:schemeClr>
                </a:solidFill>
                <a:ln w="12700">
                  <a:solidFill>
                    <a:schemeClr val="accent5"/>
                  </a:solidFill>
                  <a:round/>
                </a:ln>
                <a:effectLst>
                  <a:outerShdw blurRad="50800" dist="38100" dir="2700000" sx="100000" sy="100000" kx="0" ky="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C0-4262-B115-88358618EB15}"/>
                </c:ext>
              </c:extLst>
            </c:dLbl>
            <c:dLbl>
              <c:idx val="5"/>
              <c:layout>
                <c:manualLayout>
                  <c:x val="0.0331537454292727"/>
                  <c:y val="0.0067262155030646566"/>
                </c:manualLayout>
              </c:layout>
              <c:spPr>
                <a:solidFill>
                  <a:schemeClr val="lt1">
                    <a:alpha val="90000"/>
                  </a:schemeClr>
                </a:solidFill>
                <a:ln w="12700">
                  <a:solidFill>
                    <a:schemeClr val="accent6"/>
                  </a:solidFill>
                  <a:round/>
                </a:ln>
                <a:effectLst>
                  <a:outerShdw blurRad="50800" dist="38100" dir="2700000" sx="100000" sy="100000" kx="0" ky="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6C0-4262-B115-88358618EB15}"/>
                </c:ext>
              </c:extLst>
            </c:dLbl>
            <c:spPr>
              <a:solidFill>
                <a:sysClr val="window" lastClr="FFFFFF">
                  <a:alpha val="90000"/>
                </a:sysClr>
              </a:solidFill>
              <a:ln w="12700">
                <a:solidFill>
                  <a:srgbClr val="5B9BD5"/>
                </a:solidFill>
                <a:round/>
              </a:ln>
              <a:effectLst>
                <a:outerShdw blurRad="50800" dist="38100" dir="2700000" sx="100000" sy="100000" kx="0" ky="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Лист1!$A$1:$A$6</c:f>
              <c:strCache>
                <c:ptCount val="6"/>
                <c:pt idx="0">
                  <c:v>Податок на доходи фізичних осіб (59,5%)</c:v>
                </c:pt>
                <c:pt idx="1">
                  <c:v>Єдиний податок (19,3%)</c:v>
                </c:pt>
                <c:pt idx="2">
                  <c:v>Акцизний податок з реалізації суб’єктами господарювання роздрібної торгівлі підакцизних товарів (5,8%)</c:v>
                </c:pt>
                <c:pt idx="3">
                  <c:v>Пальне (4,7%)</c:v>
                </c:pt>
                <c:pt idx="4">
                  <c:v>Податок на майно (9,4%)</c:v>
                </c:pt>
                <c:pt idx="5">
                  <c:v>Інші надходження (1,3%)</c:v>
                </c:pt>
              </c:strCache>
            </c:strRef>
          </c:cat>
          <c:val>
            <c:numRef>
              <c:f>Лист1!$B$1:$B$6</c:f>
              <c:numCache>
                <c:formatCode>0.0</c:formatCode>
                <c:ptCount val="6"/>
                <c:pt idx="0">
                  <c:v>769.292</c:v>
                </c:pt>
                <c:pt idx="1">
                  <c:v>249.9</c:v>
                </c:pt>
                <c:pt idx="2">
                  <c:v>74.6</c:v>
                </c:pt>
                <c:pt idx="3">
                  <c:v>61</c:v>
                </c:pt>
                <c:pt idx="4" formatCode="#\ ##0.0">
                  <c:v>120.8</c:v>
                </c:pt>
                <c:pt idx="5">
                  <c:v>17</c:v>
                </c:pt>
              </c:numCache>
            </c:numRef>
          </c:val>
          <c:extLst>
            <c:ext xmlns:c16="http://schemas.microsoft.com/office/drawing/2014/chart" uri="{C3380CC4-5D6E-409C-BE32-E72D297353CC}">
              <c16:uniqueId val="{0000000C-B6C0-4262-B115-88358618EB15}"/>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72318300249031936"/>
          <c:y val="0.10235055518831218"/>
          <c:w val="0.54445157792204679"/>
          <c:h val="0.84843296320779193"/>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5F0-4600-A367-EE478C41CEF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05F0-4600-A367-EE478C41CEF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05F0-4600-A367-EE478C41CEF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05F0-4600-A367-EE478C41CEF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05F0-4600-A367-EE478C41CEFD}"/>
              </c:ext>
            </c:extLst>
          </c:dPt>
          <c:dLbls>
            <c:dLbl>
              <c:idx val="0"/>
              <c:layout>
                <c:manualLayout>
                  <c:x val="-0.078109852356206849"/>
                  <c:y val="0.14296125187224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F0-4600-A367-EE478C41CEFD}"/>
                </c:ext>
              </c:extLst>
            </c:dLbl>
            <c:dLbl>
              <c:idx val="1"/>
              <c:layout>
                <c:manualLayout>
                  <c:x val="0.0020555931422648948"/>
                  <c:y val="-0.187931191374708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F0-4600-A367-EE478C41CEFD}"/>
                </c:ext>
              </c:extLst>
            </c:dLbl>
            <c:dLbl>
              <c:idx val="2"/>
              <c:layout>
                <c:manualLayout>
                  <c:x val="-0.0069138752537102879"/>
                  <c:y val="-0.0049972700800776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F0-4600-A367-EE478C41CEFD}"/>
                </c:ext>
              </c:extLst>
            </c:dLbl>
            <c:dLbl>
              <c:idx val="3"/>
              <c:layout>
                <c:manualLayout>
                  <c:x val="0.0070323933457129778"/>
                  <c:y val="-0.037051341321574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F0-4600-A367-EE478C41CEFD}"/>
                </c:ext>
              </c:extLst>
            </c:dLbl>
            <c:dLbl>
              <c:idx val="4"/>
              <c:layout>
                <c:manualLayout>
                  <c:x val="0.028503841041807618"/>
                  <c:y val="-0.036565237764519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F0-4600-A367-EE478C41CEF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Лист1!$B$18:$B$22</c:f>
              <c:strCache>
                <c:ptCount val="5"/>
                <c:pt idx="0">
                  <c:v>заробітна плата з нарахуваннями 825,2 млн. грн. (51,5 %)</c:v>
                </c:pt>
                <c:pt idx="1">
                  <c:v>соціальне забезпечення населення та 
поточні трансферти підприємствам 504,4 млн. грн. (31,5 %)</c:v>
                </c:pt>
                <c:pt idx="2">
                  <c:v>енергоносії 63,5 млн. грн. (3,9 %)</c:v>
                </c:pt>
                <c:pt idx="3">
                  <c:v>продукти 
харчування 39,4 млн. грн. (2,5 %)</c:v>
                </c:pt>
                <c:pt idx="4">
                  <c:v>інші поточні видатки 170,1 млн. грн. (10,6 %)</c:v>
                </c:pt>
              </c:strCache>
            </c:strRef>
          </c:cat>
          <c:val>
            <c:numRef>
              <c:f>Лист1!$C$18:$C$22</c:f>
              <c:numCache>
                <c:formatCode>#\ ##0.0</c:formatCode>
                <c:ptCount val="5"/>
                <c:pt idx="0">
                  <c:v>825.2</c:v>
                </c:pt>
                <c:pt idx="1">
                  <c:v>504.4</c:v>
                </c:pt>
                <c:pt idx="2">
                  <c:v>63.5</c:v>
                </c:pt>
                <c:pt idx="3">
                  <c:v>39.4</c:v>
                </c:pt>
                <c:pt idx="4">
                  <c:v>62.2</c:v>
                </c:pt>
              </c:numCache>
            </c:numRef>
          </c:val>
          <c:extLst>
            <c:ext xmlns:c16="http://schemas.microsoft.com/office/drawing/2014/chart" uri="{C3380CC4-5D6E-409C-BE32-E72D297353CC}">
              <c16:uniqueId val="{0000000A-05F0-4600-A367-EE478C41CEFD}"/>
            </c:ext>
          </c:extLst>
        </c:ser>
        <c:dLbls>
          <c:showLegendKey val="0"/>
          <c:showVal val="0"/>
          <c:showCatName val="0"/>
          <c:showSerName val="0"/>
          <c:showPercent val="0"/>
          <c:showBubbleSize val="0"/>
          <c:showLeaderLines val="1"/>
        </c:dLbls>
      </c:pie3DChart>
      <c:spPr>
        <a:noFill/>
        <a:ln>
          <a:noFill/>
        </a:ln>
        <a:effectLst/>
      </c:spPr>
    </c:plotArea>
    <c:legend>
      <c:legendPos val="r"/>
      <c:legendEntry>
        <c:idx val="2"/>
        <c:txPr>
          <a:bodyPr rot="0" spcFirstLastPara="1" vertOverflow="ellipsis" vert="horz" wrap="square" anchor="ctr" anchorCtr="1"/>
          <a:lstStyle/>
          <a:p>
            <a:pPr>
              <a:defRPr sz="920" b="0" i="0" u="none" strike="noStrike" kern="500" baseline="0">
                <a:solidFill>
                  <a:schemeClr val="tx2"/>
                </a:solidFill>
                <a:latin typeface="+mn-lt"/>
                <a:ea typeface="+mn-ea"/>
                <a:cs typeface="+mn-cs"/>
              </a:defRPr>
            </a:pPr>
            <a:endParaRPr lang="uk-UA"/>
          </a:p>
        </c:txPr>
      </c:legendEntry>
      <c:layout>
        <c:manualLayout>
          <c:xMode val="edge"/>
          <c:yMode val="edge"/>
          <c:x val="0.65008756903558906"/>
          <c:y val="0.019298755742245356"/>
          <c:w val="0.33466951880963597"/>
          <c:h val="0.97136512731258751"/>
        </c:manualLayout>
      </c:layout>
      <c:overlay val="0"/>
      <c:spPr>
        <a:noFill/>
        <a:ln>
          <a:noFill/>
        </a:ln>
        <a:effectLst/>
      </c:spPr>
      <c:txPr>
        <a:bodyPr rot="0" spcFirstLastPara="1" vertOverflow="ellipsis" vert="horz" wrap="square" anchor="ctr" anchorCtr="1"/>
        <a:lstStyle/>
        <a:p>
          <a:pPr>
            <a:defRPr sz="920" b="0" i="0" u="none" strike="noStrike" kern="1200" baseline="0">
              <a:solidFill>
                <a:schemeClr val="tx2"/>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73028830777196"/>
          <c:y val="0.065274906834240851"/>
          <c:w val="0.56043531638751543"/>
          <c:h val="0.6106493203750809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19F-44BE-8730-17E33DCC95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9F-44BE-8730-17E33DCC95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19F-44BE-8730-17E33DCC95F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19F-44BE-8730-17E33DCC95F4}"/>
              </c:ext>
            </c:extLst>
          </c:dPt>
          <c:dLbls>
            <c:dLbl>
              <c:idx val="0"/>
              <c:layout>
                <c:manualLayout>
                  <c:x val="-0.00015915208051222896"/>
                  <c:y val="-0.097557067432539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9F-44BE-8730-17E33DCC95F4}"/>
                </c:ext>
              </c:extLst>
            </c:dLbl>
            <c:dLbl>
              <c:idx val="1"/>
              <c:layout>
                <c:manualLayout>
                  <c:x val="0.057032151940809593"/>
                  <c:y val="-0.0519280026921119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9F-44BE-8730-17E33DCC95F4}"/>
                </c:ext>
              </c:extLst>
            </c:dLbl>
            <c:dLbl>
              <c:idx val="2"/>
              <c:layout>
                <c:manualLayout>
                  <c:x val="0.12449004615657977"/>
                  <c:y val="-0.090761766693717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9F-44BE-8730-17E33DCC95F4}"/>
                </c:ext>
              </c:extLst>
            </c:dLbl>
            <c:dLbl>
              <c:idx val="3"/>
              <c:layout>
                <c:manualLayout>
                  <c:x val="-0.04741568812602491"/>
                  <c:y val="-0.0887929274846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9F-44BE-8730-17E33DCC95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Лист1!$B$29:$B$32</c:f>
              <c:strCache>
                <c:ptCount val="4"/>
                <c:pt idx="0">
                  <c:v>плата за послуги бюджетних установ 30,8 млн. грн. (17,1 %)</c:v>
                </c:pt>
                <c:pt idx="1">
                  <c:v>цільові фонди 7,3 млн. грн. (4,1%)</c:v>
                </c:pt>
                <c:pt idx="2">
                  <c:v>бюджет розвитку 58,2 млн. грн. (32,3%)</c:v>
                </c:pt>
                <c:pt idx="3">
                  <c:v>інші джерела власних надходжень бюджетних установ 84,0 млн. грн. (46,5%)</c:v>
                </c:pt>
              </c:strCache>
            </c:strRef>
          </c:cat>
          <c:val>
            <c:numRef>
              <c:f>Лист1!$C$29:$C$32</c:f>
              <c:numCache>
                <c:formatCode>#\ ##0.0</c:formatCode>
                <c:ptCount val="4"/>
                <c:pt idx="0">
                  <c:v>30.8</c:v>
                </c:pt>
                <c:pt idx="1">
                  <c:v>7.3</c:v>
                </c:pt>
                <c:pt idx="2">
                  <c:v>58.2</c:v>
                </c:pt>
                <c:pt idx="3">
                  <c:v>84</c:v>
                </c:pt>
              </c:numCache>
            </c:numRef>
          </c:val>
          <c:extLst>
            <c:ext xmlns:c16="http://schemas.microsoft.com/office/drawing/2014/chart" uri="{C3380CC4-5D6E-409C-BE32-E72D297353CC}">
              <c16:uniqueId val="{00000008-A19F-44BE-8730-17E33DCC95F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49193154530732017"/>
          <c:y val="0.64825047059615615"/>
          <c:w val="0.927347227218609"/>
          <c:h val="0.35174952940384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bar"/>
        <c:grouping val="stacked"/>
        <c:varyColors val="0"/>
        <c:ser>
          <c:idx val="0"/>
          <c:order val="0"/>
          <c:spPr>
            <a:solidFill>
              <a:srgbClr val="4F81BD"/>
            </a:solidFill>
            <a:ln w="25400">
              <a:noFill/>
            </a:ln>
          </c:spPr>
          <c:invertIfNegative val="0"/>
          <c:dLbls>
            <c:dLbl>
              <c:idx val="0"/>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43-4812-9A10-00472EFB40F2}"/>
                </c:ext>
              </c:extLst>
            </c:dLbl>
            <c:dLbl>
              <c:idx val="1"/>
              <c:layout>
                <c:manualLayout>
                  <c:x val="0.07259528130671497"/>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43-4812-9A10-00472EFB40F2}"/>
                </c:ext>
              </c:extLst>
            </c:dLbl>
            <c:dLbl>
              <c:idx val="2"/>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43-4812-9A10-00472EFB40F2}"/>
                </c:ext>
              </c:extLst>
            </c:dLbl>
            <c:dLbl>
              <c:idx val="3"/>
              <c:layout>
                <c:manualLayout>
                  <c:x val="0.05565638233514821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43-4812-9A10-00472EFB40F2}"/>
                </c:ext>
              </c:extLst>
            </c:dLbl>
            <c:dLbl>
              <c:idx val="4"/>
              <c:layout>
                <c:manualLayout>
                  <c:x val="0.0580762250453719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43-4812-9A10-00472EFB40F2}"/>
                </c:ext>
              </c:extLst>
            </c:dLbl>
            <c:dLbl>
              <c:idx val="5"/>
              <c:layout>
                <c:manualLayout>
                  <c:x val="0.06291591046581972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43-4812-9A10-00472EFB40F2}"/>
                </c:ext>
              </c:extLst>
            </c:dLbl>
            <c:dLbl>
              <c:idx val="6"/>
              <c:layout>
                <c:manualLayout>
                  <c:x val="0.06049606775559588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43-4812-9A10-00472EFB40F2}"/>
                </c:ext>
              </c:extLst>
            </c:dLbl>
            <c:dLbl>
              <c:idx val="7"/>
              <c:layout>
                <c:manualLayout>
                  <c:x val="0.10405323653962492"/>
                  <c:y val="-0.0029498525073746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43-4812-9A10-00472EFB40F2}"/>
                </c:ext>
              </c:extLst>
            </c:dLbl>
            <c:dLbl>
              <c:idx val="8"/>
              <c:layout>
                <c:manualLayout>
                  <c:x val="0.096793708408953419"/>
                  <c:y val="-5.4080004565040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43-4812-9A10-00472EFB40F2}"/>
                </c:ext>
              </c:extLst>
            </c:dLbl>
            <c:dLbl>
              <c:idx val="9"/>
              <c:layout>
                <c:manualLayout>
                  <c:x val="0.1113127646702964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43-4812-9A10-00472EFB40F2}"/>
                </c:ext>
              </c:extLst>
            </c:dLbl>
            <c:dLbl>
              <c:idx val="10"/>
              <c:layout>
                <c:manualLayout>
                  <c:x val="0.1234119782214156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343-4812-9A10-00472EFB40F2}"/>
                </c:ext>
              </c:extLst>
            </c:dLbl>
            <c:dLbl>
              <c:idx val="11"/>
              <c:layout>
                <c:manualLayout>
                  <c:x val="0.21778584392014519"/>
                  <c:y val="0.0412979351032448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43-4812-9A10-00472EFB40F2}"/>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діаграма!$I$5:$I$16</c:f>
              <c:strCache>
                <c:ptCount val="12"/>
                <c:pt idx="0">
                  <c:v>Броварська міська рада 0,01%</c:v>
                </c:pt>
                <c:pt idx="1">
                  <c:v>Управління з питань комунальної власності та житла 0,1%</c:v>
                </c:pt>
                <c:pt idx="2">
                  <c:v>Управління культури, сім'ї та молоді 0,1%</c:v>
                </c:pt>
                <c:pt idx="3">
                  <c:v>Служба у справах дітей  0,3%</c:v>
                </c:pt>
                <c:pt idx="4">
                  <c:v>Виконавчий комітет 0,8%</c:v>
                </c:pt>
                <c:pt idx="5">
                  <c:v>Управління освіти та науки 1,2%</c:v>
                </c:pt>
                <c:pt idx="6">
                  <c:v>Відділ фізичної культури та спорту 1,8%</c:v>
                </c:pt>
                <c:pt idx="7">
                  <c:v>Управління з питань ветеранської політики 2,7%</c:v>
                </c:pt>
                <c:pt idx="8">
                  <c:v>Управління  соціального захисту населення 4,5%</c:v>
                </c:pt>
                <c:pt idx="9">
                  <c:v>Відділ охорони здоров'я  11,3%</c:v>
                </c:pt>
                <c:pt idx="10">
                  <c:v>Фінансове управління 11,7%</c:v>
                </c:pt>
                <c:pt idx="11">
                  <c:v>Управління будівництва, житлово-комунального господарства, інфраструктури та транспорту 65,5%</c:v>
                </c:pt>
              </c:strCache>
            </c:strRef>
          </c:cat>
          <c:val>
            <c:numRef>
              <c:f>діаграма!$J$5:$J$16</c:f>
              <c:numCache>
                <c:formatCode>0.0</c:formatCode>
                <c:ptCount val="12"/>
                <c:pt idx="0">
                  <c:v>21.7</c:v>
                </c:pt>
                <c:pt idx="1">
                  <c:v>304.5</c:v>
                </c:pt>
                <c:pt idx="2">
                  <c:v>435.3</c:v>
                </c:pt>
                <c:pt idx="3">
                  <c:v>1316.2</c:v>
                </c:pt>
                <c:pt idx="4">
                  <c:v>3683.5</c:v>
                </c:pt>
                <c:pt idx="5">
                  <c:v>5392.4</c:v>
                </c:pt>
                <c:pt idx="6">
                  <c:v>7881</c:v>
                </c:pt>
                <c:pt idx="7">
                  <c:v>11846.7</c:v>
                </c:pt>
                <c:pt idx="8">
                  <c:v>20141.9</c:v>
                </c:pt>
                <c:pt idx="9">
                  <c:v>50580.5</c:v>
                </c:pt>
                <c:pt idx="10">
                  <c:v>52198.5</c:v>
                </c:pt>
                <c:pt idx="11">
                  <c:v>292478.4</c:v>
                </c:pt>
              </c:numCache>
            </c:numRef>
          </c:val>
          <c:extLst>
            <c:ext xmlns:c16="http://schemas.microsoft.com/office/drawing/2014/chart" uri="{C3380CC4-5D6E-409C-BE32-E72D297353CC}">
              <c16:uniqueId val="{0000000C-8343-4812-9A10-00472EFB40F2}"/>
            </c:ext>
          </c:extLst>
        </c:ser>
        <c:dLbls>
          <c:showLegendKey val="0"/>
          <c:showVal val="0"/>
          <c:showCatName val="0"/>
          <c:showSerName val="0"/>
          <c:showPercent val="0"/>
          <c:showBubbleSize val="0"/>
        </c:dLbls>
        <c:gapWidth val="150"/>
        <c:shape val="box"/>
        <c:axId val="1683756511"/>
        <c:axId val="1"/>
        <c:axId val="0"/>
      </c:bar3DChart>
      <c:catAx>
        <c:axId val="1683756511"/>
        <c:scaling>
          <c:orientation val="minMax"/>
        </c:scaling>
        <c:delete val="0"/>
        <c:axPos val="l"/>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1683756511"/>
        <c:crosses val="autoZero"/>
        <c:crossBetween val="between"/>
      </c:valAx>
      <c:spPr>
        <a:noFill/>
        <a:ln w="25400">
          <a:noFill/>
        </a:ln>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І півр. 2024 року</c:v>
                </c:pt>
                <c:pt idx="1">
                  <c:v>І півр. 2025 року</c:v>
                </c:pt>
                <c:pt idx="2">
                  <c:v>І півр. 2026 року</c:v>
                </c:pt>
              </c:strCache>
            </c:strRef>
          </c:cat>
          <c:val>
            <c:numRef>
              <c:f>Лист1!$C$13:$C$15</c:f>
              <c:numCache>
                <c:formatCode>General</c:formatCode>
                <c:ptCount val="3"/>
                <c:pt idx="0">
                  <c:v>21606</c:v>
                </c:pt>
                <c:pt idx="1">
                  <c:v>22142</c:v>
                </c:pt>
                <c:pt idx="2">
                  <c:v>23267</c:v>
                </c:pt>
              </c:numCache>
            </c:numRef>
          </c:val>
          <c:extLst>
            <c:ext xmlns:c16="http://schemas.microsoft.com/office/drawing/2014/chart" uri="{C3380CC4-5D6E-409C-BE32-E72D297353CC}">
              <c16:uniqueId val="{00000000-0484-4F3A-95D6-63B9982BA61F}"/>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І півр. 2024 року</c:v>
                </c:pt>
                <c:pt idx="1">
                  <c:v>І півр. 2025 року</c:v>
                </c:pt>
                <c:pt idx="2">
                  <c:v>І півр. 2026 року</c:v>
                </c:pt>
              </c:strCache>
            </c:strRef>
          </c:cat>
          <c:val>
            <c:numRef>
              <c:f>Лист1!$D$13:$D$15</c:f>
              <c:numCache>
                <c:formatCode>General</c:formatCode>
                <c:ptCount val="3"/>
                <c:pt idx="0">
                  <c:v>4434</c:v>
                </c:pt>
                <c:pt idx="1">
                  <c:v>4369</c:v>
                </c:pt>
                <c:pt idx="2">
                  <c:v>4370</c:v>
                </c:pt>
              </c:numCache>
            </c:numRef>
          </c:val>
          <c:extLst>
            <c:ext xmlns:c16="http://schemas.microsoft.com/office/drawing/2014/chart" uri="{C3380CC4-5D6E-409C-BE32-E72D297353CC}">
              <c16:uniqueId val="{00000001-0484-4F3A-95D6-63B9982BA61F}"/>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50" b="1"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50" b="1"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І півр. 2025 року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c:v>9474.2</c:v>
                </c:pt>
                <c:pt idx="1">
                  <c:v>1084.7</c:v>
                </c:pt>
                <c:pt idx="2">
                  <c:v>2055.6</c:v>
                </c:pt>
                <c:pt idx="3">
                  <c:v>688.9</c:v>
                </c:pt>
              </c:numCache>
            </c:numRef>
          </c:val>
          <c:extLst>
            <c:ext xmlns:c16="http://schemas.microsoft.com/office/drawing/2014/chart" uri="{C3380CC4-5D6E-409C-BE32-E72D297353CC}">
              <c16:uniqueId val="{00000000-7778-440E-BE7D-34254E452CF2}"/>
            </c:ext>
          </c:extLst>
        </c:ser>
        <c:ser>
          <c:idx val="1"/>
          <c:order val="1"/>
          <c:tx>
            <c:strRef>
              <c:f>Лист1!$A$14</c:f>
              <c:strCache>
                <c:ptCount val="1"/>
                <c:pt idx="0">
                  <c:v>І півр. 2026 року</c:v>
                </c:pt>
              </c:strCache>
            </c:strRef>
          </c:tx>
          <c:spPr>
            <a:solidFill>
              <a:schemeClr val="accent2"/>
            </a:solidFill>
            <a:ln>
              <a:noFill/>
            </a:ln>
            <a:effectLst/>
          </c:spPr>
          <c:invertIfNegative val="0"/>
          <c:dLbls>
            <c:dLbl>
              <c:idx val="0"/>
              <c:layout>
                <c:manualLayout>
                  <c:x val="-0.0077406846269852348"/>
                  <c:y val="-0.0164609000159100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78-440E-BE7D-34254E452C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9860.3</c:v>
                </c:pt>
                <c:pt idx="1">
                  <c:v>1230.2</c:v>
                </c:pt>
                <c:pt idx="2">
                  <c:v>2060.8</c:v>
                </c:pt>
                <c:pt idx="3">
                  <c:v>688.9</c:v>
                </c:pt>
              </c:numCache>
            </c:numRef>
          </c:val>
          <c:extLst>
            <c:ext xmlns:c16="http://schemas.microsoft.com/office/drawing/2014/chart" uri="{C3380CC4-5D6E-409C-BE32-E72D297353CC}">
              <c16:uniqueId val="{00000002-7778-440E-BE7D-34254E452CF2}"/>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1"/>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1384795792"/>
        <c:crosses val="autoZero"/>
        <c:crossBetween val="between"/>
      </c:valAx>
      <c:spPr>
        <a:noFill/>
        <a:ln>
          <a:noFill/>
        </a:ln>
        <a:effectLst/>
      </c:spPr>
    </c:plotArea>
    <c:legend>
      <c:legendPos val="b"/>
      <c:layout>
        <c:manualLayout>
          <c:xMode val="edge"/>
          <c:yMode val="edge"/>
          <c:x val="0.31345826209135319"/>
          <c:y val="0.900893392666021"/>
          <c:w val="0.42920328698725391"/>
          <c:h val="0.0744152573101139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1">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І півр. 2024 року</c:v>
                </c:pt>
                <c:pt idx="1">
                  <c:v>І півр. 2025 року</c:v>
                </c:pt>
                <c:pt idx="2">
                  <c:v>І півр. 2026 року</c:v>
                </c:pt>
              </c:strCache>
            </c:strRef>
          </c:cat>
          <c:val>
            <c:numRef>
              <c:f>Лист1!$C$3:$C$5</c:f>
              <c:numCache>
                <c:formatCode>0.0</c:formatCode>
                <c:ptCount val="3"/>
                <c:pt idx="0">
                  <c:v>6166</c:v>
                </c:pt>
                <c:pt idx="1">
                  <c:v>6881</c:v>
                </c:pt>
                <c:pt idx="2">
                  <c:v>7807.02</c:v>
                </c:pt>
              </c:numCache>
            </c:numRef>
          </c:val>
          <c:extLst>
            <c:ext xmlns:c16="http://schemas.microsoft.com/office/drawing/2014/chart" uri="{C3380CC4-5D6E-409C-BE32-E72D297353CC}">
              <c16:uniqueId val="{00000000-480C-4775-93AC-A32F47372F45}"/>
            </c:ext>
          </c:extLst>
        </c:ser>
        <c:dLbls>
          <c:showLegendKey val="0"/>
          <c:showVal val="0"/>
          <c:showCatName val="0"/>
          <c:showSerName val="0"/>
          <c:showPercent val="0"/>
          <c:showBubbleSize val="0"/>
        </c:dLbls>
        <c:gapWidth val="227"/>
        <c:overlap val="-48"/>
        <c:axId val="606752576"/>
        <c:axId val="606754656"/>
      </c:barChart>
      <c:catAx>
        <c:axId val="606752576"/>
        <c:scaling>
          <c:orientation val="minMax"/>
        </c:scaling>
        <c:delete val="0"/>
        <c:axPos val="l"/>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uk-UA"/>
          </a:p>
        </c:txPr>
        <c:crossAx val="606754656"/>
        <c:crosses val="autoZero"/>
        <c:auto val="1"/>
        <c:lblAlgn val="ctr"/>
        <c:lblOffset val="100"/>
        <c:noMultiLvlLbl val="0"/>
      </c:catAx>
      <c:valAx>
        <c:axId val="606754656"/>
        <c:scaling>
          <c:orientation val="minMax"/>
        </c:scaling>
        <c:delete val="1"/>
        <c:axPos val="b"/>
        <c:numFmt formatCode="0.0" sourceLinked="1"/>
        <c:majorTickMark val="none"/>
        <c:minorTickMark val="none"/>
        <c:tickLblPos val="nextTo"/>
        <c:crossAx val="606752576"/>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Лист1!$B$3</c:f>
              <c:strCache>
                <c:ptCount val="1"/>
                <c:pt idx="0">
                  <c:v>Надання пільг з оплати житлово-комунальних послуг у вигляді щомісячної грошової компенсації</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Лист1!$C$2:$D$2</c:f>
              <c:strCache>
                <c:ptCount val="2"/>
                <c:pt idx="0">
                  <c:v>І півр. 2025 року</c:v>
                </c:pt>
                <c:pt idx="1">
                  <c:v>І півр. 2026 року</c:v>
                </c:pt>
              </c:strCache>
            </c:strRef>
          </c:cat>
          <c:val>
            <c:numRef>
              <c:f>Лист1!$C$3:$D$3</c:f>
              <c:numCache>
                <c:formatCode>0.0</c:formatCode>
                <c:ptCount val="2"/>
                <c:pt idx="0">
                  <c:v>700.6</c:v>
                </c:pt>
                <c:pt idx="1">
                  <c:v>1041.7</c:v>
                </c:pt>
              </c:numCache>
            </c:numRef>
          </c:val>
          <c:extLst>
            <c:ext xmlns:c16="http://schemas.microsoft.com/office/drawing/2014/chart" uri="{C3380CC4-5D6E-409C-BE32-E72D297353CC}">
              <c16:uniqueId val="{00000000-DDBD-481E-8455-3DD54EBA05E7}"/>
            </c:ext>
          </c:extLst>
        </c:ser>
        <c:ser>
          <c:idx val="1"/>
          <c:order val="1"/>
          <c:tx>
            <c:strRef>
              <c:f>Лист1!$B$4</c:f>
              <c:strCache>
                <c:ptCount val="1"/>
                <c:pt idx="0">
                  <c:v>Надання одноразової грошової допомоги</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Лист1!$C$2:$D$2</c:f>
              <c:strCache>
                <c:ptCount val="2"/>
                <c:pt idx="0">
                  <c:v>І півр. 2025 року</c:v>
                </c:pt>
                <c:pt idx="1">
                  <c:v>І півр. 2026 року</c:v>
                </c:pt>
              </c:strCache>
            </c:strRef>
          </c:cat>
          <c:val>
            <c:numRef>
              <c:f>Лист1!$C$4:$D$4</c:f>
              <c:numCache>
                <c:formatCode>0.0</c:formatCode>
                <c:ptCount val="2"/>
                <c:pt idx="0">
                  <c:v>2100</c:v>
                </c:pt>
                <c:pt idx="1">
                  <c:v>2400</c:v>
                </c:pt>
              </c:numCache>
            </c:numRef>
          </c:val>
          <c:extLst>
            <c:ext xmlns:c16="http://schemas.microsoft.com/office/drawing/2014/chart" uri="{C3380CC4-5D6E-409C-BE32-E72D297353CC}">
              <c16:uniqueId val="{00000001-DDBD-481E-8455-3DD54EBA05E7}"/>
            </c:ext>
          </c:extLst>
        </c:ser>
        <c:ser>
          <c:idx val="2"/>
          <c:order val="2"/>
          <c:tx>
            <c:strRef>
              <c:f>Лист1!$B$5</c:f>
              <c:strCache>
                <c:ptCount val="1"/>
                <c:pt idx="0">
                  <c:v>Надання грошової допомоги на лікування та реабілітацію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Лист1!$C$2:$D$2</c:f>
              <c:strCache>
                <c:ptCount val="2"/>
                <c:pt idx="0">
                  <c:v>І півр. 2025 року</c:v>
                </c:pt>
                <c:pt idx="1">
                  <c:v>І півр. 2026 року</c:v>
                </c:pt>
              </c:strCache>
            </c:strRef>
          </c:cat>
          <c:val>
            <c:numRef>
              <c:f>Лист1!$C$5:$D$5</c:f>
              <c:numCache>
                <c:formatCode>0.0</c:formatCode>
                <c:ptCount val="2"/>
                <c:pt idx="0">
                  <c:v>2320</c:v>
                </c:pt>
                <c:pt idx="1">
                  <c:v>2160</c:v>
                </c:pt>
              </c:numCache>
            </c:numRef>
          </c:val>
          <c:extLst>
            <c:ext xmlns:c16="http://schemas.microsoft.com/office/drawing/2014/chart" uri="{C3380CC4-5D6E-409C-BE32-E72D297353CC}">
              <c16:uniqueId val="{00000002-DDBD-481E-8455-3DD54EBA05E7}"/>
            </c:ext>
          </c:extLst>
        </c:ser>
        <c:ser>
          <c:idx val="3"/>
          <c:order val="3"/>
          <c:tx>
            <c:strRef>
              <c:f>Лист1!$B$6</c:f>
              <c:strCache>
                <c:ptCount val="1"/>
                <c:pt idx="0">
                  <c:v>Забезпечення санаторно-курортним лікуванням</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Лист1!$C$2:$D$2</c:f>
              <c:strCache>
                <c:ptCount val="2"/>
                <c:pt idx="0">
                  <c:v>І півр. 2025 року</c:v>
                </c:pt>
                <c:pt idx="1">
                  <c:v>І півр. 2026 року</c:v>
                </c:pt>
              </c:strCache>
            </c:strRef>
          </c:cat>
          <c:val>
            <c:numRef>
              <c:f>Лист1!$C$6:$D$6</c:f>
              <c:numCache>
                <c:formatCode>0.0</c:formatCode>
                <c:ptCount val="2"/>
                <c:pt idx="0">
                  <c:v>428.7</c:v>
                </c:pt>
                <c:pt idx="1">
                  <c:v>605</c:v>
                </c:pt>
              </c:numCache>
            </c:numRef>
          </c:val>
          <c:extLst>
            <c:ext xmlns:c16="http://schemas.microsoft.com/office/drawing/2014/chart" uri="{C3380CC4-5D6E-409C-BE32-E72D297353CC}">
              <c16:uniqueId val="{00000003-DDBD-481E-8455-3DD54EBA05E7}"/>
            </c:ext>
          </c:extLst>
        </c:ser>
        <c:dLbls>
          <c:showLegendKey val="0"/>
          <c:showVal val="0"/>
          <c:showCatName val="0"/>
          <c:showSerName val="0"/>
          <c:showPercent val="0"/>
          <c:showBubbleSize val="0"/>
        </c:dLbls>
        <c:gapWidth val="182"/>
        <c:axId val="1220856480"/>
        <c:axId val="1220854400"/>
      </c:barChart>
      <c:catAx>
        <c:axId val="122085648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0854400"/>
        <c:crosses val="autoZero"/>
        <c:auto val="1"/>
        <c:lblAlgn val="ctr"/>
        <c:lblOffset val="100"/>
        <c:noMultiLvlLbl val="0"/>
      </c:catAx>
      <c:valAx>
        <c:axId val="1220854400"/>
        <c:scaling>
          <c:orientation val="minMax"/>
        </c:scaling>
        <c:delete val="0"/>
        <c:axPos val="b"/>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0856480"/>
        <c:crosses val="autoZero"/>
        <c:crossBetween val="between"/>
      </c:valAx>
      <c:spPr>
        <a:noFill/>
        <a:ln>
          <a:noFill/>
        </a:ln>
        <a:effectLst/>
      </c:spPr>
    </c:plotArea>
    <c:legend>
      <c:legendPos val="r"/>
      <c:layout>
        <c:manualLayout>
          <c:xMode val="edge"/>
          <c:yMode val="edge"/>
          <c:x val="0.64611872146118721"/>
          <c:y val="0.1419661011789661"/>
          <c:w val="0.34018264840182649"/>
          <c:h val="0.808324783332722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baseline="0"/>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КНТ БКЛЛ</c:v>
                </c:pt>
                <c:pt idx="1">
                  <c:v>КНТ БМЦЛМСД</c:v>
                </c:pt>
                <c:pt idx="2">
                  <c:v>КНТ БСП</c:v>
                </c:pt>
              </c:strCache>
            </c:strRef>
          </c:cat>
          <c:val>
            <c:numRef>
              <c:f>Лист1!$B$4:$B$6</c:f>
              <c:numCache>
                <c:formatCode>General</c:formatCode>
                <c:ptCount val="3"/>
                <c:pt idx="0">
                  <c:v>264</c:v>
                </c:pt>
                <c:pt idx="1">
                  <c:v>100</c:v>
                </c:pt>
                <c:pt idx="2">
                  <c:v>29</c:v>
                </c:pt>
              </c:numCache>
            </c:numRef>
          </c:val>
          <c:extLst>
            <c:ext xmlns:c16="http://schemas.microsoft.com/office/drawing/2014/chart" uri="{C3380CC4-5D6E-409C-BE32-E72D297353CC}">
              <c16:uniqueId val="{00000000-0474-4F41-A002-3F3DA00ED1F7}"/>
            </c:ext>
          </c:extLst>
        </c:ser>
        <c:ser>
          <c:idx val="1"/>
          <c:order val="1"/>
          <c:tx>
            <c:strRef>
              <c:f>Лист1!$C$3</c:f>
              <c:strCache>
                <c:ptCount val="1"/>
                <c:pt idx="0">
                  <c:v>середній медичний персонал</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КНТ БКЛЛ</c:v>
                </c:pt>
                <c:pt idx="1">
                  <c:v>КНТ БМЦЛМСД</c:v>
                </c:pt>
                <c:pt idx="2">
                  <c:v>КНТ БСП</c:v>
                </c:pt>
              </c:strCache>
            </c:strRef>
          </c:cat>
          <c:val>
            <c:numRef>
              <c:f>Лист1!$C$4:$C$6</c:f>
              <c:numCache>
                <c:formatCode>General</c:formatCode>
                <c:ptCount val="3"/>
                <c:pt idx="0">
                  <c:v>377</c:v>
                </c:pt>
                <c:pt idx="1">
                  <c:v>120</c:v>
                </c:pt>
                <c:pt idx="2">
                  <c:v>28</c:v>
                </c:pt>
              </c:numCache>
            </c:numRef>
          </c:val>
          <c:extLst>
            <c:ext xmlns:c16="http://schemas.microsoft.com/office/drawing/2014/chart" uri="{C3380CC4-5D6E-409C-BE32-E72D297353CC}">
              <c16:uniqueId val="{00000001-0474-4F41-A002-3F3DA00ED1F7}"/>
            </c:ext>
          </c:extLst>
        </c:ser>
        <c:dLbls>
          <c:showLegendKey val="0"/>
          <c:showVal val="0"/>
          <c:showCatName val="0"/>
          <c:showSerName val="0"/>
          <c:showPercent val="0"/>
          <c:showBubbleSize val="0"/>
        </c:dLbls>
        <c:gapWidth val="219"/>
        <c:overlap val="-27"/>
        <c:axId val="1062995008"/>
        <c:axId val="1062990432"/>
      </c:barChart>
      <c:catAx>
        <c:axId val="10629950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0432"/>
        <c:crosses val="autoZero"/>
        <c:auto val="1"/>
        <c:lblAlgn val="ctr"/>
        <c:lblOffset val="100"/>
        <c:noMultiLvlLbl val="0"/>
      </c:catAx>
      <c:valAx>
        <c:axId val="1062990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5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lumMod val="95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84803149606299214"/>
          <c:y val="0.07407407407407407"/>
          <c:w val="0.89019685039370078"/>
          <c:h val="0.8416746864975212"/>
        </c:manualLayout>
      </c:layout>
      <c:bar3DChart>
        <c:barDir val="col"/>
        <c:grouping val="clustered"/>
        <c:varyColors val="0"/>
        <c:ser>
          <c:idx val="0"/>
          <c:order val="0"/>
          <c:spPr>
            <a:solidFill>
              <a:schemeClr val="accent5">
                <a:lumMod val="40000"/>
                <a:lumOff val="60000"/>
              </a:schemeClr>
            </a:solidFill>
            <a:ln>
              <a:solidFill>
                <a:schemeClr val="accent1"/>
              </a:solidFill>
            </a:ln>
            <a:effectLst/>
            <a:sp3d>
              <a:contourClr>
                <a:schemeClr val="accent1"/>
              </a:contourClr>
            </a:sp3d>
          </c:spPr>
          <c:invertIfNegative val="0"/>
          <c:dLbls>
            <c:dLbl>
              <c:idx val="0"/>
              <c:layout>
                <c:manualLayout>
                  <c:x val="0"/>
                  <c:y val="-0.0787037037037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F4-49DA-B23C-17F8FAF35A28}"/>
                </c:ext>
              </c:extLst>
            </c:dLbl>
            <c:dLbl>
              <c:idx val="1"/>
              <c:layout>
                <c:manualLayout>
                  <c:x val="0.00833333333333313"/>
                  <c:y val="-0.037037037037037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F4-49DA-B23C-17F8FAF35A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Лист1!$F$65:$G$65</c:f>
              <c:strCache>
                <c:ptCount val="2"/>
                <c:pt idx="0">
                  <c:v>І півр. 2025 року</c:v>
                </c:pt>
                <c:pt idx="1">
                  <c:v>І півр. 2026 року</c:v>
                </c:pt>
              </c:strCache>
            </c:strRef>
          </c:cat>
          <c:val>
            <c:numRef>
              <c:f>Лист1!$F$66:$G$66</c:f>
              <c:numCache>
                <c:formatCode>General</c:formatCode>
                <c:ptCount val="2"/>
                <c:pt idx="0">
                  <c:v>425</c:v>
                </c:pt>
                <c:pt idx="1">
                  <c:v>571</c:v>
                </c:pt>
              </c:numCache>
            </c:numRef>
          </c:val>
          <c:extLst>
            <c:ext xmlns:c16="http://schemas.microsoft.com/office/drawing/2014/chart" uri="{C3380CC4-5D6E-409C-BE32-E72D297353CC}">
              <c16:uniqueId val="{00000002-7FF4-49DA-B23C-17F8FAF35A28}"/>
            </c:ext>
          </c:extLst>
        </c:ser>
        <c:dLbls>
          <c:showLegendKey val="0"/>
          <c:showVal val="1"/>
          <c:showCatName val="0"/>
          <c:showSerName val="0"/>
          <c:showPercent val="0"/>
          <c:showBubbleSize val="0"/>
        </c:dLbls>
        <c:gapWidth val="160"/>
        <c:gapDepth val="0"/>
        <c:shape val="box"/>
        <c:axId val="642081520"/>
        <c:axId val="642079440"/>
        <c:axId val="0"/>
      </c:bar3DChart>
      <c:catAx>
        <c:axId val="642081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79440"/>
        <c:crosses val="autoZero"/>
        <c:auto val="1"/>
        <c:lblAlgn val="ctr"/>
        <c:lblOffset val="100"/>
        <c:noMultiLvlLbl val="0"/>
      </c:catAx>
      <c:valAx>
        <c:axId val="642079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81520"/>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Лист1!$E$37</c:f>
              <c:strCache>
                <c:ptCount val="1"/>
                <c:pt idx="0">
                  <c:v>І півр. 2025 року</c:v>
                </c:pt>
              </c:strCache>
            </c:strRef>
          </c:tx>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Лист1!$F$37</c:f>
              <c:numCache>
                <c:formatCode>General</c:formatCode>
                <c:ptCount val="1"/>
                <c:pt idx="0">
                  <c:v>93</c:v>
                </c:pt>
              </c:numCache>
            </c:numRef>
          </c:val>
          <c:extLst>
            <c:ext xmlns:c16="http://schemas.microsoft.com/office/drawing/2014/chart" uri="{C3380CC4-5D6E-409C-BE32-E72D297353CC}">
              <c16:uniqueId val="{00000000-70A7-4503-84BC-03EFE01E453F}"/>
            </c:ext>
          </c:extLst>
        </c:ser>
        <c:ser>
          <c:idx val="1"/>
          <c:order val="1"/>
          <c:tx>
            <c:strRef>
              <c:f>Лист1!$E$38</c:f>
              <c:strCache>
                <c:ptCount val="1"/>
                <c:pt idx="0">
                  <c:v>І півр. 2026 року</c:v>
                </c:pt>
              </c:strCache>
            </c:strRef>
          </c:tx>
          <c:spPr>
            <a:gradFill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Лист1!$F$38</c:f>
              <c:numCache>
                <c:formatCode>General</c:formatCode>
                <c:ptCount val="1"/>
                <c:pt idx="0">
                  <c:v>123</c:v>
                </c:pt>
              </c:numCache>
            </c:numRef>
          </c:val>
          <c:extLst>
            <c:ext xmlns:c16="http://schemas.microsoft.com/office/drawing/2014/chart" uri="{C3380CC4-5D6E-409C-BE32-E72D297353CC}">
              <c16:uniqueId val="{00000001-70A7-4503-84BC-03EFE01E453F}"/>
            </c:ext>
          </c:extLst>
        </c:ser>
        <c:dLbls>
          <c:showLegendKey val="0"/>
          <c:showVal val="0"/>
          <c:showCatName val="0"/>
          <c:showSerName val="0"/>
          <c:showPercent val="0"/>
          <c:showBubbleSize val="0"/>
        </c:dLbls>
        <c:gapWidth val="326"/>
        <c:overlap val="-58"/>
        <c:axId val="484002543"/>
        <c:axId val="484005039"/>
      </c:barChart>
      <c:catAx>
        <c:axId val="484002543"/>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5039"/>
        <c:crosses val="autoZero"/>
        <c:auto val="1"/>
        <c:lblAlgn val="ctr"/>
        <c:lblOffset val="100"/>
        <c:noMultiLvlLbl val="0"/>
      </c:catAx>
      <c:valAx>
        <c:axId val="484005039"/>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25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І півр. 2024 р.</cx:pt>
          <cx:pt idx="1">І півр. 2025 р.</cx:pt>
          <cx:pt idx="2">І півр. 2026 р.</cx:pt>
        </cx:lvl>
      </cx:strDim>
      <cx:numDim type="val">
        <cx:f>[бюджет.xlsx]Лист1!$C$2:$C$4</cx:f>
        <cx:lvl ptCount="3" formatCode="# ##0,0">
          <cx:pt idx="0">497.4</cx:pt>
          <cx:pt idx="1">630.6</cx:pt>
          <cx:pt idx="2">769.3</cx:pt>
        </cx:lvl>
      </cx:numDim>
    </cx:data>
  </cx:chartData>
  <cx:chart>
    <cx:plotArea>
      <cx:plotAreaRegion>
        <cx:series layoutId="waterfall" uniqueId="{BC199758-6DEE-4403-927D-DBA27D76834E}">
          <cx:spPr>
            <a:solidFill>
              <a:schemeClr val="accent4">
                <a:lumMod val="60000"/>
                <a:lumOff val="40000"/>
              </a:schemeClr>
            </a:solidFill>
          </cx:spPr>
          <cx:dataLabels pos="outEnd">
            <cx:txPr>
              <a:bodyPr spcFirstLastPara="1" vertOverflow="ellipsis" horzOverflow="overflow" wrap="square" lIns="0" tIns="0" rIns="0" bIns="0" anchor="ctr" anchorCtr="1"/>
              <a:lstStyle/>
              <a:p>
                <a:pPr algn="ctr" rtl="0">
                  <a:defRPr sz="1100" b="1"/>
                </a:pPr>
                <a:endParaRPr lang="ru-RU" sz="1100" b="1" i="0" u="none" strike="noStrike" baseline="0">
                  <a:solidFill>
                    <a:sysClr val="windowText" lastClr="000000">
                      <a:lumMod val="65000"/>
                      <a:lumOff val="35000"/>
                    </a:sysClr>
                  </a:solidFill>
                  <a:latin typeface="Calibri" panose="020F0502020204030204"/>
                </a:endParaRPr>
              </a:p>
            </cx:txPr>
            <cx:visibility seriesName="0" categoryName="0" value="1"/>
          </cx:dataLabels>
          <cx:dataId val="0"/>
          <cx:layoutPr/>
        </cx:series>
      </cx:plotAreaRegion>
      <cx:axis id="0">
        <cx:catScaling gapWidth="0.5"/>
        <cx:majorTickMarks type="none"/>
        <cx:minorTickMarks type="none"/>
        <cx:tickLabels/>
        <cx:txPr>
          <a:bodyPr spcFirstLastPara="1" vertOverflow="ellipsis" horzOverflow="overflow" wrap="square" lIns="0" tIns="0" rIns="0" bIns="0" anchor="ctr" anchorCtr="1"/>
          <a:lstStyle/>
          <a:p>
            <a:pPr algn="ctr" rtl="0">
              <a:defRPr sz="1000" b="1"/>
            </a:pPr>
            <a:endParaRPr lang="ru-RU" sz="1000" b="1" i="0" u="none" strike="noStrike" baseline="0">
              <a:solidFill>
                <a:sysClr val="windowText" lastClr="000000">
                  <a:lumMod val="65000"/>
                  <a:lumOff val="35000"/>
                </a:sysClr>
              </a:solidFill>
              <a:latin typeface="Calibri" panose="020F0502020204030204"/>
            </a:endParaRPr>
          </a:p>
        </cx:txPr>
      </cx:axis>
      <cx:axis id="1">
        <cx:valScaling/>
        <cx:majorGridlines/>
        <cx:majorTickMarks type="none"/>
        <cx:minorTickMarks type="none"/>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7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3993 дитини</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306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16588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1086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5382  дитини</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3"/>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9"/>
    </a:ext>
  </dgm:extLst>
</dgm:dataModel>
</file>

<file path=word/diagrams/data3.xml><?xml version="1.0" encoding="utf-8"?>
<dgm:dataModel xmlns:dgm="http://schemas.openxmlformats.org/drawingml/2006/diagram" xmlns:a="http://schemas.openxmlformats.org/drawingml/2006/main">
  <dgm:ptLst>
    <dgm:pt modelId="{6E2BA570-6D6B-4C57-B428-68C647366F71}" type="doc">
      <dgm:prSet loTypeId="urn:microsoft.com/office/officeart/2008/layout/HorizontalMultiLevelHierarchy" loCatId="hierarchy" qsTypeId="urn:microsoft.com/office/officeart/2005/8/quickstyle/3d2" qsCatId="3D" csTypeId="urn:microsoft.com/office/officeart/2005/8/colors/accent1_2" csCatId="accent1" phldr="1"/>
      <dgm:spPr/>
      <dgm:t>
        <a:bodyPr/>
        <a:lstStyle/>
        <a:p>
          <a:endParaRPr lang="uk-UA"/>
        </a:p>
      </dgm:t>
    </dgm:pt>
    <dgm:pt modelId="{344A8C31-F15A-4C3D-9D49-B9F5454CFA48}">
      <dgm:prSet phldrT="[Текст]" custT="1"/>
      <dgm:spPr>
        <a:xfrm rot="16200000">
          <a:off x="-1220062" y="1565177"/>
          <a:ext cx="3025629" cy="57486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400">
              <a:solidFill>
                <a:sysClr val="window" lastClr="FFFFFF"/>
              </a:solidFill>
              <a:latin typeface="Calibri" panose="020F0502020204030204"/>
              <a:ea typeface="+mn-ea"/>
              <a:cs typeface="+mn-cs"/>
            </a:rPr>
            <a:t>У звітному періоді роботодавці громади отримали компенсації: </a:t>
          </a:r>
        </a:p>
      </dgm:t>
    </dgm:pt>
    <dgm:pt modelId="{E1FB6327-CDBC-4F15-A87C-1877CEB9E5B4}" type="parTrans" cxnId="{6431325F-FE04-47A5-9144-BA39449CBD21}">
      <dgm:prSet/>
      <dgm:spPr/>
      <dgm:t>
        <a:bodyPr/>
        <a:lstStyle/>
        <a:p>
          <a:endParaRPr lang="uk-UA"/>
        </a:p>
      </dgm:t>
    </dgm:pt>
    <dgm:pt modelId="{82A05E14-2ED7-4198-A43E-E63339A2E56B}" type="sibTrans" cxnId="{6431325F-FE04-47A5-9144-BA39449CBD21}">
      <dgm:prSet/>
      <dgm:spPr/>
      <dgm:t>
        <a:bodyPr/>
        <a:lstStyle/>
        <a:p>
          <a:endParaRPr lang="uk-UA"/>
        </a:p>
      </dgm:t>
    </dgm:pt>
    <dgm:pt modelId="{998AC945-A458-4382-8E1C-9A79F05015C5}">
      <dgm:prSet phldrT="[Текст]" custT="1"/>
      <dgm:spPr>
        <a:xfrm>
          <a:off x="957301" y="128003"/>
          <a:ext cx="4915215" cy="57486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17 роботодавців отримали компенсацію витрат на оплату праці за працевлаштування 23 ВПО внаслідок проведення бойових дій під час воєнного стану в Україні (відповідно до Постанови КМУ від 20.03.2023 №331)</a:t>
          </a:r>
          <a:endParaRPr lang="uk-UA" sz="1100">
            <a:solidFill>
              <a:sysClr val="window" lastClr="FFFFFF"/>
            </a:solidFill>
            <a:latin typeface="Calibri" panose="020F0502020204030204"/>
            <a:ea typeface="+mn-ea"/>
            <a:cs typeface="+mn-cs"/>
          </a:endParaRPr>
        </a:p>
      </dgm:t>
    </dgm:pt>
    <dgm:pt modelId="{89A4980D-7097-4737-8ECE-66056A07D043}" type="parTrans" cxnId="{736DA46C-6F3A-4115-9856-9DFE6B2E7859}">
      <dgm:prSet/>
      <dgm:spPr>
        <a:xfrm>
          <a:off x="580186" y="415438"/>
          <a:ext cx="377114" cy="1437174"/>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C44BED18-88BE-4861-AD70-CD019307E3A6}" type="sibTrans" cxnId="{736DA46C-6F3A-4115-9856-9DFE6B2E7859}">
      <dgm:prSet/>
      <dgm:spPr/>
      <dgm:t>
        <a:bodyPr/>
        <a:lstStyle/>
        <a:p>
          <a:endParaRPr lang="uk-UA"/>
        </a:p>
      </dgm:t>
    </dgm:pt>
    <dgm:pt modelId="{50CF06D1-FC8B-4807-B15A-3C93015C109A}">
      <dgm:prSet custT="1"/>
      <dgm:spPr>
        <a:xfrm>
          <a:off x="957301" y="846590"/>
          <a:ext cx="4942801" cy="57486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1 роботодавець отримав компенсацію за працевлаштування одного зареєстрованого безробітного</a:t>
          </a:r>
        </a:p>
      </dgm:t>
    </dgm:pt>
    <dgm:pt modelId="{82EC5498-3851-4F0C-8720-DFBDF8B106A2}" type="parTrans" cxnId="{F9251140-0D4A-4BF8-87DE-12FAD769F55A}">
      <dgm:prSet/>
      <dgm:spPr>
        <a:xfrm>
          <a:off x="580186" y="1134025"/>
          <a:ext cx="377114" cy="718587"/>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FC644BB-89C3-4615-82E3-3FBBB49BB0FE}" type="sibTrans" cxnId="{F9251140-0D4A-4BF8-87DE-12FAD769F55A}">
      <dgm:prSet/>
      <dgm:spPr/>
      <dgm:t>
        <a:bodyPr/>
        <a:lstStyle/>
        <a:p>
          <a:endParaRPr lang="uk-UA"/>
        </a:p>
      </dgm:t>
    </dgm:pt>
    <dgm:pt modelId="{7BB2C04F-5DC4-428C-859D-16E4FFAD9AAC}">
      <dgm:prSet custT="1"/>
      <dgm:spPr>
        <a:xfrm>
          <a:off x="957301" y="1565177"/>
          <a:ext cx="4990506" cy="57486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3 роботодавця отримали компенсацію фактичних витрат за облаштування робочих місць працевлаштованих трьох осіб з інвалідністю</a:t>
          </a:r>
        </a:p>
      </dgm:t>
    </dgm:pt>
    <dgm:pt modelId="{1CF4F7A3-9C39-479F-932A-B3E23115CEB6}" type="parTrans" cxnId="{01445559-4AE9-418E-AB3F-A2F24D68D49E}">
      <dgm:prSet/>
      <dgm:spPr>
        <a:xfrm>
          <a:off x="580186" y="1806892"/>
          <a:ext cx="377114"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28D35B-B2A0-450F-947D-E361837C7F36}" type="sibTrans" cxnId="{01445559-4AE9-418E-AB3F-A2F24D68D49E}">
      <dgm:prSet/>
      <dgm:spPr/>
      <dgm:t>
        <a:bodyPr/>
        <a:lstStyle/>
        <a:p>
          <a:endParaRPr lang="uk-UA"/>
        </a:p>
      </dgm:t>
    </dgm:pt>
    <dgm:pt modelId="{24891143-556F-4058-BF1F-2504085431E7}">
      <dgm:prSet phldrT="[Текст]" custT="1"/>
      <dgm:spPr>
        <a:xfrm>
          <a:off x="957301" y="2283764"/>
          <a:ext cx="4979023" cy="57486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13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a:t>
          </a:r>
          <a:endParaRPr lang="uk-UA" sz="1100">
            <a:solidFill>
              <a:sysClr val="window" lastClr="FFFFFF"/>
            </a:solidFill>
            <a:latin typeface="Calibri" panose="020F0502020204030204"/>
            <a:ea typeface="+mn-ea"/>
            <a:cs typeface="+mn-cs"/>
          </a:endParaRPr>
        </a:p>
      </dgm:t>
    </dgm:pt>
    <dgm:pt modelId="{9383417C-494F-455D-8AF7-2B651D9878E1}" type="sibTrans" cxnId="{3CF20D26-413B-4FAF-BBAC-6B897F9B1E05}">
      <dgm:prSet/>
      <dgm:spPr/>
      <dgm:t>
        <a:bodyPr/>
        <a:lstStyle/>
        <a:p>
          <a:endParaRPr lang="uk-UA"/>
        </a:p>
      </dgm:t>
    </dgm:pt>
    <dgm:pt modelId="{8EEC222A-221A-46FF-9902-70F8F2AC72B2}" type="parTrans" cxnId="{3CF20D26-413B-4FAF-BBAC-6B897F9B1E05}">
      <dgm:prSet/>
      <dgm:spPr>
        <a:xfrm>
          <a:off x="580186" y="1852612"/>
          <a:ext cx="377114" cy="718587"/>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A4A4CA-3556-4B93-8507-F6EBEFC62E70}">
      <dgm:prSet custT="1"/>
      <dgm:spPr>
        <a:xfrm>
          <a:off x="957301" y="3002351"/>
          <a:ext cx="4971405" cy="57486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gm:spPr>
      <dgm:t>
        <a:bodyPr/>
        <a:lstStyle/>
        <a:p>
          <a:pPr>
            <a:buFont typeface="Times New Roman" panose="02020603050405020304" pitchFamily="18" charset="0"/>
            <a:buNone/>
          </a:pPr>
          <a:r>
            <a:rPr lang="uk-UA" sz="11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a:solidFill>
              <a:sysClr val="window" lastClr="FFFFFF"/>
            </a:solidFill>
            <a:latin typeface="Calibri" panose="020F0502020204030204"/>
            <a:ea typeface="+mn-ea"/>
            <a:cs typeface="+mn-cs"/>
          </a:endParaRPr>
        </a:p>
      </dgm:t>
    </dgm:pt>
    <dgm:pt modelId="{72A74EA1-B4B2-4B71-88FD-ACF4379CDF00}" type="parTrans" cxnId="{EE97CDEF-81FD-4395-B080-D61EAEB3DD9D}">
      <dgm:prSet/>
      <dgm:spPr>
        <a:xfrm>
          <a:off x="580186" y="1852612"/>
          <a:ext cx="377114" cy="1437174"/>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B5FFEBB-4A06-45C3-8E20-27B3093FCD6B}" type="sibTrans" cxnId="{EE97CDEF-81FD-4395-B080-D61EAEB3DD9D}">
      <dgm:prSet/>
      <dgm:spPr/>
      <dgm:t>
        <a:bodyPr/>
        <a:lstStyle/>
        <a:p>
          <a:endParaRPr lang="uk-UA"/>
        </a:p>
      </dgm:t>
    </dgm:pt>
    <dgm:pt modelId="{9DFF836B-7A9D-463D-AAF0-BFDD378B09A1}" type="pres">
      <dgm:prSet presAssocID="{6E2BA570-6D6B-4C57-B428-68C647366F71}" presName="Name0" presStyleCnt="0">
        <dgm:presLayoutVars>
          <dgm:chPref val="1"/>
          <dgm:dir val="norm"/>
          <dgm:animOne val="branch"/>
          <dgm:animLvl val="lvl"/>
          <dgm:resizeHandles val="exact"/>
        </dgm:presLayoutVars>
      </dgm:prSet>
      <dgm:spPr/>
    </dgm:pt>
    <dgm:pt modelId="{FA979BF6-5C38-4D1A-9F98-D9690D29CADD}" type="pres">
      <dgm:prSet presAssocID="{344A8C31-F15A-4C3D-9D49-B9F5454CFA48}" presName="root1" presStyleCnt="0"/>
      <dgm:spPr/>
    </dgm:pt>
    <dgm:pt modelId="{2CB7DE88-6CCA-4CF6-B2B4-037A1A8C81FF}" type="pres">
      <dgm:prSet presAssocID="{344A8C31-F15A-4C3D-9D49-B9F5454CFA48}" presName="LevelOneTextNode" presStyleLbl="node0" presStyleIdx="0" presStyleCnt="1">
        <dgm:presLayoutVars>
          <dgm:chPref val="3"/>
        </dgm:presLayoutVars>
      </dgm:prSet>
      <dgm:spPr/>
    </dgm:pt>
    <dgm:pt modelId="{3FF60B04-FB05-4E21-B264-3310FF1CA820}" type="pres">
      <dgm:prSet presAssocID="{344A8C31-F15A-4C3D-9D49-B9F5454CFA48}" presName="level2hierChild" presStyleCnt="0"/>
      <dgm:spPr/>
    </dgm:pt>
    <dgm:pt modelId="{5E57A0E2-BFB6-4836-AD24-2F578ABF9A5B}" type="pres">
      <dgm:prSet presAssocID="{89A4980D-7097-4737-8ECE-66056A07D043}" presName="conn2-1" presStyleLbl="parChTrans1D2" presStyleIdx="0" presStyleCnt="5"/>
      <dgm:spPr/>
    </dgm:pt>
    <dgm:pt modelId="{3F9C7875-D1AA-4A98-8428-779CF7E110AC}" type="pres">
      <dgm:prSet presAssocID="{89A4980D-7097-4737-8ECE-66056A07D043}" presName="connTx" presStyleLbl="parChTrans1D2" presStyleIdx="0" presStyleCnt="5"/>
      <dgm:spPr/>
    </dgm:pt>
    <dgm:pt modelId="{BA22950D-D8CA-4D52-B189-9897886EF348}" type="pres">
      <dgm:prSet presAssocID="{998AC945-A458-4382-8E1C-9A79F05015C5}" presName="root2" presStyleCnt="0"/>
      <dgm:spPr/>
    </dgm:pt>
    <dgm:pt modelId="{B7921CE5-6770-4DCC-B74E-2BD50EF24736}" type="pres">
      <dgm:prSet presAssocID="{998AC945-A458-4382-8E1C-9A79F05015C5}" presName="LevelTwoTextNode" presStyleLbl="node2" presStyleIdx="0" presStyleCnt="5" custScaleX="260675">
        <dgm:presLayoutVars>
          <dgm:chPref val="3"/>
        </dgm:presLayoutVars>
      </dgm:prSet>
      <dgm:spPr/>
    </dgm:pt>
    <dgm:pt modelId="{E99BBF12-ECAD-4F7C-95B9-B0ADA8631045}" type="pres">
      <dgm:prSet presAssocID="{998AC945-A458-4382-8E1C-9A79F05015C5}" presName="level3hierChild" presStyleCnt="0"/>
      <dgm:spPr/>
    </dgm:pt>
    <dgm:pt modelId="{B7631637-3C11-4702-9351-A7C3E2501B6A}" type="pres">
      <dgm:prSet presAssocID="{82EC5498-3851-4F0C-8720-DFBDF8B106A2}" presName="conn2-1" presStyleLbl="parChTrans1D2" presStyleIdx="1" presStyleCnt="5"/>
      <dgm:spPr/>
    </dgm:pt>
    <dgm:pt modelId="{A3A370EF-F933-4B43-8CD2-495E6FCCE4D5}" type="pres">
      <dgm:prSet presAssocID="{82EC5498-3851-4F0C-8720-DFBDF8B106A2}" presName="connTx" presStyleLbl="parChTrans1D2" presStyleIdx="1" presStyleCnt="5"/>
      <dgm:spPr/>
    </dgm:pt>
    <dgm:pt modelId="{3B4B37A6-F88F-47B1-B05F-1D023B1AE5F6}" type="pres">
      <dgm:prSet presAssocID="{50CF06D1-FC8B-4807-B15A-3C93015C109A}" presName="root2" presStyleCnt="0"/>
      <dgm:spPr/>
    </dgm:pt>
    <dgm:pt modelId="{B312D989-FB27-4E76-8918-116749630D0E}" type="pres">
      <dgm:prSet presAssocID="{50CF06D1-FC8B-4807-B15A-3C93015C109A}" presName="LevelTwoTextNode" presStyleLbl="node2" presStyleIdx="1" presStyleCnt="5" custScaleX="262138">
        <dgm:presLayoutVars>
          <dgm:chPref val="3"/>
        </dgm:presLayoutVars>
      </dgm:prSet>
      <dgm:spPr/>
    </dgm:pt>
    <dgm:pt modelId="{CAC4BD6C-3983-44BC-876C-2A435C59CA43}" type="pres">
      <dgm:prSet presAssocID="{50CF06D1-FC8B-4807-B15A-3C93015C109A}" presName="level3hierChild" presStyleCnt="0"/>
      <dgm:spPr/>
    </dgm:pt>
    <dgm:pt modelId="{DF093DE0-9148-460A-B9F7-F8F169DECAFE}" type="pres">
      <dgm:prSet presAssocID="{1CF4F7A3-9C39-479F-932A-B3E23115CEB6}" presName="conn2-1" presStyleLbl="parChTrans1D2" presStyleIdx="2" presStyleCnt="5"/>
      <dgm:spPr/>
    </dgm:pt>
    <dgm:pt modelId="{D8AC1870-D2DC-4231-B786-778C8002A834}" type="pres">
      <dgm:prSet presAssocID="{1CF4F7A3-9C39-479F-932A-B3E23115CEB6}" presName="connTx" presStyleLbl="parChTrans1D2" presStyleIdx="2" presStyleCnt="5"/>
      <dgm:spPr/>
    </dgm:pt>
    <dgm:pt modelId="{D688A68A-5EFB-4A2D-AB5A-D8D9B297F028}" type="pres">
      <dgm:prSet presAssocID="{7BB2C04F-5DC4-428C-859D-16E4FFAD9AAC}" presName="root2" presStyleCnt="0"/>
      <dgm:spPr/>
    </dgm:pt>
    <dgm:pt modelId="{49F122FE-7E91-4CB1-9443-7C92850FB249}" type="pres">
      <dgm:prSet presAssocID="{7BB2C04F-5DC4-428C-859D-16E4FFAD9AAC}" presName="LevelTwoTextNode" presStyleLbl="node2" presStyleIdx="2" presStyleCnt="5" custScaleX="264668">
        <dgm:presLayoutVars>
          <dgm:chPref val="3"/>
        </dgm:presLayoutVars>
      </dgm:prSet>
      <dgm:spPr/>
    </dgm:pt>
    <dgm:pt modelId="{B65AE10C-27E8-4C4B-B8DE-84E315B65B58}" type="pres">
      <dgm:prSet presAssocID="{7BB2C04F-5DC4-428C-859D-16E4FFAD9AAC}" presName="level3hierChild" presStyleCnt="0"/>
      <dgm:spPr/>
    </dgm:pt>
    <dgm:pt modelId="{CBA52D8E-194E-45B8-98CF-300D55A054A3}" type="pres">
      <dgm:prSet presAssocID="{8EEC222A-221A-46FF-9902-70F8F2AC72B2}" presName="conn2-1" presStyleLbl="parChTrans1D2" presStyleIdx="3" presStyleCnt="5"/>
      <dgm:spPr/>
    </dgm:pt>
    <dgm:pt modelId="{AA50E3A4-0966-4CFE-ACA2-F4A802CF7E02}" type="pres">
      <dgm:prSet presAssocID="{8EEC222A-221A-46FF-9902-70F8F2AC72B2}" presName="connTx" presStyleLbl="parChTrans1D2" presStyleIdx="3" presStyleCnt="5"/>
      <dgm:spPr/>
    </dgm:pt>
    <dgm:pt modelId="{9AF0CD05-79D6-4500-85D4-1A9DDE4E5083}" type="pres">
      <dgm:prSet presAssocID="{24891143-556F-4058-BF1F-2504085431E7}" presName="root2" presStyleCnt="0"/>
      <dgm:spPr/>
    </dgm:pt>
    <dgm:pt modelId="{CF425BBA-19C2-4AFD-9ED4-C2DDE2DD66C0}" type="pres">
      <dgm:prSet presAssocID="{24891143-556F-4058-BF1F-2504085431E7}" presName="LevelTwoTextNode" presStyleLbl="node2" presStyleIdx="3" presStyleCnt="5" custScaleX="264059">
        <dgm:presLayoutVars>
          <dgm:chPref val="3"/>
        </dgm:presLayoutVars>
      </dgm:prSet>
      <dgm:spPr/>
    </dgm:pt>
    <dgm:pt modelId="{720BC4DD-CFAF-4B65-8D45-CF14B9DF3E89}" type="pres">
      <dgm:prSet presAssocID="{24891143-556F-4058-BF1F-2504085431E7}" presName="level3hierChild" presStyleCnt="0"/>
      <dgm:spPr/>
    </dgm:pt>
    <dgm:pt modelId="{9BC48C0B-BD2B-429D-BA0B-C5AC0CC1D41E}" type="pres">
      <dgm:prSet presAssocID="{72A74EA1-B4B2-4B71-88FD-ACF4379CDF00}" presName="conn2-1" presStyleLbl="parChTrans1D2" presStyleIdx="4" presStyleCnt="5"/>
      <dgm:spPr/>
    </dgm:pt>
    <dgm:pt modelId="{DD73C2B6-F4F9-4DFA-9193-7B7801D568DD}" type="pres">
      <dgm:prSet presAssocID="{72A74EA1-B4B2-4B71-88FD-ACF4379CDF00}" presName="connTx" presStyleLbl="parChTrans1D2" presStyleIdx="4" presStyleCnt="5"/>
      <dgm:spPr/>
    </dgm:pt>
    <dgm:pt modelId="{9D07D694-0743-4419-9906-EE72C373967C}" type="pres">
      <dgm:prSet presAssocID="{9DA4A4CA-3556-4B93-8507-F6EBEFC62E70}" presName="root2" presStyleCnt="0"/>
      <dgm:spPr/>
    </dgm:pt>
    <dgm:pt modelId="{F026E951-9D88-484D-AED7-5A465E41BE65}" type="pres">
      <dgm:prSet presAssocID="{9DA4A4CA-3556-4B93-8507-F6EBEFC62E70}" presName="LevelTwoTextNode" presStyleLbl="node2" presStyleIdx="4" presStyleCnt="5" custScaleX="263655">
        <dgm:presLayoutVars>
          <dgm:chPref val="3"/>
        </dgm:presLayoutVars>
      </dgm:prSet>
      <dgm:spPr/>
    </dgm:pt>
    <dgm:pt modelId="{F99031BB-0BA0-420B-AA69-A1284D0517CF}" type="pres">
      <dgm:prSet presAssocID="{9DA4A4CA-3556-4B93-8507-F6EBEFC62E70}" presName="level3hierChild" presStyleCnt="0"/>
      <dgm:spPr/>
    </dgm:pt>
  </dgm:ptLst>
  <dgm:cxnLst>
    <dgm:cxn modelId="{D8A6280B-DFBA-4780-B3B8-E3EAC9CA2DA9}" type="presOf" srcId="{1CF4F7A3-9C39-479F-932A-B3E23115CEB6}" destId="{DF093DE0-9148-460A-B9F7-F8F169DECAFE}" srcOrd="0" destOrd="0" presId="urn:microsoft.com/office/officeart/2008/layout/HorizontalMultiLevelHierarchy"/>
    <dgm:cxn modelId="{95F8ED0E-8BEB-46F3-A74A-82E12F3238D2}" type="presOf" srcId="{8EEC222A-221A-46FF-9902-70F8F2AC72B2}" destId="{AA50E3A4-0966-4CFE-ACA2-F4A802CF7E02}" srcOrd="1" destOrd="0" presId="urn:microsoft.com/office/officeart/2008/layout/HorizontalMultiLevelHierarchy"/>
    <dgm:cxn modelId="{70163616-A623-422C-9E59-024C0BDCC0EE}" type="presOf" srcId="{72A74EA1-B4B2-4B71-88FD-ACF4379CDF00}" destId="{9BC48C0B-BD2B-429D-BA0B-C5AC0CC1D41E}" srcOrd="0" destOrd="0" presId="urn:microsoft.com/office/officeart/2008/layout/HorizontalMultiLevelHierarchy"/>
    <dgm:cxn modelId="{57996417-D4CE-4C82-A946-6415058377DC}" type="presOf" srcId="{9DA4A4CA-3556-4B93-8507-F6EBEFC62E70}" destId="{F026E951-9D88-484D-AED7-5A465E41BE65}" srcOrd="0" destOrd="0" presId="urn:microsoft.com/office/officeart/2008/layout/HorizontalMultiLevelHierarchy"/>
    <dgm:cxn modelId="{F62DD41B-C035-4F7E-B51D-7E03853DA8ED}" type="presOf" srcId="{72A74EA1-B4B2-4B71-88FD-ACF4379CDF00}" destId="{DD73C2B6-F4F9-4DFA-9193-7B7801D568DD}" srcOrd="1" destOrd="0" presId="urn:microsoft.com/office/officeart/2008/layout/HorizontalMultiLevelHierarchy"/>
    <dgm:cxn modelId="{91B5BF20-8C4F-4720-8F61-6CDBEB9299E1}" type="presOf" srcId="{8EEC222A-221A-46FF-9902-70F8F2AC72B2}" destId="{CBA52D8E-194E-45B8-98CF-300D55A054A3}" srcOrd="0" destOrd="0" presId="urn:microsoft.com/office/officeart/2008/layout/HorizontalMultiLevelHierarchy"/>
    <dgm:cxn modelId="{3CF20D26-413B-4FAF-BBAC-6B897F9B1E05}" srcId="{344A8C31-F15A-4C3D-9D49-B9F5454CFA48}" destId="{24891143-556F-4058-BF1F-2504085431E7}" srcOrd="3" destOrd="0" parTransId="{8EEC222A-221A-46FF-9902-70F8F2AC72B2}" sibTransId="{9383417C-494F-455D-8AF7-2B651D9878E1}"/>
    <dgm:cxn modelId="{91AB132C-36E8-4A35-9E29-EA8318AE7034}" type="presOf" srcId="{344A8C31-F15A-4C3D-9D49-B9F5454CFA48}" destId="{2CB7DE88-6CCA-4CF6-B2B4-037A1A8C81FF}" srcOrd="0" destOrd="0" presId="urn:microsoft.com/office/officeart/2008/layout/HorizontalMultiLevelHierarchy"/>
    <dgm:cxn modelId="{F9251140-0D4A-4BF8-87DE-12FAD769F55A}" srcId="{344A8C31-F15A-4C3D-9D49-B9F5454CFA48}" destId="{50CF06D1-FC8B-4807-B15A-3C93015C109A}" srcOrd="1" destOrd="0" parTransId="{82EC5498-3851-4F0C-8720-DFBDF8B106A2}" sibTransId="{5FC644BB-89C3-4615-82E3-3FBBB49BB0FE}"/>
    <dgm:cxn modelId="{7888C65C-D157-4124-A2EF-B33586000DB1}" type="presOf" srcId="{82EC5498-3851-4F0C-8720-DFBDF8B106A2}" destId="{B7631637-3C11-4702-9351-A7C3E2501B6A}" srcOrd="0" destOrd="0" presId="urn:microsoft.com/office/officeart/2008/layout/HorizontalMultiLevelHierarchy"/>
    <dgm:cxn modelId="{6431325F-FE04-47A5-9144-BA39449CBD21}" srcId="{6E2BA570-6D6B-4C57-B428-68C647366F71}" destId="{344A8C31-F15A-4C3D-9D49-B9F5454CFA48}" srcOrd="0" destOrd="0" parTransId="{E1FB6327-CDBC-4F15-A87C-1877CEB9E5B4}" sibTransId="{82A05E14-2ED7-4198-A43E-E63339A2E56B}"/>
    <dgm:cxn modelId="{736DA46C-6F3A-4115-9856-9DFE6B2E7859}" srcId="{344A8C31-F15A-4C3D-9D49-B9F5454CFA48}" destId="{998AC945-A458-4382-8E1C-9A79F05015C5}" srcOrd="0" destOrd="0" parTransId="{89A4980D-7097-4737-8ECE-66056A07D043}" sibTransId="{C44BED18-88BE-4861-AD70-CD019307E3A6}"/>
    <dgm:cxn modelId="{1C753A59-405C-4B21-BC0B-A21537A07C61}" type="presOf" srcId="{24891143-556F-4058-BF1F-2504085431E7}" destId="{CF425BBA-19C2-4AFD-9ED4-C2DDE2DD66C0}" srcOrd="0" destOrd="0" presId="urn:microsoft.com/office/officeart/2008/layout/HorizontalMultiLevelHierarchy"/>
    <dgm:cxn modelId="{01445559-4AE9-418E-AB3F-A2F24D68D49E}" srcId="{344A8C31-F15A-4C3D-9D49-B9F5454CFA48}" destId="{7BB2C04F-5DC4-428C-859D-16E4FFAD9AAC}" srcOrd="2" destOrd="0" parTransId="{1CF4F7A3-9C39-479F-932A-B3E23115CEB6}" sibTransId="{9D28D35B-B2A0-450F-947D-E361837C7F36}"/>
    <dgm:cxn modelId="{6C29F682-5AE5-4B02-B9A9-351651299BE6}" type="presOf" srcId="{82EC5498-3851-4F0C-8720-DFBDF8B106A2}" destId="{A3A370EF-F933-4B43-8CD2-495E6FCCE4D5}" srcOrd="1" destOrd="0" presId="urn:microsoft.com/office/officeart/2008/layout/HorizontalMultiLevelHierarchy"/>
    <dgm:cxn modelId="{4B41798B-2775-48DC-8F7F-9214CA0FCE37}" type="presOf" srcId="{89A4980D-7097-4737-8ECE-66056A07D043}" destId="{3F9C7875-D1AA-4A98-8428-779CF7E110AC}" srcOrd="1" destOrd="0" presId="urn:microsoft.com/office/officeart/2008/layout/HorizontalMultiLevelHierarchy"/>
    <dgm:cxn modelId="{B6B44C96-8005-40CE-BC97-FA76862A74A0}" type="presOf" srcId="{1CF4F7A3-9C39-479F-932A-B3E23115CEB6}" destId="{D8AC1870-D2DC-4231-B786-778C8002A834}" srcOrd="1" destOrd="0" presId="urn:microsoft.com/office/officeart/2008/layout/HorizontalMultiLevelHierarchy"/>
    <dgm:cxn modelId="{F31F74C6-A18D-4CEA-B7B6-E58B852F0FF5}" type="presOf" srcId="{50CF06D1-FC8B-4807-B15A-3C93015C109A}" destId="{B312D989-FB27-4E76-8918-116749630D0E}" srcOrd="0" destOrd="0" presId="urn:microsoft.com/office/officeart/2008/layout/HorizontalMultiLevelHierarchy"/>
    <dgm:cxn modelId="{670982C9-5817-4444-8FB4-DB582281B50A}" type="presOf" srcId="{7BB2C04F-5DC4-428C-859D-16E4FFAD9AAC}" destId="{49F122FE-7E91-4CB1-9443-7C92850FB249}" srcOrd="0" destOrd="0" presId="urn:microsoft.com/office/officeart/2008/layout/HorizontalMultiLevelHierarchy"/>
    <dgm:cxn modelId="{B66835E4-DC98-4453-A7C7-66856501E1A2}" type="presOf" srcId="{998AC945-A458-4382-8E1C-9A79F05015C5}" destId="{B7921CE5-6770-4DCC-B74E-2BD50EF24736}" srcOrd="0" destOrd="0" presId="urn:microsoft.com/office/officeart/2008/layout/HorizontalMultiLevelHierarchy"/>
    <dgm:cxn modelId="{EE97CDEF-81FD-4395-B080-D61EAEB3DD9D}" srcId="{344A8C31-F15A-4C3D-9D49-B9F5454CFA48}" destId="{9DA4A4CA-3556-4B93-8507-F6EBEFC62E70}" srcOrd="4" destOrd="0" parTransId="{72A74EA1-B4B2-4B71-88FD-ACF4379CDF00}" sibTransId="{BB5FFEBB-4A06-45C3-8E20-27B3093FCD6B}"/>
    <dgm:cxn modelId="{98BC87F5-297C-4EEE-9EF7-02BEDE9E3E4D}" type="presOf" srcId="{89A4980D-7097-4737-8ECE-66056A07D043}" destId="{5E57A0E2-BFB6-4836-AD24-2F578ABF9A5B}" srcOrd="0" destOrd="0" presId="urn:microsoft.com/office/officeart/2008/layout/HorizontalMultiLevelHierarchy"/>
    <dgm:cxn modelId="{2D10E7F8-F56A-4CC4-A8A2-D47077C648DB}" type="presOf" srcId="{6E2BA570-6D6B-4C57-B428-68C647366F71}" destId="{9DFF836B-7A9D-463D-AAF0-BFDD378B09A1}" srcOrd="0" destOrd="0" presId="urn:microsoft.com/office/officeart/2008/layout/HorizontalMultiLevelHierarchy"/>
    <dgm:cxn modelId="{1BCF1B80-9C51-4349-88AB-6D64D3944733}" type="presParOf" srcId="{9DFF836B-7A9D-463D-AAF0-BFDD378B09A1}" destId="{FA979BF6-5C38-4D1A-9F98-D9690D29CADD}" srcOrd="0" destOrd="0" presId="urn:microsoft.com/office/officeart/2008/layout/HorizontalMultiLevelHierarchy"/>
    <dgm:cxn modelId="{BED0F9E2-AFAD-4A9D-B873-D77484451C7A}" type="presParOf" srcId="{FA979BF6-5C38-4D1A-9F98-D9690D29CADD}" destId="{2CB7DE88-6CCA-4CF6-B2B4-037A1A8C81FF}" srcOrd="0" destOrd="0" presId="urn:microsoft.com/office/officeart/2008/layout/HorizontalMultiLevelHierarchy"/>
    <dgm:cxn modelId="{C5C12797-59CC-4F58-9131-55ED2FA33E30}" type="presParOf" srcId="{FA979BF6-5C38-4D1A-9F98-D9690D29CADD}" destId="{3FF60B04-FB05-4E21-B264-3310FF1CA820}" srcOrd="1" destOrd="0" presId="urn:microsoft.com/office/officeart/2008/layout/HorizontalMultiLevelHierarchy"/>
    <dgm:cxn modelId="{BD364F68-8CD5-43E4-9816-8631A7B5DE29}" type="presParOf" srcId="{3FF60B04-FB05-4E21-B264-3310FF1CA820}" destId="{5E57A0E2-BFB6-4836-AD24-2F578ABF9A5B}" srcOrd="0" destOrd="0" presId="urn:microsoft.com/office/officeart/2008/layout/HorizontalMultiLevelHierarchy"/>
    <dgm:cxn modelId="{67E0DFD5-5CEF-42BB-A953-0AD813CF4024}" type="presParOf" srcId="{5E57A0E2-BFB6-4836-AD24-2F578ABF9A5B}" destId="{3F9C7875-D1AA-4A98-8428-779CF7E110AC}" srcOrd="0" destOrd="0" presId="urn:microsoft.com/office/officeart/2008/layout/HorizontalMultiLevelHierarchy"/>
    <dgm:cxn modelId="{EF91CE25-E0D8-44C8-AB2A-B92F95A76C85}" type="presParOf" srcId="{3FF60B04-FB05-4E21-B264-3310FF1CA820}" destId="{BA22950D-D8CA-4D52-B189-9897886EF348}" srcOrd="1" destOrd="0" presId="urn:microsoft.com/office/officeart/2008/layout/HorizontalMultiLevelHierarchy"/>
    <dgm:cxn modelId="{D28CD0BA-37B8-49F2-B658-CCF3803FC3AE}" type="presParOf" srcId="{BA22950D-D8CA-4D52-B189-9897886EF348}" destId="{B7921CE5-6770-4DCC-B74E-2BD50EF24736}" srcOrd="0" destOrd="0" presId="urn:microsoft.com/office/officeart/2008/layout/HorizontalMultiLevelHierarchy"/>
    <dgm:cxn modelId="{AFE51271-17DF-420D-911E-90194F04AFD6}" type="presParOf" srcId="{BA22950D-D8CA-4D52-B189-9897886EF348}" destId="{E99BBF12-ECAD-4F7C-95B9-B0ADA8631045}" srcOrd="1" destOrd="0" presId="urn:microsoft.com/office/officeart/2008/layout/HorizontalMultiLevelHierarchy"/>
    <dgm:cxn modelId="{7DE12124-DA35-4174-89CA-29F62A514732}" type="presParOf" srcId="{3FF60B04-FB05-4E21-B264-3310FF1CA820}" destId="{B7631637-3C11-4702-9351-A7C3E2501B6A}" srcOrd="2" destOrd="0" presId="urn:microsoft.com/office/officeart/2008/layout/HorizontalMultiLevelHierarchy"/>
    <dgm:cxn modelId="{F9B464AA-A460-4E72-8490-D20463665178}" type="presParOf" srcId="{B7631637-3C11-4702-9351-A7C3E2501B6A}" destId="{A3A370EF-F933-4B43-8CD2-495E6FCCE4D5}" srcOrd="0" destOrd="0" presId="urn:microsoft.com/office/officeart/2008/layout/HorizontalMultiLevelHierarchy"/>
    <dgm:cxn modelId="{64C3726E-638F-4F21-9134-59267B6C66AB}" type="presParOf" srcId="{3FF60B04-FB05-4E21-B264-3310FF1CA820}" destId="{3B4B37A6-F88F-47B1-B05F-1D023B1AE5F6}" srcOrd="3" destOrd="0" presId="urn:microsoft.com/office/officeart/2008/layout/HorizontalMultiLevelHierarchy"/>
    <dgm:cxn modelId="{DE75DA2D-B444-40D2-82D1-E9CD7C70FE81}" type="presParOf" srcId="{3B4B37A6-F88F-47B1-B05F-1D023B1AE5F6}" destId="{B312D989-FB27-4E76-8918-116749630D0E}" srcOrd="0" destOrd="0" presId="urn:microsoft.com/office/officeart/2008/layout/HorizontalMultiLevelHierarchy"/>
    <dgm:cxn modelId="{339EE201-AB70-457B-BA9A-3A5694E16092}" type="presParOf" srcId="{3B4B37A6-F88F-47B1-B05F-1D023B1AE5F6}" destId="{CAC4BD6C-3983-44BC-876C-2A435C59CA43}" srcOrd="1" destOrd="0" presId="urn:microsoft.com/office/officeart/2008/layout/HorizontalMultiLevelHierarchy"/>
    <dgm:cxn modelId="{9DCD456B-A51F-432E-80AB-79F2A892577C}" type="presParOf" srcId="{3FF60B04-FB05-4E21-B264-3310FF1CA820}" destId="{DF093DE0-9148-460A-B9F7-F8F169DECAFE}" srcOrd="4" destOrd="0" presId="urn:microsoft.com/office/officeart/2008/layout/HorizontalMultiLevelHierarchy"/>
    <dgm:cxn modelId="{B7EC5BC7-509C-47C6-B19C-6CD7CF9D7CFA}" type="presParOf" srcId="{DF093DE0-9148-460A-B9F7-F8F169DECAFE}" destId="{D8AC1870-D2DC-4231-B786-778C8002A834}" srcOrd="0" destOrd="0" presId="urn:microsoft.com/office/officeart/2008/layout/HorizontalMultiLevelHierarchy"/>
    <dgm:cxn modelId="{8FE8831F-7778-46DF-88CA-8B8963F47D0C}" type="presParOf" srcId="{3FF60B04-FB05-4E21-B264-3310FF1CA820}" destId="{D688A68A-5EFB-4A2D-AB5A-D8D9B297F028}" srcOrd="5" destOrd="0" presId="urn:microsoft.com/office/officeart/2008/layout/HorizontalMultiLevelHierarchy"/>
    <dgm:cxn modelId="{43F1D387-6113-465B-880F-900D4CEF603B}" type="presParOf" srcId="{D688A68A-5EFB-4A2D-AB5A-D8D9B297F028}" destId="{49F122FE-7E91-4CB1-9443-7C92850FB249}" srcOrd="0" destOrd="0" presId="urn:microsoft.com/office/officeart/2008/layout/HorizontalMultiLevelHierarchy"/>
    <dgm:cxn modelId="{CEA940B9-6973-417D-B7C6-6E0766F1AACD}" type="presParOf" srcId="{D688A68A-5EFB-4A2D-AB5A-D8D9B297F028}" destId="{B65AE10C-27E8-4C4B-B8DE-84E315B65B58}" srcOrd="1" destOrd="0" presId="urn:microsoft.com/office/officeart/2008/layout/HorizontalMultiLevelHierarchy"/>
    <dgm:cxn modelId="{B1139ED1-F252-4EE4-B23B-8AF0CD5506AD}" type="presParOf" srcId="{3FF60B04-FB05-4E21-B264-3310FF1CA820}" destId="{CBA52D8E-194E-45B8-98CF-300D55A054A3}" srcOrd="6" destOrd="0" presId="urn:microsoft.com/office/officeart/2008/layout/HorizontalMultiLevelHierarchy"/>
    <dgm:cxn modelId="{D5C72CAB-672A-453C-91BC-D1B8E81957B8}" type="presParOf" srcId="{CBA52D8E-194E-45B8-98CF-300D55A054A3}" destId="{AA50E3A4-0966-4CFE-ACA2-F4A802CF7E02}" srcOrd="0" destOrd="0" presId="urn:microsoft.com/office/officeart/2008/layout/HorizontalMultiLevelHierarchy"/>
    <dgm:cxn modelId="{49577362-4417-4478-8A7E-B58BE08E4054}" type="presParOf" srcId="{3FF60B04-FB05-4E21-B264-3310FF1CA820}" destId="{9AF0CD05-79D6-4500-85D4-1A9DDE4E5083}" srcOrd="7" destOrd="0" presId="urn:microsoft.com/office/officeart/2008/layout/HorizontalMultiLevelHierarchy"/>
    <dgm:cxn modelId="{978EAE08-C82A-4F84-AED3-4F5CF5C24856}" type="presParOf" srcId="{9AF0CD05-79D6-4500-85D4-1A9DDE4E5083}" destId="{CF425BBA-19C2-4AFD-9ED4-C2DDE2DD66C0}" srcOrd="0" destOrd="0" presId="urn:microsoft.com/office/officeart/2008/layout/HorizontalMultiLevelHierarchy"/>
    <dgm:cxn modelId="{0BB91C6A-20F2-40F7-9D38-CAA6A40C83DB}" type="presParOf" srcId="{9AF0CD05-79D6-4500-85D4-1A9DDE4E5083}" destId="{720BC4DD-CFAF-4B65-8D45-CF14B9DF3E89}" srcOrd="1" destOrd="0" presId="urn:microsoft.com/office/officeart/2008/layout/HorizontalMultiLevelHierarchy"/>
    <dgm:cxn modelId="{DA350C2D-42B8-4779-A2A5-664265C10DE2}" type="presParOf" srcId="{3FF60B04-FB05-4E21-B264-3310FF1CA820}" destId="{9BC48C0B-BD2B-429D-BA0B-C5AC0CC1D41E}" srcOrd="8" destOrd="0" presId="urn:microsoft.com/office/officeart/2008/layout/HorizontalMultiLevelHierarchy"/>
    <dgm:cxn modelId="{69A74192-D365-4CAF-A2CB-9E426C559E9B}" type="presParOf" srcId="{9BC48C0B-BD2B-429D-BA0B-C5AC0CC1D41E}" destId="{DD73C2B6-F4F9-4DFA-9193-7B7801D568DD}" srcOrd="0" destOrd="0" presId="urn:microsoft.com/office/officeart/2008/layout/HorizontalMultiLevelHierarchy"/>
    <dgm:cxn modelId="{7DB42A54-5FAE-443F-902E-70B638A5F9D6}" type="presParOf" srcId="{3FF60B04-FB05-4E21-B264-3310FF1CA820}" destId="{9D07D694-0743-4419-9906-EE72C373967C}" srcOrd="9" destOrd="0" presId="urn:microsoft.com/office/officeart/2008/layout/HorizontalMultiLevelHierarchy"/>
    <dgm:cxn modelId="{0EB83E04-236B-4738-8950-64AEDE95311E}" type="presParOf" srcId="{9D07D694-0743-4419-9906-EE72C373967C}" destId="{F026E951-9D88-484D-AED7-5A465E41BE65}" srcOrd="0" destOrd="0" presId="urn:microsoft.com/office/officeart/2008/layout/HorizontalMultiLevelHierarchy"/>
    <dgm:cxn modelId="{5E41DBB3-37B6-48FC-874C-BC9AC9A0BE0C}" type="presParOf" srcId="{9D07D694-0743-4419-9906-EE72C373967C}" destId="{F99031BB-0BA0-420B-AA69-A1284D0517CF}"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06934" y="209282"/>
        <a:ext cx="2628082" cy="485882"/>
      </dsp:txXfrm>
    </dsp:sp>
    <dsp:sp modelId="{ED9BA23E-8E5B-43FA-913B-AC5AA7AAFD88}">
      <dsp:nvSpPr>
        <dsp:cNvPr id="0" name=""/>
        <dsp:cNvSpPr/>
      </dsp:nvSpPr>
      <dsp: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26775" y="931843"/>
        <a:ext cx="1128463" cy="485882"/>
      </dsp:txXfrm>
    </dsp:sp>
    <dsp:sp modelId="{F3EAFFAE-DB68-4AD6-92D7-6DEF46FEAAF3}">
      <dsp:nvSpPr>
        <dsp:cNvPr id="0" name=""/>
        <dsp:cNvSpPr/>
      </dsp:nvSpPr>
      <dsp: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5824" y="1654403"/>
        <a:ext cx="743940" cy="485882"/>
      </dsp:txXfrm>
    </dsp:sp>
    <dsp:sp modelId="{27ACFFBC-5BFA-4EB5-884F-69E7EA65B693}">
      <dsp:nvSpPr>
        <dsp:cNvPr id="0" name=""/>
        <dsp:cNvSpPr/>
      </dsp:nvSpPr>
      <dsp: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3993 дитини</a:t>
          </a:r>
        </a:p>
      </dsp:txBody>
      <dsp:txXfrm>
        <a:off x="15824" y="2376964"/>
        <a:ext cx="743940" cy="485882"/>
      </dsp:txXfrm>
    </dsp:sp>
    <dsp:sp modelId="{85470E41-AEAA-428E-9604-5940DDCF868E}">
      <dsp:nvSpPr>
        <dsp:cNvPr id="0" name=""/>
        <dsp:cNvSpPr/>
      </dsp:nvSpPr>
      <dsp: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22248" y="1654403"/>
        <a:ext cx="743940" cy="485882"/>
      </dsp:txXfrm>
    </dsp:sp>
    <dsp:sp modelId="{5FA43B5F-3FDA-4434-8F0B-5D24C2E5536F}">
      <dsp:nvSpPr>
        <dsp:cNvPr id="0" name=""/>
        <dsp:cNvSpPr/>
      </dsp:nvSpPr>
      <dsp: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306 дітей</a:t>
          </a:r>
        </a:p>
      </dsp:txBody>
      <dsp:txXfrm>
        <a:off x="1022248" y="2376964"/>
        <a:ext cx="743940" cy="485882"/>
      </dsp:txXfrm>
    </dsp:sp>
    <dsp:sp modelId="{785F9DA6-6EB8-4D80-9B44-7139DC31AAF6}">
      <dsp:nvSpPr>
        <dsp:cNvPr id="0" name=""/>
        <dsp:cNvSpPr/>
      </dsp:nvSpPr>
      <dsp: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150593" y="931843"/>
        <a:ext cx="1506523" cy="485882"/>
      </dsp:txXfrm>
    </dsp:sp>
    <dsp:sp modelId="{FED3CD77-77CA-4219-AFDE-DD0BB33D4E23}">
      <dsp:nvSpPr>
        <dsp:cNvPr id="0" name=""/>
        <dsp:cNvSpPr/>
      </dsp:nvSpPr>
      <dsp: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28672" y="1654403"/>
        <a:ext cx="743940" cy="485882"/>
      </dsp:txXfrm>
    </dsp:sp>
    <dsp:sp modelId="{A0A1B328-AC6B-43B7-8639-99413461C417}">
      <dsp:nvSpPr>
        <dsp:cNvPr id="0" name=""/>
        <dsp:cNvSpPr/>
      </dsp:nvSpPr>
      <dsp: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16588 дітей</a:t>
          </a:r>
        </a:p>
      </dsp:txBody>
      <dsp:txXfrm>
        <a:off x="2028672" y="2376964"/>
        <a:ext cx="743940" cy="485882"/>
      </dsp:txXfrm>
    </dsp:sp>
    <dsp:sp modelId="{8DDA0F31-B80A-4205-B7F1-ACAE81B48623}">
      <dsp:nvSpPr>
        <dsp:cNvPr id="0" name=""/>
        <dsp:cNvSpPr/>
      </dsp:nvSpPr>
      <dsp: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7 приватних закладів</a:t>
          </a:r>
        </a:p>
      </dsp:txBody>
      <dsp:txXfrm>
        <a:off x="3035096" y="1654403"/>
        <a:ext cx="743940" cy="485882"/>
      </dsp:txXfrm>
    </dsp:sp>
    <dsp:sp modelId="{BF9413D6-D247-4406-BD5A-2C545BDCC8CE}">
      <dsp:nvSpPr>
        <dsp:cNvPr id="0" name=""/>
        <dsp:cNvSpPr/>
      </dsp:nvSpPr>
      <dsp: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1086 дітей</a:t>
          </a:r>
        </a:p>
      </dsp:txBody>
      <dsp:txXfrm>
        <a:off x="3035096" y="2376964"/>
        <a:ext cx="743940" cy="485882"/>
      </dsp:txXfrm>
    </dsp:sp>
    <dsp:sp modelId="{7F2D98B9-E1DF-4C0B-B7E1-20F0CEEE1CB0}">
      <dsp:nvSpPr>
        <dsp:cNvPr id="0" name=""/>
        <dsp:cNvSpPr/>
      </dsp:nvSpPr>
      <dsp: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18229" y="931843"/>
        <a:ext cx="1196947" cy="485882"/>
      </dsp:txXfrm>
    </dsp:sp>
    <dsp:sp modelId="{BE3C9094-2107-485A-B2BD-3095643D1574}">
      <dsp:nvSpPr>
        <dsp:cNvPr id="0" name=""/>
        <dsp:cNvSpPr/>
      </dsp:nvSpPr>
      <dsp: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комунальних закладів</a:t>
          </a:r>
        </a:p>
      </dsp:txBody>
      <dsp:txXfrm>
        <a:off x="4041520" y="1654403"/>
        <a:ext cx="743940" cy="485882"/>
      </dsp:txXfrm>
    </dsp:sp>
    <dsp:sp modelId="{0264E670-66E2-4F83-AA18-D747D50FE8CF}">
      <dsp:nvSpPr>
        <dsp:cNvPr id="0" name=""/>
        <dsp:cNvSpPr/>
      </dsp:nvSpPr>
      <dsp: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5382  дитини</a:t>
          </a:r>
        </a:p>
      </dsp:txBody>
      <dsp:txXfrm>
        <a:off x="4041520" y="2376964"/>
        <a:ext cx="743940" cy="485882"/>
      </dsp:txXfrm>
    </dsp:sp>
    <dsp:sp modelId="{00357220-6BFF-4F4C-956B-6C6F0FBC0D0F}">
      <dsp:nvSpPr>
        <dsp:cNvPr id="0" name=""/>
        <dsp:cNvSpPr/>
      </dsp:nvSpPr>
      <dsp: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047944" y="1654403"/>
        <a:ext cx="743940" cy="485882"/>
      </dsp:txXfrm>
    </dsp:sp>
    <dsp:sp modelId="{0118DE06-9D25-49B0-A161-0FDF0EDE61E1}">
      <dsp:nvSpPr>
        <dsp:cNvPr id="0" name=""/>
        <dsp:cNvSpPr/>
      </dsp:nvSpPr>
      <dsp: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047944" y="2376964"/>
        <a:ext cx="743940" cy="485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720715" cy="65551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28893" y="19199"/>
        <a:ext cx="4472622" cy="617115"/>
      </dsp:txXfrm>
    </dsp:sp>
    <dsp:sp modelId="{450CB8EB-11AF-4C49-9C5A-B8DCFA742A0E}">
      <dsp:nvSpPr>
        <dsp:cNvPr id="0" name=""/>
        <dsp:cNvSpPr/>
      </dsp:nvSpPr>
      <dsp:spPr>
        <a:xfrm>
          <a:off x="65551" y="65551"/>
          <a:ext cx="1144143" cy="524410"/>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721064"/>
          <a:ext cx="5720715" cy="65551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28893" y="740263"/>
        <a:ext cx="4472622" cy="617115"/>
      </dsp:txXfrm>
    </dsp:sp>
    <dsp:sp modelId="{07A5F62E-4614-49D7-B922-AC3259A460B9}">
      <dsp:nvSpPr>
        <dsp:cNvPr id="0" name=""/>
        <dsp:cNvSpPr/>
      </dsp:nvSpPr>
      <dsp:spPr>
        <a:xfrm>
          <a:off x="65551" y="786615"/>
          <a:ext cx="1144143" cy="524410"/>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442129"/>
          <a:ext cx="5720715" cy="756744"/>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31858" y="1464293"/>
        <a:ext cx="4466692" cy="712416"/>
      </dsp:txXfrm>
    </dsp:sp>
    <dsp:sp modelId="{3E890E64-7D4A-44C4-83FD-C23E9E73C255}">
      <dsp:nvSpPr>
        <dsp:cNvPr id="0" name=""/>
        <dsp:cNvSpPr/>
      </dsp:nvSpPr>
      <dsp:spPr>
        <a:xfrm>
          <a:off x="65551" y="1558296"/>
          <a:ext cx="1144143" cy="524410"/>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264424"/>
          <a:ext cx="5720715" cy="65551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28893" y="2283623"/>
        <a:ext cx="4472622" cy="617115"/>
      </dsp:txXfrm>
    </dsp:sp>
    <dsp:sp modelId="{F70F3F0F-B085-4C09-82C1-8F08ABEBCEA8}">
      <dsp:nvSpPr>
        <dsp:cNvPr id="0" name=""/>
        <dsp:cNvSpPr/>
      </dsp:nvSpPr>
      <dsp:spPr>
        <a:xfrm>
          <a:off x="65551" y="2329976"/>
          <a:ext cx="1144143" cy="524410"/>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48C0B-BD2B-429D-BA0B-C5AC0CC1D41E}">
      <dsp:nvSpPr>
        <dsp:cNvPr id="0" name=""/>
        <dsp:cNvSpPr/>
      </dsp:nvSpPr>
      <dsp:spPr>
        <a:xfrm>
          <a:off x="566693" y="1633537"/>
          <a:ext cx="356753" cy="1359580"/>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9930" y="2278187"/>
        <a:ext cx="0" cy="0"/>
      </dsp:txXfrm>
    </dsp:sp>
    <dsp:sp modelId="{CBA52D8E-194E-45B8-98CF-300D55A054A3}">
      <dsp:nvSpPr>
        <dsp:cNvPr id="0" name=""/>
        <dsp:cNvSpPr/>
      </dsp:nvSpPr>
      <dsp:spPr>
        <a:xfrm>
          <a:off x="566693" y="1633537"/>
          <a:ext cx="356753" cy="679790"/>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25877" y="1954239"/>
        <a:ext cx="0" cy="0"/>
      </dsp:txXfrm>
    </dsp:sp>
    <dsp:sp modelId="{DF093DE0-9148-460A-B9F7-F8F169DECAFE}">
      <dsp:nvSpPr>
        <dsp:cNvPr id="0" name=""/>
        <dsp:cNvSpPr/>
      </dsp:nvSpPr>
      <dsp:spPr>
        <a:xfrm>
          <a:off x="566693" y="1587817"/>
          <a:ext cx="356753"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6151" y="1624618"/>
        <a:ext cx="0" cy="0"/>
      </dsp:txXfrm>
    </dsp:sp>
    <dsp:sp modelId="{B7631637-3C11-4702-9351-A7C3E2501B6A}">
      <dsp:nvSpPr>
        <dsp:cNvPr id="0" name=""/>
        <dsp:cNvSpPr/>
      </dsp:nvSpPr>
      <dsp:spPr>
        <a:xfrm>
          <a:off x="566693" y="953747"/>
          <a:ext cx="356753" cy="679790"/>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25877" y="1274449"/>
        <a:ext cx="0" cy="0"/>
      </dsp:txXfrm>
    </dsp:sp>
    <dsp:sp modelId="{5E57A0E2-BFB6-4836-AD24-2F578ABF9A5B}">
      <dsp:nvSpPr>
        <dsp:cNvPr id="0" name=""/>
        <dsp:cNvSpPr/>
      </dsp:nvSpPr>
      <dsp:spPr>
        <a:xfrm>
          <a:off x="566693" y="273957"/>
          <a:ext cx="356753" cy="1359580"/>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9930" y="918607"/>
        <a:ext cx="0" cy="0"/>
      </dsp:txXfrm>
    </dsp:sp>
    <dsp:sp modelId="{2CB7DE88-6CCA-4CF6-B2B4-037A1A8C81FF}">
      <dsp:nvSpPr>
        <dsp:cNvPr id="0" name=""/>
        <dsp:cNvSpPr/>
      </dsp:nvSpPr>
      <dsp:spPr>
        <a:xfrm rot="16200000">
          <a:off x="-1136359" y="1361621"/>
          <a:ext cx="2862273" cy="543832"/>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lstStyle/>
        <a:p>
          <a:pPr marL="0" lvl="0" indent="0" algn="ctr" defTabSz="622300">
            <a:lnSpc>
              <a:spcPct val="90000"/>
            </a:lnSpc>
            <a:spcBef>
              <a:spcPct val="0"/>
            </a:spcBef>
            <a:spcAft>
              <a:spcPct val="35000"/>
            </a:spcAft>
            <a:buNone/>
          </a:pPr>
          <a:r>
            <a:rPr lang="uk-UA" sz="1400" kern="1200">
              <a:solidFill>
                <a:sysClr val="window" lastClr="FFFFFF"/>
              </a:solidFill>
              <a:latin typeface="Calibri" panose="020F0502020204030204"/>
              <a:ea typeface="+mn-ea"/>
              <a:cs typeface="+mn-cs"/>
            </a:rPr>
            <a:t>У звітному періоді роботодавці громади отримали компенсації: </a:t>
          </a:r>
        </a:p>
      </dsp:txBody>
      <dsp:txXfrm>
        <a:off x="-1136359" y="1361621"/>
        <a:ext cx="2862273" cy="543832"/>
      </dsp:txXfrm>
    </dsp:sp>
    <dsp:sp modelId="{B7921CE5-6770-4DCC-B74E-2BD50EF24736}">
      <dsp:nvSpPr>
        <dsp:cNvPr id="0" name=""/>
        <dsp:cNvSpPr/>
      </dsp:nvSpPr>
      <dsp:spPr>
        <a:xfrm>
          <a:off x="923447" y="2041"/>
          <a:ext cx="4649839" cy="543832"/>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17 роботодавців отримали компенсацію витрат на оплату праці за працевлаштування 23 ВПО внаслідок проведення бойових дій під час воєнного стану в Україні (відповідно до Постанови КМУ від 20.03.2023 №331)</a:t>
          </a:r>
          <a:endParaRPr lang="uk-UA" sz="1100" kern="1200">
            <a:solidFill>
              <a:sysClr val="window" lastClr="FFFFFF"/>
            </a:solidFill>
            <a:latin typeface="Calibri" panose="020F0502020204030204"/>
            <a:ea typeface="+mn-ea"/>
            <a:cs typeface="+mn-cs"/>
          </a:endParaRPr>
        </a:p>
      </dsp:txBody>
      <dsp:txXfrm>
        <a:off x="923447" y="2041"/>
        <a:ext cx="4649839" cy="543832"/>
      </dsp:txXfrm>
    </dsp:sp>
    <dsp:sp modelId="{B312D989-FB27-4E76-8918-116749630D0E}">
      <dsp:nvSpPr>
        <dsp:cNvPr id="0" name=""/>
        <dsp:cNvSpPr/>
      </dsp:nvSpPr>
      <dsp:spPr>
        <a:xfrm>
          <a:off x="923447" y="681831"/>
          <a:ext cx="4675936" cy="543832"/>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1 роботодавець отримав компенсацію за працевлаштування одного зареєстрованого безробітного</a:t>
          </a:r>
        </a:p>
      </dsp:txBody>
      <dsp:txXfrm>
        <a:off x="923447" y="681831"/>
        <a:ext cx="4675936" cy="543832"/>
      </dsp:txXfrm>
    </dsp:sp>
    <dsp:sp modelId="{49F122FE-7E91-4CB1-9443-7C92850FB249}">
      <dsp:nvSpPr>
        <dsp:cNvPr id="0" name=""/>
        <dsp:cNvSpPr/>
      </dsp:nvSpPr>
      <dsp:spPr>
        <a:xfrm>
          <a:off x="923447" y="1361621"/>
          <a:ext cx="4721065" cy="543832"/>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3 роботодавця отримали компенсацію фактичних витрат за облаштування робочих місць працевлаштованих трьох осіб з інвалідністю</a:t>
          </a:r>
        </a:p>
      </dsp:txBody>
      <dsp:txXfrm>
        <a:off x="923447" y="1361621"/>
        <a:ext cx="4721065" cy="543832"/>
      </dsp:txXfrm>
    </dsp:sp>
    <dsp:sp modelId="{CF425BBA-19C2-4AFD-9ED4-C2DDE2DD66C0}">
      <dsp:nvSpPr>
        <dsp:cNvPr id="0" name=""/>
        <dsp:cNvSpPr/>
      </dsp:nvSpPr>
      <dsp:spPr>
        <a:xfrm>
          <a:off x="923447" y="2041411"/>
          <a:ext cx="4710202" cy="543832"/>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13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a:t>
          </a:r>
          <a:endParaRPr lang="uk-UA" sz="1100" kern="1200">
            <a:solidFill>
              <a:sysClr val="window" lastClr="FFFFFF"/>
            </a:solidFill>
            <a:latin typeface="Calibri" panose="020F0502020204030204"/>
            <a:ea typeface="+mn-ea"/>
            <a:cs typeface="+mn-cs"/>
          </a:endParaRPr>
        </a:p>
      </dsp:txBody>
      <dsp:txXfrm>
        <a:off x="923447" y="2041411"/>
        <a:ext cx="4710202" cy="543832"/>
      </dsp:txXfrm>
    </dsp:sp>
    <dsp:sp modelId="{F026E951-9D88-484D-AED7-5A465E41BE65}">
      <dsp:nvSpPr>
        <dsp:cNvPr id="0" name=""/>
        <dsp:cNvSpPr/>
      </dsp:nvSpPr>
      <dsp:spPr>
        <a:xfrm>
          <a:off x="923447" y="2721201"/>
          <a:ext cx="4702996" cy="543832"/>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Font typeface="Times New Roman" panose="02020603050405020304" pitchFamily="18" charset="0"/>
            <a:buNone/>
          </a:pPr>
          <a:r>
            <a:rPr lang="uk-UA" sz="1100" kern="12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kern="1200">
            <a:solidFill>
              <a:sysClr val="window" lastClr="FFFFFF"/>
            </a:solidFill>
            <a:latin typeface="Calibri" panose="020F0502020204030204"/>
            <a:ea typeface="+mn-ea"/>
            <a:cs typeface="+mn-cs"/>
          </a:endParaRPr>
        </a:p>
      </dsp:txBody>
      <dsp:txXfrm>
        <a:off x="923447" y="2721201"/>
        <a:ext cx="4702996" cy="5438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contourClr>
        <dgm:schemeClr val="lt1"/>
      </dgm: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 prstMaterial="matte" z="-152400">
      <dgm:contourClr>
        <dgm:schemeClr val="lt1"/>
      </dgm: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bevelT w="127000" h="35400" prst="circle"/>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bevelT w="124450" h="16350" prst="relaxedInset"/>
      <dgm:contourClr>
        <dgm:schemeClr val="bg1"/>
      </dgm: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bevelT w="120800" h="19050" prst="relaxedInset"/>
      <dgm:contourClr>
        <dgm:schemeClr val="bg1"/>
      </dgm: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bevelT w="120650" h="38100" prst="relaxedInset"/>
      <dgm:contourClr>
        <dgm:schemeClr val="bg1"/>
      </dgm: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bevelT w="120650" h="38100" prst="relaxedInset"/>
      <dgm:bevelB w="120650" h="57150" prst="relaxedInset"/>
      <dgm:contourClr>
        <dgm:schemeClr val="bg1"/>
      </dgm: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bevelT w="144450" h="6350" prst="relaxedInset"/>
      <dgm:contourClr>
        <dgm:schemeClr val="bg1"/>
      </dgm: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bevelT w="127000" h="25400" prst="relaxedInset"/>
      <dgm: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3F0E"/>
    <w:rsid w:val="000E7ADA"/>
    <w:rsid w:val="001043C3"/>
    <w:rsid w:val="0019083E"/>
    <w:rsid w:val="004D1168"/>
    <w:rsid w:val="00814474"/>
    <w:rsid w:val="00934C4A"/>
    <w:rsid w:val="009B452B"/>
    <w:rsid w:val="00A51DB1"/>
    <w:rsid w:val="00D6466E"/>
    <w:rsid w:val="00F738D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TotalTime>
  <Pages>40</Pages>
  <Words>53878</Words>
  <Characters>30712</Characters>
  <Application>Microsoft Office Word</Application>
  <DocSecurity>8</DocSecurity>
  <Lines>255</Lines>
  <Paragraphs>168</Paragraphs>
  <ScaleCrop>false</ScaleCrop>
  <Company/>
  <LinksUpToDate>false</LinksUpToDate>
  <CharactersWithSpaces>84422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15</cp:revision>
  <dcterms:created xsi:type="dcterms:W3CDTF">2023-03-27T06:26:00Z</dcterms:created>
  <dcterms:modified xsi:type="dcterms:W3CDTF">2026-08-04T10:15:00Z</dcterms:modified>
</cp:coreProperties>
</file>