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A29D" w14:textId="109E66CA" w:rsidR="005B1C08" w:rsidRDefault="00D97BE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ED44A" wp14:editId="5B84CC4C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560310" cy="633730"/>
                <wp:effectExtent l="0" t="0" r="3810" b="4445"/>
                <wp:wrapNone/>
                <wp:docPr id="1279089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"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42"/>
                              <w:gridCol w:w="222"/>
                            </w:tblGrid>
                            <w:tr w:rsidR="00DF581B" w14:paraId="1156774D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04F15F0" w14:textId="77777777" w:rsidR="00374364" w:rsidRPr="006963FA" w:rsidRDefault="00374364" w:rsidP="00374364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65095C25" w14:textId="77777777" w:rsidR="00374364" w:rsidRPr="006963FA" w:rsidRDefault="00374364" w:rsidP="00374364">
                                  <w:pPr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320EDFB" w14:textId="77777777" w:rsidR="00374364" w:rsidRPr="006963FA" w:rsidRDefault="00374364" w:rsidP="00374364">
                                  <w:pPr>
                                    <w:jc w:val="center"/>
                                    <w:rPr>
                                      <w:rFonts w:ascii="InfoPlus CODE128 12" w:hAnsi="InfoPlus CODE128 12" w:cs="InfoPlus CODE128 1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DF581B" w14:paraId="245CADD4" w14:textId="77777777">
                              <w:trPr>
                                <w:trHeight w:val="117"/>
                                <w:jc w:val="center"/>
                              </w:trPr>
                              <w:tc>
                                <w:tcPr>
                                  <w:tcW w:w="0" w:type="auto"/>
                                </w:tcPr>
                                <w:p w14:paraId="3D2B7288" w14:textId="77777777" w:rsidR="00DC4FD6" w:rsidRPr="002B683A" w:rsidRDefault="00DC4FD6" w:rsidP="00374364">
                                  <w:pPr>
                                    <w:rPr>
                                      <w:rFonts w:cs="InfoPlus CODE128 60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6D58FAA" w14:textId="77777777" w:rsidR="00DC4FD6" w:rsidRPr="009D1EC6" w:rsidRDefault="00D97BE0" w:rsidP="00374364">
                                  <w:pPr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</w:pPr>
                                  <w:r w:rsidRPr="009D1EC6">
                                    <w:rPr>
                                      <w:rFonts w:cs="InfoPlus CODE128 6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09F558CF" w14:textId="77777777" w:rsidR="00DC4FD6" w:rsidRPr="002B683A" w:rsidRDefault="00DC4FD6" w:rsidP="00374364">
                                  <w:pPr>
                                    <w:jc w:val="center"/>
                                    <w:rPr>
                                      <w:rFonts w:ascii="MS Sans Serif" w:hAnsi="MS Sans Serif" w:cs="MS Sans Serif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857370" w14:textId="77777777" w:rsidR="00DF581B" w:rsidRDefault="00DF581B">
                            <w:pPr>
                              <w:rPr>
                                <w:sz w:val="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ED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595.3pt;height:49.9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" stroked="f">
                <v:textbox style="mso-fit-shape-to-text:t" inset="0,0,0,0">
                  <w:txbxContent>
                    <w:tbl>
                      <w:tblPr>
                        <w:tblStyle w:val="1"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2"/>
                        <w:gridCol w:w="242"/>
                        <w:gridCol w:w="222"/>
                      </w:tblGrid>
                      <w:tr w:rsidR="00DF581B" w14:paraId="1156774D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04F15F0" w14:textId="77777777" w:rsidR="00374364" w:rsidRPr="006963FA" w:rsidRDefault="00374364" w:rsidP="00374364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65095C25" w14:textId="77777777" w:rsidR="00374364" w:rsidRPr="006963FA" w:rsidRDefault="00374364" w:rsidP="00374364">
                            <w:pPr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3320EDFB" w14:textId="77777777" w:rsidR="00374364" w:rsidRPr="006963FA" w:rsidRDefault="00374364" w:rsidP="00374364">
                            <w:pPr>
                              <w:jc w:val="center"/>
                              <w:rPr>
                                <w:rFonts w:ascii="InfoPlus CODE128 12" w:hAnsi="InfoPlus CODE128 12" w:cs="InfoPlus CODE128 12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DF581B" w14:paraId="245CADD4" w14:textId="77777777">
                        <w:trPr>
                          <w:trHeight w:val="117"/>
                          <w:jc w:val="center"/>
                        </w:trPr>
                        <w:tc>
                          <w:tcPr>
                            <w:tcW w:w="0" w:type="auto"/>
                          </w:tcPr>
                          <w:p w14:paraId="3D2B7288" w14:textId="77777777" w:rsidR="00DC4FD6" w:rsidRPr="002B683A" w:rsidRDefault="00DC4FD6" w:rsidP="00374364">
                            <w:pPr>
                              <w:rPr>
                                <w:rFonts w:cs="InfoPlus CODE128 60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14:paraId="46D58FAA" w14:textId="77777777" w:rsidR="00DC4FD6" w:rsidRPr="009D1EC6" w:rsidRDefault="00D97BE0" w:rsidP="00374364">
                            <w:pPr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</w:pPr>
                            <w:r w:rsidRPr="009D1EC6">
                              <w:rPr>
                                <w:rFonts w:cs="InfoPlus CODE128 60"/>
                                <w:sz w:val="10"/>
                                <w:szCs w:val="1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14:paraId="09F558CF" w14:textId="77777777" w:rsidR="00DC4FD6" w:rsidRPr="002B683A" w:rsidRDefault="00DC4FD6" w:rsidP="00374364">
                            <w:pPr>
                              <w:jc w:val="center"/>
                              <w:rPr>
                                <w:rFonts w:ascii="MS Sans Serif" w:hAnsi="MS Sans Serif" w:cs="MS Sans Serif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14:paraId="12857370" w14:textId="77777777" w:rsidR="00DF581B" w:rsidRDefault="00DF581B">
                      <w:pPr>
                        <w:rPr>
                          <w:sz w:val="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624E47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61F38D" w14:textId="69D869DF" w:rsidR="00F417F8" w:rsidRPr="00F417F8" w:rsidRDefault="00D97BE0" w:rsidP="00F417F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</w:t>
      </w:r>
      <w:r w:rsidR="00424E6A">
        <w:rPr>
          <w:rFonts w:ascii="Times New Roman" w:hAnsi="Times New Roman"/>
          <w:sz w:val="28"/>
          <w:szCs w:val="28"/>
          <w:lang w:val="uk-UA"/>
        </w:rPr>
        <w:t>є</w:t>
      </w:r>
      <w:r w:rsidRPr="005B1C08">
        <w:rPr>
          <w:rFonts w:ascii="Times New Roman" w:hAnsi="Times New Roman"/>
          <w:sz w:val="28"/>
          <w:szCs w:val="28"/>
          <w:lang w:val="uk-UA"/>
        </w:rPr>
        <w:t>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417F8">
        <w:rPr>
          <w:rFonts w:ascii="Times New Roman" w:hAnsi="Times New Roman"/>
          <w:b/>
          <w:sz w:val="28"/>
          <w:szCs w:val="28"/>
          <w:lang w:val="uk-UA"/>
        </w:rPr>
        <w:t>Про внесення змін до Програми відзначення</w:t>
      </w:r>
    </w:p>
    <w:p w14:paraId="1DC9486F" w14:textId="77777777" w:rsidR="00F417F8" w:rsidRPr="00F417F8" w:rsidRDefault="00D97BE0" w:rsidP="00F417F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державних та професійних свят, ювілейних дат та святкування Дня міста</w:t>
      </w:r>
    </w:p>
    <w:p w14:paraId="4DEC867E" w14:textId="77777777" w:rsidR="00F417F8" w:rsidRPr="00F417F8" w:rsidRDefault="00D97BE0" w:rsidP="00F417F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Бровари, заохочення за заслуги перед Броварською міською</w:t>
      </w:r>
    </w:p>
    <w:p w14:paraId="05F06426" w14:textId="77777777" w:rsidR="00361CD8" w:rsidRDefault="00D97BE0" w:rsidP="00F417F8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417F8">
        <w:rPr>
          <w:rFonts w:ascii="Times New Roman" w:hAnsi="Times New Roman"/>
          <w:b/>
          <w:sz w:val="28"/>
          <w:szCs w:val="28"/>
          <w:lang w:val="uk-UA"/>
        </w:rPr>
        <w:t>територіальною громадою на 2022-2026 роки</w:t>
      </w:r>
      <w:r w:rsidR="0074644B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723EA725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9F301F" w14:textId="77777777" w:rsidR="0074644B" w:rsidRDefault="00D97BE0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3E0614DD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0A5B48F1" w14:textId="77777777" w:rsidR="0074644B" w:rsidRPr="00827775" w:rsidRDefault="00D97BE0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1.Обґрунтування необхідності прийняття рішення</w:t>
      </w:r>
    </w:p>
    <w:p w14:paraId="6B09F32E" w14:textId="21E3099D" w:rsidR="009B7D79" w:rsidRDefault="00D97BE0" w:rsidP="00F417F8">
      <w:pPr>
        <w:tabs>
          <w:tab w:val="left" w:pos="1134"/>
          <w:tab w:val="left" w:pos="1276"/>
        </w:tabs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Необхідність прийняття про</w:t>
      </w:r>
      <w:r w:rsidR="00424E6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кту </w:t>
      </w:r>
      <w:r w:rsidR="00424E6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цього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рішення обумовлена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="00A7660D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зміною формулювання та </w:t>
      </w:r>
      <w:r w:rsidR="00424E6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розширенням святкування по всій території громади: якщо раніше Програмою передбачалося виключно святкування Дня міста Бровари, то нара</w:t>
      </w:r>
      <w:r w:rsidR="005E700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зі до неї включено відзначення Д</w:t>
      </w:r>
      <w:r w:rsidR="00424E6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нів сіл Княж</w:t>
      </w:r>
      <w:r w:rsidR="00190A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ичі, Т</w:t>
      </w:r>
      <w:r w:rsidR="00424E6A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ребухів та Сотницьке, які входять до складу </w:t>
      </w:r>
      <w:r w:rsidR="00190A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Броварської міської територіальної громади. Тако</w:t>
      </w:r>
      <w:r w:rsidR="0017076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ж</w:t>
      </w:r>
      <w:r w:rsidR="00190A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про</w:t>
      </w:r>
      <w:r w:rsidR="0017076F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="00190A06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 спрямований на приведення у відпові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дність кошторисних видатків до проведених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призначень по Програмі відзначення державних та професійних свят,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ювілейних дат та святкування Д</w:t>
      </w:r>
      <w:r w:rsidR="00D065E7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нів населених пунктів Броварської міської територіальної громади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, заохочення за заслуги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перед Броварською міською територіальною громадою на 2022-2026 у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поточному 202</w:t>
      </w:r>
      <w:r w:rsidR="00D065E7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6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році та у зв’язку з відсутністю фінансування по даній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Програмі.</w:t>
      </w:r>
    </w:p>
    <w:p w14:paraId="77C31D4D" w14:textId="77777777" w:rsidR="0074644B" w:rsidRPr="0041175A" w:rsidRDefault="00D97BE0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41175A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1347FAE7" w14:textId="6C13C1DA" w:rsidR="009B7D79" w:rsidRPr="00F417F8" w:rsidRDefault="00D97BE0" w:rsidP="00F417F8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Метою прийняття даного Про</w:t>
      </w:r>
      <w:r w:rsidR="005C4882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кту рішення є </w:t>
      </w:r>
      <w:r w:rsidR="005C4882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забезпечення належного відзначення пам’ятних дат та Днів населених пунктів громади, ефективне ви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користання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бюджетних коштів у період дії воєнного стану та складання розрахунків до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проекту місцевого бюджету на 202</w:t>
      </w:r>
      <w:r w:rsidR="005C4882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6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рік.</w:t>
      </w:r>
    </w:p>
    <w:p w14:paraId="4B7120FF" w14:textId="77777777" w:rsidR="0074644B" w:rsidRPr="00827775" w:rsidRDefault="00D97BE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14:paraId="4E0BAF80" w14:textId="59D6D62B" w:rsidR="009B7D79" w:rsidRPr="00F417F8" w:rsidRDefault="00D97BE0" w:rsidP="00F417F8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</w:t>
      </w:r>
      <w:r w:rsidR="005E700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є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кт рішення розроблений на підставі Закону України «Про місцеве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самоврядування в Україні», Бюджетного кодексу України, Указів Президента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України «Про впорядкування відзначення пам'ятних дат і ювілеїв», «Про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додаткові заходи щодо впорядкування відзначення пам'ятних дат і ювілеїв»,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Указів Президента України щодо встановлення професійних свят і пам’ятних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F417F8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дат та інших нормативно-правових актів України.</w:t>
      </w:r>
    </w:p>
    <w:p w14:paraId="3158ABAD" w14:textId="77777777" w:rsidR="0074644B" w:rsidRPr="00FC33D9" w:rsidRDefault="00D97BE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4.Фінансово-економічне обґрунтування</w:t>
      </w:r>
    </w:p>
    <w:p w14:paraId="31BECE16" w14:textId="0F497810" w:rsidR="0074644B" w:rsidRPr="00F417F8" w:rsidRDefault="00D97BE0" w:rsidP="00F417F8">
      <w:pPr>
        <w:tabs>
          <w:tab w:val="left" w:pos="0"/>
        </w:tabs>
        <w:suppressAutoHyphens/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>Фінансування заходів Програми в процесі їх реалізації</w:t>
      </w:r>
      <w:r w:rsidR="007F4F1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потребує додаткового фінансування у розмірі 240,0 тис.грн.</w:t>
      </w:r>
      <w:r w:rsidRPr="00F417F8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</w:p>
    <w:p w14:paraId="7FF4EB58" w14:textId="77777777" w:rsidR="0074644B" w:rsidRDefault="00D97BE0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.Прогноз результатів</w:t>
      </w:r>
    </w:p>
    <w:p w14:paraId="71F58880" w14:textId="33CA4175" w:rsidR="009B7D79" w:rsidRPr="00422C30" w:rsidRDefault="00D97BE0" w:rsidP="00422C30">
      <w:pPr>
        <w:suppressAutoHyphens/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</w:pP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Реалізація цієї Програми сприятиме удосконаленню нагородної справи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на території Броварської міської територіальної громади, </w:t>
      </w:r>
      <w:r w:rsidR="00D93F5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підтриманням історичних традицій, національно-культурної спадщини, забезпеченню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розвитку на засадах демократичності, відкритості, гласності та прозорості,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підвищенн</w:t>
      </w:r>
      <w:r w:rsidR="00D93F54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я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соціального значення міських нагород, комплексного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 xml:space="preserve"> </w:t>
      </w:r>
      <w:r w:rsidRPr="00422C30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розв'язання правових, організаційних та інших проблем у цій сфері.</w:t>
      </w:r>
    </w:p>
    <w:p w14:paraId="73828850" w14:textId="77777777" w:rsidR="005F334B" w:rsidRDefault="00D97BE0" w:rsidP="00DD7BFD">
      <w:pPr>
        <w:spacing w:after="0"/>
        <w:ind w:firstLine="553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.Суб’єкт подання проекту рішення </w:t>
      </w:r>
    </w:p>
    <w:p w14:paraId="71B461F7" w14:textId="48A9EC4E" w:rsidR="00422C30" w:rsidRPr="00422C30" w:rsidRDefault="00D97BE0" w:rsidP="00422C3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Суб’єкт подання про</w:t>
      </w:r>
      <w:r w:rsidR="005E700B">
        <w:rPr>
          <w:rFonts w:ascii="Times New Roman" w:hAnsi="Times New Roman"/>
          <w:bCs/>
          <w:sz w:val="28"/>
          <w:szCs w:val="28"/>
          <w:lang w:val="uk-UA"/>
        </w:rPr>
        <w:t>є</w:t>
      </w:r>
      <w:r w:rsidRPr="00422C30">
        <w:rPr>
          <w:rFonts w:ascii="Times New Roman" w:hAnsi="Times New Roman"/>
          <w:bCs/>
          <w:sz w:val="28"/>
          <w:szCs w:val="28"/>
          <w:lang w:val="uk-UA"/>
        </w:rPr>
        <w:t>кту рішення:</w:t>
      </w:r>
    </w:p>
    <w:p w14:paraId="301F3924" w14:textId="77777777" w:rsidR="00422C30" w:rsidRPr="00FF217F" w:rsidRDefault="00D97BE0" w:rsidP="00FF217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>Управління забезпечення діяльності виконавчого комітету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Броварської міської ради Броварського району Київської області та її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виконавчих органів.</w:t>
      </w:r>
    </w:p>
    <w:p w14:paraId="5DF3E7DD" w14:textId="3CD05CFF" w:rsidR="007F4F10" w:rsidRPr="00422C30" w:rsidRDefault="00D97BE0" w:rsidP="007F4F1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22C30">
        <w:rPr>
          <w:rFonts w:ascii="Times New Roman" w:hAnsi="Times New Roman"/>
          <w:bCs/>
          <w:sz w:val="28"/>
          <w:szCs w:val="28"/>
          <w:lang w:val="uk-UA"/>
        </w:rPr>
        <w:t xml:space="preserve">Доповідач </w:t>
      </w:r>
      <w:r w:rsidR="007F4F10">
        <w:rPr>
          <w:rFonts w:ascii="Times New Roman" w:hAnsi="Times New Roman"/>
          <w:bCs/>
          <w:sz w:val="28"/>
          <w:szCs w:val="28"/>
          <w:lang w:val="uk-UA"/>
        </w:rPr>
        <w:t xml:space="preserve"> та в</w:t>
      </w:r>
      <w:r w:rsidR="007F4F10" w:rsidRPr="00422C30">
        <w:rPr>
          <w:rFonts w:ascii="Times New Roman" w:hAnsi="Times New Roman"/>
          <w:bCs/>
          <w:sz w:val="28"/>
          <w:szCs w:val="28"/>
          <w:lang w:val="uk-UA"/>
        </w:rPr>
        <w:t xml:space="preserve">ідповідальна особа за підготовку </w:t>
      </w:r>
      <w:r w:rsidR="007F4F10" w:rsidRPr="00422C30">
        <w:rPr>
          <w:rFonts w:ascii="Times New Roman" w:hAnsi="Times New Roman"/>
          <w:bCs/>
          <w:sz w:val="28"/>
          <w:szCs w:val="28"/>
          <w:lang w:val="uk-UA"/>
        </w:rPr>
        <w:t>проєкту</w:t>
      </w:r>
      <w:r w:rsidR="007F4F10" w:rsidRPr="00422C30">
        <w:rPr>
          <w:rFonts w:ascii="Times New Roman" w:hAnsi="Times New Roman"/>
          <w:bCs/>
          <w:sz w:val="28"/>
          <w:szCs w:val="28"/>
          <w:lang w:val="uk-UA"/>
        </w:rPr>
        <w:t xml:space="preserve"> рішення:</w:t>
      </w:r>
    </w:p>
    <w:p w14:paraId="0207D6C6" w14:textId="77777777" w:rsidR="00422C30" w:rsidRPr="00FF217F" w:rsidRDefault="00D97BE0" w:rsidP="00FF217F">
      <w:pPr>
        <w:pStyle w:val="a5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F217F">
        <w:rPr>
          <w:rFonts w:ascii="Times New Roman" w:hAnsi="Times New Roman"/>
          <w:bCs/>
          <w:sz w:val="28"/>
          <w:szCs w:val="28"/>
          <w:lang w:val="uk-UA"/>
        </w:rPr>
        <w:t>Кузнєцов Костянтин Валентинович, начальник управління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забезпечення діяльності виконавчого комітету Броварської міської ради</w:t>
      </w:r>
      <w:r w:rsidR="00FF21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F217F">
        <w:rPr>
          <w:rFonts w:ascii="Times New Roman" w:hAnsi="Times New Roman"/>
          <w:bCs/>
          <w:sz w:val="28"/>
          <w:szCs w:val="28"/>
          <w:lang w:val="uk-UA"/>
        </w:rPr>
        <w:t>Броварського району Київської області та її виконавчих органів.</w:t>
      </w:r>
    </w:p>
    <w:p w14:paraId="6D8BBFBE" w14:textId="77777777" w:rsidR="007F4F10" w:rsidRDefault="007F4F10" w:rsidP="00FF217F">
      <w:pPr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C82565D" w14:textId="44AAF527" w:rsidR="005F334B" w:rsidRDefault="00D97BE0" w:rsidP="00FF217F">
      <w:pPr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lang w:val="uk-UA"/>
        </w:rPr>
        <w:t>7</w:t>
      </w:r>
      <w:r w:rsidRPr="00827775">
        <w:rPr>
          <w:rFonts w:ascii="Times New Roman" w:hAnsi="Times New Roman"/>
          <w:b/>
          <w:sz w:val="28"/>
          <w:szCs w:val="28"/>
        </w:rPr>
        <w:t xml:space="preserve">.Порівняльна таблиця </w:t>
      </w:r>
    </w:p>
    <w:p w14:paraId="644CCE00" w14:textId="20E82F4F" w:rsidR="00FF217F" w:rsidRPr="007F4F10" w:rsidRDefault="007F4F10" w:rsidP="007F4F1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zh-CN"/>
        </w:rPr>
        <w:t xml:space="preserve">                                                    </w:t>
      </w:r>
      <w:r w:rsidR="00D97BE0" w:rsidRPr="007F4F10">
        <w:rPr>
          <w:rFonts w:ascii="Times New Roman" w:hAnsi="Times New Roman"/>
          <w:b/>
          <w:bCs/>
          <w:color w:val="000000"/>
          <w:sz w:val="24"/>
          <w:szCs w:val="24"/>
          <w:lang w:val="uk-UA" w:eastAsia="zh-CN"/>
        </w:rPr>
        <w:t>ПАСПОРТ</w:t>
      </w:r>
    </w:p>
    <w:p w14:paraId="13BE49C6" w14:textId="77777777" w:rsidR="00FF217F" w:rsidRPr="007F4F10" w:rsidRDefault="00FF217F" w:rsidP="00FF2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65"/>
        <w:gridCol w:w="4433"/>
        <w:gridCol w:w="4395"/>
      </w:tblGrid>
      <w:tr w:rsidR="00434585" w:rsidRPr="007F4F10" w14:paraId="409FA756" w14:textId="77777777" w:rsidTr="00434585">
        <w:tc>
          <w:tcPr>
            <w:tcW w:w="665" w:type="dxa"/>
          </w:tcPr>
          <w:p w14:paraId="0620DCD7" w14:textId="77777777" w:rsidR="00434585" w:rsidRPr="007F4F10" w:rsidRDefault="00434585" w:rsidP="003D76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33" w:type="dxa"/>
          </w:tcPr>
          <w:p w14:paraId="5E18E392" w14:textId="77777777" w:rsidR="00434585" w:rsidRPr="007F4F10" w:rsidRDefault="00434585" w:rsidP="007755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Було:</w:t>
            </w:r>
          </w:p>
        </w:tc>
        <w:tc>
          <w:tcPr>
            <w:tcW w:w="4395" w:type="dxa"/>
          </w:tcPr>
          <w:p w14:paraId="7BDF4D26" w14:textId="77777777" w:rsidR="00434585" w:rsidRPr="007F4F10" w:rsidRDefault="00434585" w:rsidP="007755A8">
            <w:pPr>
              <w:spacing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Стало:</w:t>
            </w:r>
          </w:p>
        </w:tc>
      </w:tr>
      <w:tr w:rsidR="00434585" w:rsidRPr="007F4F10" w14:paraId="3241EFDC" w14:textId="77777777" w:rsidTr="00434585">
        <w:tc>
          <w:tcPr>
            <w:tcW w:w="665" w:type="dxa"/>
          </w:tcPr>
          <w:p w14:paraId="47E363E3" w14:textId="77777777" w:rsidR="00434585" w:rsidRPr="007F4F10" w:rsidRDefault="00434585" w:rsidP="003D769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433" w:type="dxa"/>
          </w:tcPr>
          <w:p w14:paraId="64EA2F15" w14:textId="77777777" w:rsidR="00C13E22" w:rsidRPr="007F4F10" w:rsidRDefault="00C13E22" w:rsidP="00C13E22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заходів програми буде   здійснюватись шляхом фінансування за рахунок коштів бюджету Броварської міської  територіальної громади.</w:t>
            </w:r>
          </w:p>
          <w:p w14:paraId="071D317E" w14:textId="77777777" w:rsidR="00C13E22" w:rsidRPr="007F4F10" w:rsidRDefault="00C13E22" w:rsidP="00C13E22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 у фінансуванні Програми:</w:t>
            </w:r>
          </w:p>
          <w:p w14:paraId="61D07E0C" w14:textId="0461B69A" w:rsidR="00434585" w:rsidRPr="007F4F10" w:rsidRDefault="00C13E22" w:rsidP="00C13E22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р.- 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791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834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тис. грн</w:t>
            </w:r>
          </w:p>
        </w:tc>
        <w:tc>
          <w:tcPr>
            <w:tcW w:w="4395" w:type="dxa"/>
          </w:tcPr>
          <w:p w14:paraId="16808394" w14:textId="77777777" w:rsidR="00434585" w:rsidRPr="007F4F10" w:rsidRDefault="00434585" w:rsidP="003D7696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 заходів програми буде   здійснюватись шляхом фінансування за рахунок коштів бюджету Броварської міської  територіальної громади.</w:t>
            </w:r>
          </w:p>
          <w:p w14:paraId="5B4489D9" w14:textId="77777777" w:rsidR="00434585" w:rsidRPr="007F4F10" w:rsidRDefault="00434585" w:rsidP="003D7696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Потреба у фінансуванні Програми:</w:t>
            </w:r>
          </w:p>
          <w:p w14:paraId="6F6935CD" w14:textId="5FDE47C7" w:rsidR="00434585" w:rsidRPr="007F4F10" w:rsidRDefault="00434585" w:rsidP="00C13E22">
            <w:pPr>
              <w:spacing w:line="298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13E22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р.- </w:t>
            </w:r>
            <w:r w:rsidR="00C13E22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1031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C13E22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834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тис. 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рн</w:t>
            </w:r>
          </w:p>
        </w:tc>
      </w:tr>
    </w:tbl>
    <w:p w14:paraId="269BA477" w14:textId="77777777" w:rsidR="00FF217F" w:rsidRPr="007F4F10" w:rsidRDefault="00FF217F" w:rsidP="00FF217F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14:paraId="13778A9A" w14:textId="066BAEB6" w:rsidR="005E25BD" w:rsidRPr="007F4F10" w:rsidRDefault="00D97BE0" w:rsidP="007F4F10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7F4F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Орієнтовний обсяг видатків на виконання заходів Програми відзначення державних та професійних свят, ювілейних дат та святкування </w:t>
      </w:r>
      <w:r w:rsidR="000943D1" w:rsidRPr="007F4F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Днів населених пунктів Броварської міської територіальної громади</w:t>
      </w:r>
      <w:r w:rsidRPr="007F4F1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, заохочення за заслуги перед Броварською міською територіальною громадою на 2022-2026 роки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835"/>
        <w:gridCol w:w="2781"/>
      </w:tblGrid>
      <w:tr w:rsidR="00DF581B" w:rsidRPr="007F4F10" w14:paraId="7AC1BE35" w14:textId="77777777" w:rsidTr="00B86714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A5E8" w14:textId="77777777" w:rsidR="007755A8" w:rsidRPr="007F4F10" w:rsidRDefault="007755A8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E08ED1" w14:textId="77777777" w:rsidR="007755A8" w:rsidRPr="007F4F10" w:rsidRDefault="00D97BE0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2835" w:type="dxa"/>
          </w:tcPr>
          <w:p w14:paraId="7CD3EA73" w14:textId="77777777" w:rsidR="007755A8" w:rsidRPr="007F4F10" w:rsidRDefault="00D97BE0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Було:</w:t>
            </w:r>
          </w:p>
        </w:tc>
        <w:tc>
          <w:tcPr>
            <w:tcW w:w="2781" w:type="dxa"/>
          </w:tcPr>
          <w:p w14:paraId="68D627CC" w14:textId="77777777" w:rsidR="007755A8" w:rsidRPr="007F4F10" w:rsidRDefault="00D97BE0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Стало:</w:t>
            </w:r>
          </w:p>
        </w:tc>
      </w:tr>
      <w:tr w:rsidR="00DF581B" w:rsidRPr="007F4F10" w14:paraId="49C4D917" w14:textId="77777777" w:rsidTr="00B86714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62E" w14:textId="77777777" w:rsidR="007755A8" w:rsidRPr="007F4F10" w:rsidRDefault="007755A8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B33786" w14:textId="77777777" w:rsidR="007755A8" w:rsidRPr="007F4F10" w:rsidRDefault="00D97BE0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Потреби у фінансуванні Програми, тис. грн</w:t>
            </w:r>
          </w:p>
        </w:tc>
        <w:tc>
          <w:tcPr>
            <w:tcW w:w="2781" w:type="dxa"/>
          </w:tcPr>
          <w:p w14:paraId="0865F06A" w14:textId="77777777" w:rsidR="007755A8" w:rsidRPr="007F4F10" w:rsidRDefault="00D97BE0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Потреби у фінансуванні Програми, тис. грн</w:t>
            </w:r>
          </w:p>
        </w:tc>
      </w:tr>
      <w:tr w:rsidR="00DF581B" w:rsidRPr="007F4F10" w14:paraId="7D58DC86" w14:textId="77777777" w:rsidTr="00B86714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253E" w14:textId="77777777" w:rsidR="007755A8" w:rsidRPr="007F4F10" w:rsidRDefault="007755A8" w:rsidP="00775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85DB" w14:textId="6E86D375" w:rsidR="007755A8" w:rsidRPr="007F4F10" w:rsidRDefault="00D97BE0" w:rsidP="00E3455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4557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DD3A" w14:textId="3B938A31" w:rsidR="007755A8" w:rsidRPr="007F4F10" w:rsidRDefault="00D97BE0" w:rsidP="00E3455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E34557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F581B" w:rsidRPr="007F4F10" w14:paraId="4E67944F" w14:textId="77777777" w:rsidTr="00B86714"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B72" w14:textId="77777777" w:rsidR="007755A8" w:rsidRPr="007F4F10" w:rsidRDefault="00D97BE0" w:rsidP="007755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1.Заходи нагородження:</w:t>
            </w:r>
          </w:p>
          <w:p w14:paraId="09F0FD8B" w14:textId="77777777" w:rsidR="007755A8" w:rsidRPr="007F4F10" w:rsidRDefault="007755A8" w:rsidP="007755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AE6" w14:textId="77777777" w:rsidR="007755A8" w:rsidRPr="007F4F10" w:rsidRDefault="007755A8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C9A" w14:textId="77777777" w:rsidR="007755A8" w:rsidRPr="007F4F10" w:rsidRDefault="007755A8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81B" w:rsidRPr="007F4F10" w14:paraId="31A29ADA" w14:textId="77777777" w:rsidTr="00B86714"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20C1" w14:textId="411CFEB9" w:rsidR="007755A8" w:rsidRPr="007F4F10" w:rsidRDefault="00D97BE0" w:rsidP="007755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05B9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.Придбання сувенірної продукції;</w:t>
            </w:r>
          </w:p>
          <w:p w14:paraId="52878652" w14:textId="77777777" w:rsidR="007755A8" w:rsidRPr="007F4F10" w:rsidRDefault="007755A8" w:rsidP="007755A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8DB85" w14:textId="1FB6F18B" w:rsidR="007755A8" w:rsidRPr="007F4F10" w:rsidRDefault="007F05B9" w:rsidP="00F640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0943D1"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,000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4E18" w14:textId="7DF20058" w:rsidR="007755A8" w:rsidRPr="007F4F10" w:rsidRDefault="007F05B9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240,000</w:t>
            </w:r>
          </w:p>
        </w:tc>
      </w:tr>
      <w:tr w:rsidR="00DF581B" w:rsidRPr="007F4F10" w14:paraId="15490561" w14:textId="77777777" w:rsidTr="00B86714">
        <w:trPr>
          <w:trHeight w:val="3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E103" w14:textId="77777777" w:rsidR="007755A8" w:rsidRPr="007F4F10" w:rsidRDefault="00D97BE0" w:rsidP="007755A8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1B51" w14:textId="6553E729" w:rsidR="007755A8" w:rsidRPr="007F4F10" w:rsidRDefault="007755A8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A320" w14:textId="1FC95975" w:rsidR="007755A8" w:rsidRPr="007F4F10" w:rsidRDefault="007F05B9" w:rsidP="007755A8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F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240</w:t>
            </w:r>
            <w:r w:rsidR="00D97BE0" w:rsidRPr="007F4F10">
              <w:rPr>
                <w:rFonts w:ascii="Times New Roman" w:eastAsia="Times New Roman" w:hAnsi="Times New Roman" w:cs="Times New Roman"/>
                <w:sz w:val="24"/>
                <w:szCs w:val="24"/>
              </w:rPr>
              <w:t>,000</w:t>
            </w:r>
          </w:p>
        </w:tc>
      </w:tr>
    </w:tbl>
    <w:p w14:paraId="2D600C5E" w14:textId="77777777" w:rsidR="005E25BD" w:rsidRPr="007F4F10" w:rsidRDefault="005E25BD" w:rsidP="005E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C7397B" w14:textId="77777777" w:rsidR="005E25BD" w:rsidRPr="00A4357A" w:rsidRDefault="005E25BD" w:rsidP="005E25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DF4FA86" w14:textId="77777777" w:rsidR="00B86714" w:rsidRPr="00B86714" w:rsidRDefault="00D97BE0" w:rsidP="00B8671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Начальник управління забезпечення</w:t>
      </w:r>
    </w:p>
    <w:p w14:paraId="6A3BD486" w14:textId="77777777" w:rsidR="00B86714" w:rsidRPr="00B86714" w:rsidRDefault="00D97BE0" w:rsidP="00B8671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діяльності виконавчого комітету</w:t>
      </w:r>
    </w:p>
    <w:p w14:paraId="1454FD9C" w14:textId="77777777" w:rsidR="00B86714" w:rsidRPr="00B86714" w:rsidRDefault="00D97BE0" w:rsidP="00B8671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Броварської міської ради</w:t>
      </w:r>
    </w:p>
    <w:p w14:paraId="1B9216DA" w14:textId="77777777" w:rsidR="00B86714" w:rsidRPr="00B86714" w:rsidRDefault="00D97BE0" w:rsidP="00B8671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Броварського району Київської</w:t>
      </w:r>
    </w:p>
    <w:p w14:paraId="4E83601E" w14:textId="77777777" w:rsidR="00FF217F" w:rsidRDefault="00D97BE0" w:rsidP="00B86714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області та її виконавчих органів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            </w:t>
      </w:r>
      <w:r w:rsidRPr="00B86714">
        <w:rPr>
          <w:rFonts w:ascii="Times New Roman" w:hAnsi="Times New Roman"/>
          <w:color w:val="000000"/>
          <w:sz w:val="28"/>
          <w:szCs w:val="28"/>
          <w:lang w:val="uk-UA" w:eastAsia="zh-CN"/>
        </w:rPr>
        <w:t>Костянтин КУЗНЄЦОВ</w:t>
      </w:r>
    </w:p>
    <w:p w14:paraId="210B3E36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475E52E4" w14:textId="77777777" w:rsidR="009B7D79" w:rsidRPr="00244FF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foPlus CODE128 12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InfoPlus CODE128 60">
    <w:altName w:val="Times New Roman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charset w:val="CC"/>
    <w:family w:val="auto"/>
    <w:pitch w:val="default"/>
    <w:sig w:usb0="00000000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F52D88"/>
    <w:multiLevelType w:val="hybridMultilevel"/>
    <w:tmpl w:val="1CAC4AA2"/>
    <w:lvl w:ilvl="0" w:tplc="449A5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64BC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E5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673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B6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18D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43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07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1C6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386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5686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08"/>
    <w:rsid w:val="000943D1"/>
    <w:rsid w:val="00126B69"/>
    <w:rsid w:val="0017076F"/>
    <w:rsid w:val="0018621D"/>
    <w:rsid w:val="00190A06"/>
    <w:rsid w:val="001A3FB3"/>
    <w:rsid w:val="001A3FF0"/>
    <w:rsid w:val="00244FF9"/>
    <w:rsid w:val="002B683A"/>
    <w:rsid w:val="003613A9"/>
    <w:rsid w:val="00361CD8"/>
    <w:rsid w:val="00374364"/>
    <w:rsid w:val="003D7696"/>
    <w:rsid w:val="0041175A"/>
    <w:rsid w:val="00422C30"/>
    <w:rsid w:val="00424E6A"/>
    <w:rsid w:val="00434585"/>
    <w:rsid w:val="005176B3"/>
    <w:rsid w:val="00525C68"/>
    <w:rsid w:val="005941EC"/>
    <w:rsid w:val="005B1C08"/>
    <w:rsid w:val="005C4882"/>
    <w:rsid w:val="005E25BD"/>
    <w:rsid w:val="005E700B"/>
    <w:rsid w:val="005F334B"/>
    <w:rsid w:val="00633B95"/>
    <w:rsid w:val="006963FA"/>
    <w:rsid w:val="00696599"/>
    <w:rsid w:val="006C396C"/>
    <w:rsid w:val="0070097C"/>
    <w:rsid w:val="007057E6"/>
    <w:rsid w:val="0074644B"/>
    <w:rsid w:val="00772442"/>
    <w:rsid w:val="007755A8"/>
    <w:rsid w:val="007D1B1D"/>
    <w:rsid w:val="007E7FBA"/>
    <w:rsid w:val="007F05B9"/>
    <w:rsid w:val="007F4F10"/>
    <w:rsid w:val="00827775"/>
    <w:rsid w:val="00842DFA"/>
    <w:rsid w:val="00881846"/>
    <w:rsid w:val="009B7D79"/>
    <w:rsid w:val="009C0EEF"/>
    <w:rsid w:val="009D1EC6"/>
    <w:rsid w:val="009D5D3D"/>
    <w:rsid w:val="00A218AE"/>
    <w:rsid w:val="00A4357A"/>
    <w:rsid w:val="00A7660D"/>
    <w:rsid w:val="00B35D4C"/>
    <w:rsid w:val="00B46089"/>
    <w:rsid w:val="00B80167"/>
    <w:rsid w:val="00B86714"/>
    <w:rsid w:val="00BF6942"/>
    <w:rsid w:val="00C13E22"/>
    <w:rsid w:val="00D065E7"/>
    <w:rsid w:val="00D5049E"/>
    <w:rsid w:val="00D92C45"/>
    <w:rsid w:val="00D93F54"/>
    <w:rsid w:val="00D97BE0"/>
    <w:rsid w:val="00DC4FD6"/>
    <w:rsid w:val="00DD7BFD"/>
    <w:rsid w:val="00DF581B"/>
    <w:rsid w:val="00E15ED5"/>
    <w:rsid w:val="00E34557"/>
    <w:rsid w:val="00F417F8"/>
    <w:rsid w:val="00F6406E"/>
    <w:rsid w:val="00FC33D9"/>
    <w:rsid w:val="00FF117C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A2B8"/>
  <w15:docId w15:val="{32EDD384-0AD4-4F1D-90A2-C8F17992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22C30"/>
    <w:pPr>
      <w:ind w:left="720"/>
      <w:contextualSpacing/>
    </w:pPr>
  </w:style>
  <w:style w:type="table" w:styleId="a6">
    <w:name w:val="Table Grid"/>
    <w:basedOn w:val="a1"/>
    <w:uiPriority w:val="59"/>
    <w:rsid w:val="00FF2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351764"/>
    <w:pPr>
      <w:spacing w:after="0" w:line="240" w:lineRule="auto"/>
    </w:pPr>
    <w:rPr>
      <w:rFonts w:eastAsia="Times New Roman" w:cs="Calibri"/>
      <w:lang w:val="uk-UA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2678</Words>
  <Characters>1528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23</cp:revision>
  <cp:lastPrinted>2026-07-14T07:12:00Z</cp:lastPrinted>
  <dcterms:created xsi:type="dcterms:W3CDTF">2024-12-23T08:37:00Z</dcterms:created>
  <dcterms:modified xsi:type="dcterms:W3CDTF">2026-07-14T08:06:00Z</dcterms:modified>
</cp:coreProperties>
</file>