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0F4FB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3AD1283" w14:textId="77777777" w:rsidR="000F4FBD" w:rsidRPr="00184B53" w:rsidRDefault="000F4FBD" w:rsidP="008D63FB">
      <w:pPr>
        <w:keepNext/>
        <w:keepLines/>
        <w:widowControl w:val="0"/>
        <w:spacing w:after="0" w:line="240" w:lineRule="auto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AE2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AE2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D63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рішення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6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 xml:space="preserve"> рік</w:t>
      </w:r>
    </w:p>
    <w:p w14:paraId="01AC0AE7" w14:textId="77777777" w:rsidR="000F4FBD" w:rsidRPr="00184B53" w:rsidRDefault="000F4FBD" w:rsidP="000F4FB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02AF531" w14:textId="77777777" w:rsidR="000F4FBD" w:rsidRPr="00AE2F29" w:rsidRDefault="000F4FBD" w:rsidP="008D63F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2F29">
        <w:rPr>
          <w:rFonts w:ascii="Times New Roman" w:hAnsi="Times New Roman"/>
          <w:bCs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4B0D3843" w14:textId="77777777" w:rsidR="000F4FBD" w:rsidRPr="00D275F6" w:rsidRDefault="000F4FBD" w:rsidP="000F4FBD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16"/>
          <w:szCs w:val="16"/>
          <w:lang w:val="uk-UA"/>
        </w:rPr>
      </w:pPr>
    </w:p>
    <w:p w14:paraId="55343C8D" w14:textId="77777777" w:rsidR="000F4FBD" w:rsidRPr="00184B53" w:rsidRDefault="000F4FBD" w:rsidP="000F4FB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5003E1BC" w14:textId="108652AA" w:rsidR="000F4FBD" w:rsidRPr="00CF05B3" w:rsidRDefault="005E1BAA" w:rsidP="008D63FB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  </w:t>
      </w:r>
      <w:r w:rsidR="000F4FBD"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Основною метою змін до Програми є організація належних умов праці </w:t>
      </w:r>
      <w:r w:rsidR="00471B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працівників поліції, задля</w:t>
      </w:r>
      <w:r w:rsidR="000F4FBD"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471BDB"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ефективного </w:t>
      </w:r>
      <w:r w:rsidR="000F4FBD"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 w:rsidR="000F4F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:</w:t>
      </w:r>
    </w:p>
    <w:p w14:paraId="3FF7D472" w14:textId="03A9A688" w:rsidR="000F4FBD" w:rsidRPr="00CF05B3" w:rsidRDefault="00737BE6" w:rsidP="008D63FB">
      <w:pPr>
        <w:spacing w:after="0" w:line="240" w:lineRule="auto"/>
        <w:ind w:firstLine="32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0F4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пунктом 7 </w:t>
      </w:r>
      <w:r w:rsidR="000F4F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додаток </w:t>
      </w:r>
      <w:r w:rsidR="000F4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="000F4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="000F4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наступного змісту:</w:t>
      </w:r>
      <w:r w:rsidR="000F4FB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F4FBD">
        <w:rPr>
          <w:rFonts w:ascii="Times New Roman" w:eastAsia="Times New Roman" w:hAnsi="Times New Roman"/>
          <w:sz w:val="28"/>
          <w:szCs w:val="28"/>
          <w:lang w:val="uk-UA"/>
        </w:rPr>
        <w:t>Виготовлення проектної документації по ремонту даху будівлі Броварського РУП».</w:t>
      </w:r>
    </w:p>
    <w:p w14:paraId="219DE984" w14:textId="77777777" w:rsidR="000F4FBD" w:rsidRPr="00D275F6" w:rsidRDefault="000F4FBD" w:rsidP="000F4FBD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uk-UA" w:eastAsia="uk-UA"/>
        </w:rPr>
      </w:pPr>
    </w:p>
    <w:p w14:paraId="42142719" w14:textId="77777777" w:rsidR="000F4FBD" w:rsidRPr="00184B53" w:rsidRDefault="000F4FBD" w:rsidP="000F4FB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1A2CC220" w14:textId="77777777" w:rsidR="000F4FBD" w:rsidRPr="00BD71D9" w:rsidRDefault="000F4FBD" w:rsidP="00AE2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42200983" w14:textId="77777777" w:rsidR="000F4FBD" w:rsidRPr="00D275F6" w:rsidRDefault="000F4FBD" w:rsidP="000F4FBD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uk-UA" w:eastAsia="en-US"/>
        </w:rPr>
      </w:pPr>
    </w:p>
    <w:p w14:paraId="6219AFCB" w14:textId="77777777" w:rsidR="000F4FBD" w:rsidRPr="00184B53" w:rsidRDefault="000F4FBD" w:rsidP="000F4FBD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0E79EA59" w14:textId="40C3BB97" w:rsidR="000F4FBD" w:rsidRPr="00BC6A95" w:rsidRDefault="00BC6A95" w:rsidP="00BC6A9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 </w:t>
      </w:r>
      <w:r w:rsidR="000F4FBD"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76200583" w14:textId="77777777" w:rsidR="000F4FBD" w:rsidRPr="00D275F6" w:rsidRDefault="000F4FBD" w:rsidP="000F4FBD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16"/>
          <w:szCs w:val="16"/>
          <w:shd w:val="clear" w:color="auto" w:fill="FFFFFF"/>
          <w:lang w:val="uk-UA" w:eastAsia="en-US"/>
        </w:rPr>
      </w:pPr>
    </w:p>
    <w:p w14:paraId="458060BC" w14:textId="77777777" w:rsidR="000F4FBD" w:rsidRPr="00184B53" w:rsidRDefault="000F4FBD" w:rsidP="000F4FBD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089F9D5B" w14:textId="1A7C27FF" w:rsidR="000F4FBD" w:rsidRPr="00BC6A95" w:rsidRDefault="000F4FBD" w:rsidP="00BC6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BC6A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Даним </w:t>
      </w:r>
      <w:proofErr w:type="spellStart"/>
      <w:r w:rsidRPr="00BC6A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про</w:t>
      </w:r>
      <w:r w:rsidR="00BC6A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є</w:t>
      </w:r>
      <w:r w:rsidRPr="00BC6A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ктом</w:t>
      </w:r>
      <w:proofErr w:type="spellEnd"/>
      <w:r w:rsidRPr="00BC6A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рішення збільшується фінансування на  300,0 тис. грн. по заходу «Матеріальне технічне забезпечення», у зв’язку з чим загальний обсяг фінансових ресурсів для реалізації Програми в 2026 році буде становити 15 399,0 тис. грн.</w:t>
      </w:r>
    </w:p>
    <w:p w14:paraId="6E64647A" w14:textId="77777777" w:rsidR="000F4FBD" w:rsidRPr="00D275F6" w:rsidRDefault="000F4FBD" w:rsidP="00BC6A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val="uk-UA" w:eastAsia="en-US"/>
        </w:rPr>
      </w:pPr>
    </w:p>
    <w:p w14:paraId="1C6F93E9" w14:textId="77777777" w:rsidR="000F4FBD" w:rsidRPr="00184B53" w:rsidRDefault="000F4FBD" w:rsidP="000F4FBD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7F8A0138" w14:textId="77777777" w:rsidR="000F4FBD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6C5DCEA8" w14:textId="5FC861AD" w:rsidR="000F4FBD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</w:t>
      </w:r>
      <w:r w:rsidR="00372B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щ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ення технічного стану даху будівлі Броварського РУП.</w:t>
      </w:r>
    </w:p>
    <w:p w14:paraId="65CDF30C" w14:textId="77777777" w:rsidR="000F4FBD" w:rsidRPr="00457CBA" w:rsidRDefault="000F4FBD" w:rsidP="000F4FBD">
      <w:pPr>
        <w:spacing w:after="0" w:line="216" w:lineRule="auto"/>
        <w:ind w:right="14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8F2027B" w14:textId="77777777" w:rsidR="000F4FBD" w:rsidRPr="00184B53" w:rsidRDefault="000F4FBD" w:rsidP="000F4FBD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755EA78" w14:textId="77777777" w:rsidR="000F4FBD" w:rsidRPr="00184B53" w:rsidRDefault="000F4FBD" w:rsidP="000F4FBD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6. Суб’єкт подання проекту рішення.</w:t>
      </w:r>
    </w:p>
    <w:p w14:paraId="6610E9DD" w14:textId="77777777" w:rsidR="000F4FBD" w:rsidRPr="00D275F6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1E8AF2F" w14:textId="780DBB43" w:rsidR="000F4FBD" w:rsidRPr="00D275F6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Доповідач: Василь </w:t>
      </w:r>
      <w:r w:rsid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ДОВГАНЬ</w:t>
      </w:r>
      <w:r w:rsidRP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6956721" w14:textId="3A8B9892" w:rsidR="000F4FBD" w:rsidRPr="00D275F6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Відповідальна особа за підготовку проекту рішення: Олександр </w:t>
      </w:r>
      <w:r w:rsidR="00AB417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ПІДПОКРОВНИЙ</w:t>
      </w:r>
      <w:r w:rsidRPr="00D275F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CA23AA5" w14:textId="77777777" w:rsidR="000F4FBD" w:rsidRPr="00D275F6" w:rsidRDefault="000F4FBD" w:rsidP="00D27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26B0CE18" w14:textId="77777777" w:rsidR="000F4FBD" w:rsidRDefault="000F4FBD" w:rsidP="000F4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67DF35D3" w14:textId="77777777" w:rsidR="000F4FBD" w:rsidRPr="00946C85" w:rsidRDefault="000F4FBD" w:rsidP="000F4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17"/>
        <w:gridCol w:w="992"/>
        <w:gridCol w:w="993"/>
        <w:gridCol w:w="1417"/>
        <w:gridCol w:w="1701"/>
        <w:gridCol w:w="992"/>
        <w:gridCol w:w="993"/>
      </w:tblGrid>
      <w:tr w:rsidR="000F4FBD" w:rsidRPr="00946C85" w14:paraId="0C20A225" w14:textId="77777777" w:rsidTr="00F17782">
        <w:trPr>
          <w:trHeight w:val="452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7F3" w14:textId="77777777" w:rsidR="000F4FBD" w:rsidRPr="00555831" w:rsidRDefault="000F4FBD" w:rsidP="00A95E30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AF7B" w14:textId="77777777" w:rsidR="000F4FBD" w:rsidRPr="00946C85" w:rsidRDefault="000F4FBD" w:rsidP="00A9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BC7" w14:textId="77777777" w:rsidR="000F4FBD" w:rsidRPr="00946C85" w:rsidRDefault="000F4FBD" w:rsidP="00A95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0F4FBD" w:rsidRPr="00946C85" w14:paraId="2091A703" w14:textId="77777777" w:rsidTr="00F17782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188B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212F61B1" w14:textId="77777777" w:rsidR="000F4FBD" w:rsidRPr="00B30DD7" w:rsidRDefault="000F4FBD" w:rsidP="00A95E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8AEF" w14:textId="77777777" w:rsidR="000F4FBD" w:rsidRPr="00555831" w:rsidRDefault="000F4FBD" w:rsidP="00A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F2D" w14:textId="77777777" w:rsidR="000F4FBD" w:rsidRPr="00F323AD" w:rsidRDefault="000F4FBD" w:rsidP="00A95E30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1873FEB6" w14:textId="77777777" w:rsidR="000F4FBD" w:rsidRPr="00082E48" w:rsidRDefault="000F4FBD" w:rsidP="00A95E30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C08" w14:textId="77777777" w:rsidR="000F4FBD" w:rsidRPr="00946C85" w:rsidRDefault="000F4FBD" w:rsidP="00A95E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4114A66C" w14:textId="77777777" w:rsidR="000F4FBD" w:rsidRPr="00F323AD" w:rsidRDefault="000F4FBD" w:rsidP="00A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50415D11" w14:textId="77777777" w:rsidR="000F4FBD" w:rsidRPr="00DE5DA7" w:rsidRDefault="000F4FBD" w:rsidP="00A9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B3A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090B" w14:textId="77777777" w:rsidR="000F4FBD" w:rsidRPr="00AA3E12" w:rsidRDefault="000F4FBD" w:rsidP="00A95E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23FCD745" w14:textId="77777777" w:rsidR="000F4FBD" w:rsidRPr="00DE5DA7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79A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D800" w14:textId="77777777" w:rsidR="000F4FBD" w:rsidRPr="00946C85" w:rsidRDefault="000F4FBD" w:rsidP="00A95E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739B55A8" w14:textId="77777777" w:rsidR="000F4FBD" w:rsidRPr="00946C85" w:rsidRDefault="000F4FBD" w:rsidP="00A95E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02F" w14:textId="77777777" w:rsidR="000F4FBD" w:rsidRPr="00946C85" w:rsidRDefault="000F4FBD" w:rsidP="00A95E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00A3A22F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0F4FBD" w14:paraId="4C773FBE" w14:textId="77777777" w:rsidTr="00F17782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F1F0" w14:textId="77777777" w:rsidR="000F4FBD" w:rsidRDefault="000F4FBD" w:rsidP="00A95E3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4CFC" w14:textId="77777777" w:rsidR="000F4FBD" w:rsidRDefault="000F4FBD" w:rsidP="00A95E3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1A4" w14:textId="77777777" w:rsidR="000F4FBD" w:rsidRDefault="000F4FBD" w:rsidP="00A95E30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13E" w14:textId="77777777" w:rsidR="000F4FBD" w:rsidRDefault="000F4FBD" w:rsidP="00A95E30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39C" w14:textId="77777777" w:rsidR="000F4FBD" w:rsidRPr="00B81FD7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7547F15" w14:textId="77777777" w:rsidR="000F4FBD" w:rsidRPr="00B81FD7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4F9C0013" w14:textId="77777777" w:rsidR="000F4FBD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2EBBC2A1" w14:textId="77777777" w:rsidR="000F4FBD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4265946" w14:textId="77777777" w:rsidR="000F4FBD" w:rsidRPr="00B81FD7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E3BDADF" w14:textId="77777777" w:rsidR="000F4FBD" w:rsidRPr="00B81FD7" w:rsidRDefault="000F4FBD" w:rsidP="00A95E30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+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3</w:t>
            </w: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45F" w14:textId="77777777" w:rsidR="000F4FBD" w:rsidRPr="0043480D" w:rsidRDefault="000F4FBD" w:rsidP="00A95E30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Матеріальн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е-</w:t>
            </w:r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технічне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>забезпечення</w:t>
            </w:r>
            <w:proofErr w:type="spellEnd"/>
            <w:r w:rsidRPr="00A637C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Броварського РУП ГУНП</w:t>
            </w:r>
          </w:p>
          <w:p w14:paraId="5070E7FD" w14:textId="77777777" w:rsidR="000F4FBD" w:rsidRPr="00A637C1" w:rsidRDefault="000F4FBD" w:rsidP="00A95E30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8D5" w14:textId="77777777" w:rsidR="000F4FBD" w:rsidRPr="0043480D" w:rsidRDefault="000F4FBD" w:rsidP="00A95E30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Виготовлення проектної документації по ремонту даху будівлі Броварського РУП</w:t>
            </w:r>
          </w:p>
          <w:p w14:paraId="60D9B7A3" w14:textId="77777777" w:rsidR="000F4FBD" w:rsidRPr="00877E6F" w:rsidRDefault="000F4FBD" w:rsidP="00A95E30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D444" w14:textId="77777777" w:rsidR="000F4FBD" w:rsidRPr="00946C85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52E9E555" w14:textId="77777777" w:rsidR="000F4FBD" w:rsidRPr="00946C85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20FC34B" w14:textId="77777777" w:rsidR="000F4FBD" w:rsidRPr="00946C85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1C41725" w14:textId="77777777" w:rsidR="000F4FBD" w:rsidRPr="00946C85" w:rsidRDefault="000F4FBD" w:rsidP="00A95E30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AB8CCDE" w14:textId="77777777" w:rsidR="000F4FBD" w:rsidRPr="00946C85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E98461A" w14:textId="77777777" w:rsidR="000F4FBD" w:rsidRPr="00BD71D9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0A" w14:textId="77777777" w:rsidR="000F4FBD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76DDF12" w14:textId="77777777" w:rsidR="000F4FBD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2D139779" w14:textId="77777777" w:rsidR="000F4FBD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3A6BFF1" w14:textId="77777777" w:rsidR="000F4FBD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F1E693B" w14:textId="77777777" w:rsidR="000F4FBD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1CB7A665" w14:textId="77777777" w:rsidR="000F4FBD" w:rsidRPr="00BD71D9" w:rsidRDefault="000F4FBD" w:rsidP="00A95E30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300,0</w:t>
            </w:r>
          </w:p>
        </w:tc>
      </w:tr>
      <w:tr w:rsidR="000F4FBD" w:rsidRPr="00946C85" w14:paraId="5C467158" w14:textId="77777777" w:rsidTr="00F1778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7B4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E967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D30E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A98" w14:textId="77777777" w:rsidR="000F4FBD" w:rsidRPr="00893913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uk-UA"/>
              </w:rPr>
            </w:pP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 3</w:t>
            </w: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00,0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3276" w14:textId="77777777" w:rsidR="000F4FBD" w:rsidRPr="00946C85" w:rsidRDefault="000F4FBD" w:rsidP="00A9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927" w14:textId="77777777" w:rsidR="000F4FBD" w:rsidRPr="00946C85" w:rsidRDefault="000F4FBD" w:rsidP="00A95E30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6787" w14:textId="77777777" w:rsidR="000F4FBD" w:rsidRPr="00893913" w:rsidRDefault="000F4FBD" w:rsidP="00A95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99,0</w:t>
            </w:r>
          </w:p>
        </w:tc>
      </w:tr>
    </w:tbl>
    <w:p w14:paraId="15772BDE" w14:textId="77777777" w:rsidR="000F4FBD" w:rsidRPr="00946C85" w:rsidRDefault="000F4FBD" w:rsidP="000F4FBD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17DA9089" w14:textId="77777777" w:rsidR="000F4FBD" w:rsidRDefault="000F4FBD" w:rsidP="000F4FBD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36E783AE" w14:textId="77777777" w:rsidR="000F4FBD" w:rsidRDefault="000F4FBD" w:rsidP="000F4FBD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6AB36E9E" w14:textId="77777777" w:rsidR="000F4FBD" w:rsidRPr="00946C85" w:rsidRDefault="000F4FBD" w:rsidP="000F4FBD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00A79D63" w14:textId="77777777" w:rsidR="000F4FBD" w:rsidRPr="00244FF9" w:rsidRDefault="000F4FBD" w:rsidP="000F4FB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9D3CCEC" w14:textId="6DA8B9D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F4FBD"/>
    <w:rsid w:val="00126B69"/>
    <w:rsid w:val="001A3FF0"/>
    <w:rsid w:val="00244FF9"/>
    <w:rsid w:val="003613A9"/>
    <w:rsid w:val="00361CD8"/>
    <w:rsid w:val="00372B2C"/>
    <w:rsid w:val="00471BDB"/>
    <w:rsid w:val="00525C68"/>
    <w:rsid w:val="005B1C08"/>
    <w:rsid w:val="005E1BAA"/>
    <w:rsid w:val="005F334B"/>
    <w:rsid w:val="00696599"/>
    <w:rsid w:val="006C396C"/>
    <w:rsid w:val="00737BE6"/>
    <w:rsid w:val="0074644B"/>
    <w:rsid w:val="007E7FBA"/>
    <w:rsid w:val="00827775"/>
    <w:rsid w:val="00881846"/>
    <w:rsid w:val="008D63FB"/>
    <w:rsid w:val="009B7D79"/>
    <w:rsid w:val="009C0EEF"/>
    <w:rsid w:val="00A218AE"/>
    <w:rsid w:val="00A92406"/>
    <w:rsid w:val="00AB417D"/>
    <w:rsid w:val="00AE2F29"/>
    <w:rsid w:val="00B35D4C"/>
    <w:rsid w:val="00B46089"/>
    <w:rsid w:val="00B80167"/>
    <w:rsid w:val="00BC6A95"/>
    <w:rsid w:val="00BF6942"/>
    <w:rsid w:val="00D275F6"/>
    <w:rsid w:val="00D5049E"/>
    <w:rsid w:val="00D92C45"/>
    <w:rsid w:val="00DD7BFD"/>
    <w:rsid w:val="00E4597B"/>
    <w:rsid w:val="00F17782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21</cp:revision>
  <dcterms:created xsi:type="dcterms:W3CDTF">2021-03-03T14:03:00Z</dcterms:created>
  <dcterms:modified xsi:type="dcterms:W3CDTF">2026-07-07T08:11:00Z</dcterms:modified>
</cp:coreProperties>
</file>