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FE9B" w14:textId="77777777" w:rsidR="008B124E" w:rsidRDefault="008B124E" w:rsidP="00CE6001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26633796"/>
    </w:p>
    <w:p w14:paraId="62087F76" w14:textId="77777777" w:rsidR="008B124E" w:rsidRDefault="008B124E" w:rsidP="00CE6001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981E0B" w14:textId="77777777" w:rsidR="00CE6001" w:rsidRDefault="00CE6001" w:rsidP="00CE6001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1C54AA3" w14:textId="77777777" w:rsidR="00CE6001" w:rsidRPr="003E57E8" w:rsidRDefault="00CE6001" w:rsidP="00CE6001">
      <w:pPr>
        <w:spacing w:after="0" w:line="240" w:lineRule="auto"/>
        <w:ind w:left="-142" w:right="-284" w:firstLine="567"/>
        <w:contextualSpacing/>
        <w:jc w:val="center"/>
        <w:rPr>
          <w:rFonts w:ascii="Times New Roman" w:hAnsi="Times New Roman"/>
          <w:sz w:val="12"/>
          <w:szCs w:val="12"/>
          <w:lang w:val="uk-UA"/>
        </w:rPr>
      </w:pPr>
    </w:p>
    <w:p w14:paraId="48CD235C" w14:textId="77777777" w:rsidR="00CE6001" w:rsidRDefault="00CE6001" w:rsidP="00CE6001">
      <w:pPr>
        <w:spacing w:after="0"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Pr="00FB0ACE">
        <w:rPr>
          <w:rFonts w:ascii="Times New Roman" w:hAnsi="Times New Roman" w:cs="Times New Roman"/>
          <w:b/>
          <w:sz w:val="28"/>
          <w:szCs w:val="28"/>
        </w:rPr>
        <w:t>Програми будівництва, капітального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соціально – культурного призначення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територіальної громади </w:t>
      </w:r>
    </w:p>
    <w:p w14:paraId="00D25997" w14:textId="77777777" w:rsidR="00CE6001" w:rsidRPr="00FB0ACE" w:rsidRDefault="00CE6001" w:rsidP="00CE6001">
      <w:pPr>
        <w:spacing w:after="0" w:line="240" w:lineRule="auto"/>
        <w:ind w:left="-142" w:firstLine="5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0C3AF2E" w14:textId="77777777" w:rsidR="00CE6001" w:rsidRPr="002116A3" w:rsidRDefault="00CE6001" w:rsidP="00CE600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6A3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2116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116A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0E242978" w14:textId="77777777" w:rsidR="00CE6001" w:rsidRPr="003E57E8" w:rsidRDefault="00CE6001" w:rsidP="00CE6001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1C579096" w14:textId="77777777" w:rsidR="00CE6001" w:rsidRDefault="00CE6001" w:rsidP="00CE6001">
      <w:pPr>
        <w:pStyle w:val="a5"/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</w:p>
    <w:p w14:paraId="66529E39" w14:textId="02CEF846" w:rsidR="00CE6001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Здійснюємо перерозподіл видатків в</w:t>
      </w:r>
      <w:r w:rsidRPr="007B3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п.1.1.4. </w:t>
      </w:r>
      <w:r w:rsidRPr="003E57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та поточний ремонти внутрішньоквартальних міжбудинкових проіздів,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>», а саме, зменшуємо видатки по цільовому фонду бюджету на «90,00» тис.грн та збільшуємо їх для фінансування «</w:t>
      </w:r>
      <w:r w:rsidRPr="00A158A0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158A0">
        <w:rPr>
          <w:rFonts w:ascii="Times New Roman" w:hAnsi="Times New Roman" w:cs="Times New Roman"/>
          <w:sz w:val="28"/>
          <w:szCs w:val="28"/>
          <w:lang w:val="uk-UA"/>
        </w:rPr>
        <w:t xml:space="preserve">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Для продовження розпочатих робіт з капітального ремонту </w:t>
      </w:r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 міжбудинкових проіздів,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об</w:t>
      </w:r>
      <w:r w:rsidRPr="007B3B4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єктах по вулицях Лагунової,17,19; Грушевського (15-21); Олімпійська,6,6А, збільшуємо видатки по загальному фонду на «8600,00» тис.грн</w:t>
      </w:r>
      <w:r w:rsidR="00240A9A">
        <w:rPr>
          <w:rFonts w:ascii="Times New Roman" w:hAnsi="Times New Roman" w:cs="Times New Roman"/>
          <w:sz w:val="28"/>
          <w:szCs w:val="28"/>
          <w:lang w:val="uk-UA"/>
        </w:rPr>
        <w:t xml:space="preserve">  без виділення додаткового фінансування.</w:t>
      </w:r>
    </w:p>
    <w:p w14:paraId="4FDE1DCA" w14:textId="77777777" w:rsidR="00F00DC9" w:rsidRPr="00F00DC9" w:rsidRDefault="00F00DC9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8CDD18" w14:textId="77777777" w:rsidR="00CE6001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590A9E8F" w14:textId="114E921F" w:rsidR="00CE6001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Здійснити фінансування за видатками «</w:t>
      </w:r>
      <w:r w:rsidRPr="00A158A0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158A0">
        <w:rPr>
          <w:rFonts w:ascii="Times New Roman" w:hAnsi="Times New Roman" w:cs="Times New Roman"/>
          <w:sz w:val="28"/>
          <w:szCs w:val="28"/>
          <w:lang w:val="uk-UA"/>
        </w:rPr>
        <w:t xml:space="preserve">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шляхом перерозподілу фінансування між програмами. Продовжити роботи з капітального ремонту </w:t>
      </w:r>
      <w:r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 міжбудинкових проіздів,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об</w:t>
      </w:r>
      <w:r w:rsidRPr="007B3B4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єктах по вулицях Лагунової</w:t>
      </w:r>
      <w:r w:rsidR="00F00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17,</w:t>
      </w:r>
      <w:r w:rsidR="00F00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19; Грушевського (15-21); Олімпійська</w:t>
      </w:r>
      <w:r w:rsidR="00F00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F00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6А.</w:t>
      </w:r>
    </w:p>
    <w:p w14:paraId="7EF6DA55" w14:textId="77777777" w:rsidR="00F00DC9" w:rsidRPr="00F00DC9" w:rsidRDefault="00F00DC9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771C0AD" w14:textId="77777777" w:rsidR="00CE6001" w:rsidRPr="00FA304F" w:rsidRDefault="00CE6001" w:rsidP="00CE600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31F94F77" w14:textId="77777777" w:rsidR="00CE6001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446A5EEC" w14:textId="77777777" w:rsidR="00CE6001" w:rsidRPr="003E57E8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12"/>
          <w:szCs w:val="12"/>
          <w:lang w:val="uk-UA" w:eastAsia="uk-UA"/>
        </w:rPr>
      </w:pPr>
    </w:p>
    <w:bookmarkEnd w:id="4"/>
    <w:p w14:paraId="3FC863A5" w14:textId="77777777" w:rsidR="00CE6001" w:rsidRPr="00FA304F" w:rsidRDefault="00CE6001" w:rsidP="00CE6001">
      <w:pPr>
        <w:pStyle w:val="a5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</w:t>
      </w:r>
    </w:p>
    <w:p w14:paraId="05A3779A" w14:textId="57ABADA8" w:rsidR="00CE6001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>
        <w:rPr>
          <w:rFonts w:ascii="Times New Roman" w:hAnsi="Times New Roman"/>
          <w:sz w:val="28"/>
          <w:szCs w:val="28"/>
          <w:lang w:val="uk-UA"/>
        </w:rPr>
        <w:t>464 876,471</w:t>
      </w:r>
      <w:r w:rsidRPr="00FA304F">
        <w:rPr>
          <w:rFonts w:ascii="Times New Roman" w:hAnsi="Times New Roman"/>
          <w:sz w:val="28"/>
          <w:szCs w:val="28"/>
          <w:lang w:val="uk-UA"/>
        </w:rPr>
        <w:t>» тис.грн</w:t>
      </w:r>
      <w:r w:rsidR="00240A9A">
        <w:rPr>
          <w:rFonts w:ascii="Times New Roman" w:hAnsi="Times New Roman"/>
          <w:sz w:val="28"/>
          <w:szCs w:val="28"/>
          <w:lang w:val="uk-UA"/>
        </w:rPr>
        <w:t xml:space="preserve">, перерозподіл коштів </w:t>
      </w:r>
      <w:r w:rsidR="00240A9A">
        <w:rPr>
          <w:rFonts w:ascii="Times New Roman" w:hAnsi="Times New Roman" w:cs="Times New Roman"/>
          <w:sz w:val="28"/>
          <w:szCs w:val="28"/>
          <w:lang w:val="uk-UA"/>
        </w:rPr>
        <w:t>без виділення додаткового фінансування</w:t>
      </w:r>
      <w:r w:rsidR="00240A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300D6F" w14:textId="77777777" w:rsidR="00CE6001" w:rsidRPr="003E57E8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sz w:val="12"/>
          <w:szCs w:val="12"/>
          <w:lang w:val="uk-UA"/>
        </w:rPr>
      </w:pPr>
    </w:p>
    <w:bookmarkEnd w:id="5"/>
    <w:p w14:paraId="2D8047E6" w14:textId="77777777" w:rsidR="00CE6001" w:rsidRPr="00FA304F" w:rsidRDefault="00CE6001" w:rsidP="00CE6001">
      <w:pPr>
        <w:pStyle w:val="a5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14:paraId="2D52FDAD" w14:textId="13167EA8" w:rsidR="00CE6001" w:rsidRDefault="00F00DC9" w:rsidP="00F00DC9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 xml:space="preserve">родовження робіт з капітального ремонту </w:t>
      </w:r>
      <w:r w:rsidR="00CE6001" w:rsidRPr="003E57E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 міжбудинкових проіздів, тротуарів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 xml:space="preserve"> на об</w:t>
      </w:r>
      <w:r w:rsidR="00CE6001" w:rsidRPr="007B3B4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>єктах по вулицях Лагунової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>17,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>19; Грушевського (15-21); Олімпійська</w:t>
      </w:r>
      <w:r w:rsidR="00243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243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6001">
        <w:rPr>
          <w:rFonts w:ascii="Times New Roman" w:hAnsi="Times New Roman" w:cs="Times New Roman"/>
          <w:sz w:val="28"/>
          <w:szCs w:val="28"/>
          <w:lang w:val="uk-UA"/>
        </w:rPr>
        <w:t>6А.</w:t>
      </w:r>
    </w:p>
    <w:p w14:paraId="769C67ED" w14:textId="77777777" w:rsidR="0070452C" w:rsidRDefault="0070452C" w:rsidP="00F00DC9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4BD36D" w14:textId="77777777" w:rsidR="0070452C" w:rsidRDefault="0070452C" w:rsidP="00F00DC9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FADED5" w14:textId="77777777" w:rsidR="0070452C" w:rsidRDefault="0070452C" w:rsidP="00F00DC9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5EE91" w14:textId="77777777" w:rsidR="0070452C" w:rsidRPr="00734F1D" w:rsidRDefault="0070452C" w:rsidP="00F00DC9">
      <w:pPr>
        <w:pStyle w:val="a5"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DA9563" w14:textId="77777777" w:rsidR="00CE6001" w:rsidRPr="003E57E8" w:rsidRDefault="00CE6001" w:rsidP="00CE6001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12"/>
          <w:szCs w:val="12"/>
          <w:lang w:val="uk-UA"/>
        </w:rPr>
      </w:pPr>
    </w:p>
    <w:p w14:paraId="53A1D200" w14:textId="77777777" w:rsidR="00CE6001" w:rsidRPr="00240E1A" w:rsidRDefault="00CE6001" w:rsidP="00CE6001">
      <w:pPr>
        <w:pStyle w:val="a5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b/>
          <w:sz w:val="28"/>
          <w:szCs w:val="28"/>
          <w:lang w:val="uk-UA"/>
        </w:rPr>
        <w:t>кту рішення</w:t>
      </w:r>
    </w:p>
    <w:p w14:paraId="02023E71" w14:textId="77777777" w:rsidR="00CE6001" w:rsidRPr="00240E1A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End w:id="1"/>
      <w:bookmarkEnd w:id="2"/>
      <w:bookmarkEnd w:id="3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2B2232DE" w14:textId="77777777" w:rsidR="00CE6001" w:rsidRDefault="00CE6001" w:rsidP="00CE6001">
      <w:pPr>
        <w:pStyle w:val="a5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/>
          <w:sz w:val="28"/>
          <w:szCs w:val="28"/>
          <w:lang w:val="uk-UA"/>
        </w:rPr>
        <w:t>Олена ДРАНА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планування та обліку управління будівництва, житлово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6"/>
    </w:p>
    <w:p w14:paraId="5A0642DE" w14:textId="77777777" w:rsidR="00CE6001" w:rsidRPr="003E57E8" w:rsidRDefault="00CE6001" w:rsidP="00CE600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D4035C9" w14:textId="77777777" w:rsidR="00CE6001" w:rsidRPr="007A3BFC" w:rsidRDefault="00CE6001" w:rsidP="00CE6001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686"/>
        <w:gridCol w:w="1276"/>
        <w:gridCol w:w="1275"/>
        <w:gridCol w:w="1276"/>
        <w:gridCol w:w="1610"/>
      </w:tblGrid>
      <w:tr w:rsidR="00CE6001" w:rsidRPr="007A3BFC" w14:paraId="0C9D78D9" w14:textId="77777777" w:rsidTr="00CC0FEE">
        <w:trPr>
          <w:trHeight w:val="228"/>
          <w:jc w:val="center"/>
        </w:trPr>
        <w:tc>
          <w:tcPr>
            <w:tcW w:w="619" w:type="dxa"/>
            <w:vMerge w:val="restart"/>
            <w:noWrap/>
            <w:hideMark/>
          </w:tcPr>
          <w:p w14:paraId="635C3284" w14:textId="77777777" w:rsidR="00CE6001" w:rsidRPr="007A3BFC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noWrap/>
            <w:hideMark/>
          </w:tcPr>
          <w:p w14:paraId="630ACB44" w14:textId="77777777" w:rsidR="00CE6001" w:rsidRPr="003E57E8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Заходи </w:t>
            </w:r>
          </w:p>
          <w:p w14:paraId="3024DD53" w14:textId="77777777" w:rsidR="00CE6001" w:rsidRPr="003E57E8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Програми та їх фінансування </w:t>
            </w:r>
          </w:p>
        </w:tc>
        <w:tc>
          <w:tcPr>
            <w:tcW w:w="3827" w:type="dxa"/>
            <w:gridSpan w:val="3"/>
          </w:tcPr>
          <w:p w14:paraId="114B8907" w14:textId="77777777" w:rsidR="00CE6001" w:rsidRPr="007A3BFC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610" w:type="dxa"/>
            <w:vMerge w:val="restart"/>
          </w:tcPr>
          <w:p w14:paraId="19D49D26" w14:textId="77777777" w:rsidR="00CE6001" w:rsidRPr="007A3BFC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CE6001" w:rsidRPr="007A3BFC" w14:paraId="7B84AF77" w14:textId="77777777" w:rsidTr="00CC0FEE">
        <w:trPr>
          <w:trHeight w:val="228"/>
          <w:jc w:val="center"/>
        </w:trPr>
        <w:tc>
          <w:tcPr>
            <w:tcW w:w="619" w:type="dxa"/>
            <w:vMerge/>
            <w:noWrap/>
          </w:tcPr>
          <w:p w14:paraId="1031DF99" w14:textId="77777777" w:rsidR="00CE6001" w:rsidRPr="007A3BFC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noWrap/>
          </w:tcPr>
          <w:p w14:paraId="645B9DFD" w14:textId="77777777" w:rsidR="00CE6001" w:rsidRPr="003E57E8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C8CF99" w14:textId="77777777" w:rsidR="00CE6001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275" w:type="dxa"/>
          </w:tcPr>
          <w:p w14:paraId="17D0EE83" w14:textId="77777777" w:rsidR="00CE6001" w:rsidRPr="007A3BFC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6" w:type="dxa"/>
          </w:tcPr>
          <w:p w14:paraId="455AC778" w14:textId="77777777" w:rsidR="00CE6001" w:rsidRPr="007A3BFC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610" w:type="dxa"/>
            <w:vMerge/>
          </w:tcPr>
          <w:p w14:paraId="46A3230E" w14:textId="77777777" w:rsidR="00CE6001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6001" w:rsidRPr="007A3BFC" w14:paraId="0DBCB575" w14:textId="77777777" w:rsidTr="00CC0FEE">
        <w:trPr>
          <w:trHeight w:val="142"/>
          <w:jc w:val="center"/>
        </w:trPr>
        <w:tc>
          <w:tcPr>
            <w:tcW w:w="619" w:type="dxa"/>
            <w:noWrap/>
            <w:hideMark/>
          </w:tcPr>
          <w:p w14:paraId="2C4C7133" w14:textId="77777777" w:rsidR="00CE6001" w:rsidRPr="007A3BFC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noWrap/>
            <w:hideMark/>
          </w:tcPr>
          <w:p w14:paraId="0B9F8CDE" w14:textId="77777777" w:rsidR="00CE6001" w:rsidRPr="003E57E8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Всього</w:t>
            </w:r>
            <w:r w:rsidRPr="003E57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(тис.грн)</w:t>
            </w:r>
          </w:p>
        </w:tc>
        <w:tc>
          <w:tcPr>
            <w:tcW w:w="1276" w:type="dxa"/>
            <w:noWrap/>
          </w:tcPr>
          <w:p w14:paraId="02EBE43D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456 366,471</w:t>
            </w:r>
          </w:p>
        </w:tc>
        <w:tc>
          <w:tcPr>
            <w:tcW w:w="1275" w:type="dxa"/>
          </w:tcPr>
          <w:p w14:paraId="2E9FA57E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8 510,00</w:t>
            </w:r>
          </w:p>
        </w:tc>
        <w:tc>
          <w:tcPr>
            <w:tcW w:w="1276" w:type="dxa"/>
          </w:tcPr>
          <w:p w14:paraId="3D9CA87F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/>
                <w:sz w:val="20"/>
                <w:szCs w:val="20"/>
                <w:lang w:val="uk-UA"/>
              </w:rPr>
              <w:t>464 876,471</w:t>
            </w:r>
          </w:p>
        </w:tc>
        <w:tc>
          <w:tcPr>
            <w:tcW w:w="1610" w:type="dxa"/>
          </w:tcPr>
          <w:p w14:paraId="3DF8D2D3" w14:textId="77777777" w:rsidR="00CE6001" w:rsidRPr="007A3BFC" w:rsidRDefault="00CE6001" w:rsidP="000918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6001" w:rsidRPr="0059762F" w14:paraId="22C97B20" w14:textId="77777777" w:rsidTr="00CC0FEE">
        <w:trPr>
          <w:trHeight w:val="142"/>
          <w:jc w:val="center"/>
        </w:trPr>
        <w:tc>
          <w:tcPr>
            <w:tcW w:w="619" w:type="dxa"/>
            <w:noWrap/>
            <w:vAlign w:val="center"/>
          </w:tcPr>
          <w:p w14:paraId="1B8A03F3" w14:textId="77777777" w:rsidR="00CE6001" w:rsidRPr="00EA3327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EA33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86" w:type="dxa"/>
            <w:noWrap/>
            <w:vAlign w:val="center"/>
          </w:tcPr>
          <w:p w14:paraId="18C64ED5" w14:textId="77777777" w:rsidR="00CE6001" w:rsidRPr="00CC0FEE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uk-UA"/>
              </w:rPr>
            </w:pPr>
            <w:r w:rsidRPr="00CC0FEE">
              <w:rPr>
                <w:rFonts w:ascii="Times New Roman" w:hAnsi="Times New Roman" w:cs="Times New Roman"/>
                <w:bCs/>
                <w:color w:val="000000"/>
              </w:rPr>
              <w:t>Вулично - шляхова інфраструктура та благоустрій території</w:t>
            </w:r>
          </w:p>
        </w:tc>
        <w:tc>
          <w:tcPr>
            <w:tcW w:w="1276" w:type="dxa"/>
            <w:noWrap/>
          </w:tcPr>
          <w:p w14:paraId="0ACAF4C9" w14:textId="731B9F4C" w:rsidR="00CE6001" w:rsidRPr="008B2E8A" w:rsidRDefault="008B2E8A" w:rsidP="00845CFD">
            <w:pPr>
              <w:spacing w:after="0" w:line="240" w:lineRule="auto"/>
              <w:ind w:left="-103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 </w:t>
            </w:r>
            <w:r w:rsidR="00845CF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CE6001"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450</w:t>
            </w:r>
            <w:r w:rsidR="00845CF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CE6001"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166,471</w:t>
            </w:r>
          </w:p>
        </w:tc>
        <w:tc>
          <w:tcPr>
            <w:tcW w:w="1275" w:type="dxa"/>
          </w:tcPr>
          <w:p w14:paraId="271D675D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8 510,00</w:t>
            </w:r>
          </w:p>
        </w:tc>
        <w:tc>
          <w:tcPr>
            <w:tcW w:w="1276" w:type="dxa"/>
          </w:tcPr>
          <w:p w14:paraId="2E1311EF" w14:textId="3F81E325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458</w:t>
            </w:r>
            <w:r w:rsid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676,471</w:t>
            </w:r>
          </w:p>
        </w:tc>
        <w:tc>
          <w:tcPr>
            <w:tcW w:w="1610" w:type="dxa"/>
          </w:tcPr>
          <w:p w14:paraId="2CA3CBAD" w14:textId="77777777" w:rsidR="00CE6001" w:rsidRPr="00CC0FEE" w:rsidRDefault="00CE6001" w:rsidP="000918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CE6001" w:rsidRPr="0033467B" w14:paraId="3A0C3EEA" w14:textId="77777777" w:rsidTr="00CC0FEE">
        <w:trPr>
          <w:trHeight w:val="276"/>
          <w:jc w:val="center"/>
        </w:trPr>
        <w:tc>
          <w:tcPr>
            <w:tcW w:w="619" w:type="dxa"/>
            <w:noWrap/>
          </w:tcPr>
          <w:p w14:paraId="268534D9" w14:textId="77777777" w:rsidR="00CE6001" w:rsidRPr="008543CA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</w:pPr>
            <w:r w:rsidRPr="008543C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3686" w:type="dxa"/>
            <w:noWrap/>
          </w:tcPr>
          <w:p w14:paraId="5F49217A" w14:textId="77777777" w:rsidR="00CE6001" w:rsidRPr="00CC0FEE" w:rsidRDefault="00CE6001" w:rsidP="000918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C0FEE">
              <w:rPr>
                <w:rFonts w:ascii="Times New Roman" w:hAnsi="Times New Roman" w:cs="Times New Roman"/>
                <w:color w:val="000000"/>
              </w:rPr>
              <w:t>Нове будівництво, реконструкція, капітальний та поточний ремонти внутрішньоквартальних міжбудинкових проіздів, тротуарів</w:t>
            </w:r>
          </w:p>
        </w:tc>
        <w:tc>
          <w:tcPr>
            <w:tcW w:w="1276" w:type="dxa"/>
            <w:noWrap/>
          </w:tcPr>
          <w:p w14:paraId="13962B73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11 790,00</w:t>
            </w:r>
          </w:p>
        </w:tc>
        <w:tc>
          <w:tcPr>
            <w:tcW w:w="1275" w:type="dxa"/>
          </w:tcPr>
          <w:p w14:paraId="030DA45C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8 510,00</w:t>
            </w:r>
          </w:p>
        </w:tc>
        <w:tc>
          <w:tcPr>
            <w:tcW w:w="1276" w:type="dxa"/>
          </w:tcPr>
          <w:p w14:paraId="3D671F22" w14:textId="77777777" w:rsidR="00CE6001" w:rsidRPr="008B2E8A" w:rsidRDefault="00CE6001" w:rsidP="008B2E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B2E8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20 300,00</w:t>
            </w:r>
          </w:p>
        </w:tc>
        <w:tc>
          <w:tcPr>
            <w:tcW w:w="1610" w:type="dxa"/>
          </w:tcPr>
          <w:p w14:paraId="382240A8" w14:textId="7E71943F" w:rsidR="00CE6001" w:rsidRPr="00CC0FEE" w:rsidRDefault="00CE6001" w:rsidP="0009184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C0FEE">
              <w:rPr>
                <w:rFonts w:ascii="Times New Roman" w:hAnsi="Times New Roman" w:cs="Times New Roman"/>
                <w:lang w:val="uk-UA"/>
              </w:rPr>
              <w:t>вулицях Лагунової</w:t>
            </w:r>
            <w:r w:rsidR="00243882" w:rsidRPr="00CC0F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0FEE">
              <w:rPr>
                <w:rFonts w:ascii="Times New Roman" w:hAnsi="Times New Roman" w:cs="Times New Roman"/>
                <w:lang w:val="uk-UA"/>
              </w:rPr>
              <w:t>17,19; Грушевського (15-21); Олімпійська</w:t>
            </w:r>
            <w:r w:rsidR="00243882" w:rsidRPr="00CC0F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0FEE">
              <w:rPr>
                <w:rFonts w:ascii="Times New Roman" w:hAnsi="Times New Roman" w:cs="Times New Roman"/>
                <w:lang w:val="uk-UA"/>
              </w:rPr>
              <w:t>6,6А</w:t>
            </w:r>
          </w:p>
          <w:p w14:paraId="15174DB1" w14:textId="77777777" w:rsidR="00CE6001" w:rsidRPr="00CC0FEE" w:rsidRDefault="00CE6001" w:rsidP="00091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lang w:val="uk-UA"/>
              </w:rPr>
            </w:pPr>
          </w:p>
        </w:tc>
      </w:tr>
      <w:bookmarkEnd w:id="7"/>
      <w:bookmarkEnd w:id="8"/>
    </w:tbl>
    <w:p w14:paraId="02D67905" w14:textId="77777777" w:rsidR="00CE6001" w:rsidRDefault="00CE6001" w:rsidP="00CE6001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14:paraId="78ED5867" w14:textId="77777777" w:rsidR="00CE6001" w:rsidRPr="00244FF9" w:rsidRDefault="00CE6001" w:rsidP="00CE6001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bookmarkEnd w:id="0"/>
    <w:p w14:paraId="44657256" w14:textId="77777777" w:rsidR="00CE6001" w:rsidRPr="004F35B7" w:rsidRDefault="00CE6001" w:rsidP="00CE6001"/>
    <w:p w14:paraId="19D3CCEC" w14:textId="55401CA7" w:rsidR="009B7D79" w:rsidRPr="00CE6001" w:rsidRDefault="009B7D79" w:rsidP="00CE6001"/>
    <w:sectPr w:rsidR="009B7D79" w:rsidRPr="00CE6001" w:rsidSect="002116A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4761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775071">
    <w:abstractNumId w:val="1"/>
  </w:num>
  <w:num w:numId="3" w16cid:durableId="836578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E36A3"/>
    <w:rsid w:val="00126B69"/>
    <w:rsid w:val="001A3FF0"/>
    <w:rsid w:val="00240A9A"/>
    <w:rsid w:val="00243882"/>
    <w:rsid w:val="00244FF9"/>
    <w:rsid w:val="0028688B"/>
    <w:rsid w:val="003613A9"/>
    <w:rsid w:val="00361CD8"/>
    <w:rsid w:val="00525C68"/>
    <w:rsid w:val="005B1C08"/>
    <w:rsid w:val="005F334B"/>
    <w:rsid w:val="006262DF"/>
    <w:rsid w:val="00696599"/>
    <w:rsid w:val="006C396C"/>
    <w:rsid w:val="0070452C"/>
    <w:rsid w:val="0074644B"/>
    <w:rsid w:val="007E7FBA"/>
    <w:rsid w:val="00827775"/>
    <w:rsid w:val="008337FA"/>
    <w:rsid w:val="00845CFD"/>
    <w:rsid w:val="00881846"/>
    <w:rsid w:val="008B124E"/>
    <w:rsid w:val="008B2E8A"/>
    <w:rsid w:val="009B7D79"/>
    <w:rsid w:val="009C0EEF"/>
    <w:rsid w:val="00A218AE"/>
    <w:rsid w:val="00B35D4C"/>
    <w:rsid w:val="00B46089"/>
    <w:rsid w:val="00B80167"/>
    <w:rsid w:val="00BF6942"/>
    <w:rsid w:val="00CC0FEE"/>
    <w:rsid w:val="00CE6001"/>
    <w:rsid w:val="00D5049E"/>
    <w:rsid w:val="00D92C45"/>
    <w:rsid w:val="00DD7BFD"/>
    <w:rsid w:val="00F00DC9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AC7E6698-6216-4863-9AE1-0ADB05D1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CE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24</cp:revision>
  <dcterms:created xsi:type="dcterms:W3CDTF">2021-03-03T14:03:00Z</dcterms:created>
  <dcterms:modified xsi:type="dcterms:W3CDTF">2026-07-14T05:26:00Z</dcterms:modified>
</cp:coreProperties>
</file>