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A455" w14:textId="77777777" w:rsidR="00152ADC" w:rsidRPr="004727A6" w:rsidRDefault="00152ADC" w:rsidP="00152ADC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727A6">
        <w:rPr>
          <w:rFonts w:ascii="Times New Roman" w:hAnsi="Times New Roman" w:cs="Times New Roman"/>
          <w:b/>
          <w:sz w:val="28"/>
          <w:szCs w:val="28"/>
        </w:rPr>
        <w:t>Пояснювальна</w:t>
      </w:r>
      <w:proofErr w:type="spellEnd"/>
      <w:r w:rsidRPr="004727A6">
        <w:rPr>
          <w:rFonts w:ascii="Times New Roman" w:hAnsi="Times New Roman" w:cs="Times New Roman"/>
          <w:b/>
          <w:sz w:val="28"/>
          <w:szCs w:val="28"/>
        </w:rPr>
        <w:t xml:space="preserve"> записка </w:t>
      </w:r>
    </w:p>
    <w:p w14:paraId="487C1164" w14:textId="77777777" w:rsidR="00152ADC" w:rsidRPr="004727A6" w:rsidRDefault="00152ADC" w:rsidP="00152AD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727A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727A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7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7A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72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внесення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змін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підтримки</w:t>
      </w:r>
      <w:proofErr w:type="spellEnd"/>
    </w:p>
    <w:p w14:paraId="5AB4123A" w14:textId="77777777" w:rsidR="00152ADC" w:rsidRPr="004727A6" w:rsidRDefault="00152ADC" w:rsidP="00152ADC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Захисників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і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Захисниць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України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,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членів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сімей</w:t>
      </w:r>
      <w:proofErr w:type="spellEnd"/>
    </w:p>
    <w:p w14:paraId="492C204C" w14:textId="77777777" w:rsidR="00152ADC" w:rsidRDefault="00152ADC" w:rsidP="00152ADC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загиблих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на 2024- 2026 роки»</w:t>
      </w:r>
    </w:p>
    <w:p w14:paraId="3CDFECA9" w14:textId="77777777" w:rsidR="00152ADC" w:rsidRPr="004727A6" w:rsidRDefault="00152ADC" w:rsidP="00152ADC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7586DC31" w14:textId="77777777" w:rsidR="00152ADC" w:rsidRPr="004727A6" w:rsidRDefault="00152ADC" w:rsidP="00152AD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підготовлена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1BA4AF8" w14:textId="77777777" w:rsidR="00152ADC" w:rsidRPr="004727A6" w:rsidRDefault="00152ADC" w:rsidP="00152AD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B0001" w14:textId="77777777" w:rsidR="00152ADC" w:rsidRPr="00340E13" w:rsidRDefault="00152ADC" w:rsidP="00152ADC">
      <w:pPr>
        <w:pStyle w:val="a6"/>
        <w:numPr>
          <w:ilvl w:val="0"/>
          <w:numId w:val="2"/>
        </w:numPr>
        <w:tabs>
          <w:tab w:val="left" w:pos="851"/>
          <w:tab w:val="left" w:pos="9356"/>
        </w:tabs>
        <w:spacing w:line="240" w:lineRule="auto"/>
        <w:ind w:left="0"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0E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569C267D" w14:textId="77777777" w:rsidR="00152ADC" w:rsidRPr="005D7A39" w:rsidRDefault="00152ADC" w:rsidP="00152ADC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5D7A39">
        <w:rPr>
          <w:sz w:val="28"/>
          <w:szCs w:val="28"/>
        </w:rPr>
        <w:t>Станом на 0</w:t>
      </w:r>
      <w:r>
        <w:rPr>
          <w:sz w:val="28"/>
          <w:szCs w:val="28"/>
        </w:rPr>
        <w:t>5</w:t>
      </w:r>
      <w:r w:rsidRPr="005D7A3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D7A39">
        <w:rPr>
          <w:sz w:val="28"/>
          <w:szCs w:val="28"/>
        </w:rPr>
        <w:t xml:space="preserve">.2026 </w:t>
      </w:r>
      <w:r w:rsidRPr="004E4B7F">
        <w:rPr>
          <w:sz w:val="28"/>
          <w:szCs w:val="28"/>
        </w:rPr>
        <w:t>пільг</w:t>
      </w:r>
      <w:r>
        <w:rPr>
          <w:sz w:val="28"/>
          <w:szCs w:val="28"/>
        </w:rPr>
        <w:t>у</w:t>
      </w:r>
      <w:r w:rsidRPr="004E4B7F">
        <w:rPr>
          <w:sz w:val="28"/>
          <w:szCs w:val="28"/>
        </w:rPr>
        <w:t xml:space="preserve"> з оплати житлово-комунальних послуг у вигляді щомісячної грошової компенсації за рахунок коштів місцевого бюджету додатково до основної пільги пункту </w:t>
      </w:r>
      <w:r>
        <w:rPr>
          <w:sz w:val="28"/>
          <w:szCs w:val="28"/>
        </w:rPr>
        <w:t>(п.</w:t>
      </w:r>
      <w:r w:rsidRPr="004E4B7F">
        <w:rPr>
          <w:sz w:val="28"/>
          <w:szCs w:val="28"/>
        </w:rPr>
        <w:t>6.16 заходів Програми</w:t>
      </w:r>
      <w:r>
        <w:rPr>
          <w:sz w:val="28"/>
          <w:szCs w:val="28"/>
        </w:rPr>
        <w:t xml:space="preserve">) </w:t>
      </w:r>
      <w:r w:rsidRPr="005D7A39">
        <w:rPr>
          <w:sz w:val="28"/>
          <w:szCs w:val="28"/>
        </w:rPr>
        <w:t xml:space="preserve">отримують </w:t>
      </w:r>
      <w:r>
        <w:rPr>
          <w:sz w:val="28"/>
          <w:szCs w:val="28"/>
        </w:rPr>
        <w:t xml:space="preserve">300 </w:t>
      </w:r>
      <w:r w:rsidRPr="004E4B7F">
        <w:rPr>
          <w:sz w:val="28"/>
          <w:szCs w:val="28"/>
        </w:rPr>
        <w:t>член</w:t>
      </w:r>
      <w:r>
        <w:rPr>
          <w:sz w:val="28"/>
          <w:szCs w:val="28"/>
        </w:rPr>
        <w:t>ів</w:t>
      </w:r>
      <w:r w:rsidRPr="004E4B7F">
        <w:rPr>
          <w:sz w:val="28"/>
          <w:szCs w:val="28"/>
        </w:rPr>
        <w:t xml:space="preserve"> сімей загиблих (померлих) Захисників і Захисниць України</w:t>
      </w:r>
      <w:r w:rsidRPr="005D7A39">
        <w:rPr>
          <w:sz w:val="28"/>
          <w:szCs w:val="28"/>
        </w:rPr>
        <w:t>. З метою забезпечення безперервного та повного надання зазначеної допомоги</w:t>
      </w:r>
      <w:r>
        <w:rPr>
          <w:sz w:val="28"/>
          <w:szCs w:val="28"/>
        </w:rPr>
        <w:t>,</w:t>
      </w:r>
      <w:r w:rsidRPr="005D7A39">
        <w:rPr>
          <w:sz w:val="28"/>
          <w:szCs w:val="28"/>
        </w:rPr>
        <w:t xml:space="preserve"> пропонується збільшити обсяг фінансування заходу на </w:t>
      </w:r>
      <w:r>
        <w:rPr>
          <w:sz w:val="28"/>
          <w:szCs w:val="28"/>
        </w:rPr>
        <w:t>60</w:t>
      </w:r>
      <w:r w:rsidRPr="005D7A39">
        <w:rPr>
          <w:sz w:val="28"/>
          <w:szCs w:val="28"/>
        </w:rPr>
        <w:t>,0 тис. грн.</w:t>
      </w:r>
    </w:p>
    <w:p w14:paraId="3F7D7AA1" w14:textId="77777777" w:rsidR="00152ADC" w:rsidRPr="002175DC" w:rsidRDefault="00152ADC" w:rsidP="00152ADC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 початку року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одноразову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допомогу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вирішення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соціально-побутових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питань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(у тому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числі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на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встановлення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або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відшкодування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витрат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за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встановлення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надгробного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пам’ятника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) у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розмірі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50,0 тис.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грн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п.</w:t>
      </w:r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6.20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заходів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Програми</w:t>
      </w:r>
      <w:proofErr w:type="spellEnd"/>
      <w:r w:rsidRPr="00CA21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отримали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31</w:t>
      </w: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родин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</w:t>
      </w: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загиблих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Захисників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і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Захисниць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України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зв’язку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чим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річний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обсяг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фінансування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використано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в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повному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обсязі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14:paraId="4BD63792" w14:textId="77777777" w:rsidR="00152ADC" w:rsidRDefault="00152ADC" w:rsidP="00152ADC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</w:t>
      </w: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зв’язку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зі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звернен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ням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17</w:t>
      </w: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членів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родин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загиблих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виникла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потреба 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додатковому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фінансуванні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забезпечення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виплати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зазначеної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допомоги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обсязі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850,0</w:t>
      </w:r>
      <w:bookmarkStart w:id="0" w:name="_Hlk228896580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тис. грн.</w:t>
      </w:r>
    </w:p>
    <w:bookmarkEnd w:id="0"/>
    <w:p w14:paraId="741EC802" w14:textId="77777777" w:rsidR="00152ADC" w:rsidRPr="001C177F" w:rsidRDefault="00152ADC" w:rsidP="00152ADC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Пунктом 6.21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передбачено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реабілітацію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у тому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психологічну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адаптацію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Захисникам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Захисницям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отримали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поранення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(травму,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контузію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каліцтво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захворювання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відсічі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збройної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10,0 тис. грн.</w:t>
      </w:r>
      <w:r w:rsidRPr="00027D82">
        <w:t xml:space="preserve"> </w:t>
      </w:r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збільшенням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звернень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збереженням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високої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потреби у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лікуванні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Захисників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Захисниць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виникла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збільшенні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зазначеного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заходу на 300,0 тис. грн.</w:t>
      </w:r>
    </w:p>
    <w:p w14:paraId="5BEBEB1D" w14:textId="77777777" w:rsidR="00152ADC" w:rsidRPr="001C177F" w:rsidRDefault="00152ADC" w:rsidP="00152ADC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Пунктом 6.25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передбачено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терапевтичних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хірургічних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стоматологічних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зубопротезування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Захисникам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Захисницям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A79114" w14:textId="77777777" w:rsidR="00152ADC" w:rsidRPr="001C177F" w:rsidRDefault="00152ADC" w:rsidP="00152ADC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Комунальним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некомерційним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підприємством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Броварська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стоматологічна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поліклініка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укладено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ою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C177F">
        <w:rPr>
          <w:rFonts w:ascii="Times New Roman" w:eastAsia="Times New Roman" w:hAnsi="Times New Roman" w:cs="Times New Roman"/>
          <w:sz w:val="28"/>
          <w:szCs w:val="28"/>
        </w:rPr>
        <w:t>НСЗУ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стоматологічної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військовослужбовцям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за пакетами «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Зуболікування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Зубопротезування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B756211" w14:textId="77777777" w:rsidR="00152ADC" w:rsidRPr="001C177F" w:rsidRDefault="00152ADC" w:rsidP="00152ADC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За пакетом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зубопротезування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НСЗУ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відшкодовано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квітень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2026 року в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сумі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80 962,00</w:t>
      </w:r>
      <w:r w:rsidRPr="00CC0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тис. 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травень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2026 року – 113 390,00 тис. грн.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відшкодованих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становить 194 352,00 тис. грн.</w:t>
      </w:r>
    </w:p>
    <w:p w14:paraId="513FE9AF" w14:textId="77777777" w:rsidR="00152ADC" w:rsidRDefault="00152ADC" w:rsidP="00152ADC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Разом з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окремі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стоматологічні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зубопротезування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входять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переліку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фінансуються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НСЗУ, у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підлягає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відшкодуванню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державного бюджету. З метою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повного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зубопротезування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Захисникам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lastRenderedPageBreak/>
        <w:t>Захисницям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виникла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додатковому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фінансуванні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зазначеного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заходу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C177F">
        <w:rPr>
          <w:rFonts w:ascii="Times New Roman" w:eastAsia="Times New Roman" w:hAnsi="Times New Roman" w:cs="Times New Roman"/>
          <w:sz w:val="28"/>
          <w:szCs w:val="28"/>
        </w:rPr>
        <w:t>сумі</w:t>
      </w:r>
      <w:proofErr w:type="spellEnd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 131,647 </w:t>
      </w:r>
      <w:bookmarkStart w:id="1" w:name="_Hlk231556799"/>
      <w:r w:rsidRPr="001C177F">
        <w:rPr>
          <w:rFonts w:ascii="Times New Roman" w:eastAsia="Times New Roman" w:hAnsi="Times New Roman" w:cs="Times New Roman"/>
          <w:sz w:val="28"/>
          <w:szCs w:val="28"/>
        </w:rPr>
        <w:t xml:space="preserve">тис. </w:t>
      </w:r>
      <w:bookmarkEnd w:id="1"/>
      <w:r w:rsidRPr="001C177F">
        <w:rPr>
          <w:rFonts w:ascii="Times New Roman" w:eastAsia="Times New Roman" w:hAnsi="Times New Roman" w:cs="Times New Roman"/>
          <w:sz w:val="28"/>
          <w:szCs w:val="28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1C4099" w14:textId="05ADCF11" w:rsidR="00152ADC" w:rsidRPr="00152ADC" w:rsidRDefault="00152ADC" w:rsidP="00152ADC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збільшенням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призиваються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службу за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мобілізацією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приймаються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службу за контрактом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стану та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звертаються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отриманням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одноразової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матеріальної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своєчасного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виплат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усім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заявникам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виникла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збільшенні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передбаченого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 xml:space="preserve"> пунктом 6.28 </w:t>
      </w:r>
      <w:proofErr w:type="spellStart"/>
      <w:r w:rsidRPr="00027D82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027D82">
        <w:rPr>
          <w:rFonts w:ascii="Times New Roman" w:eastAsia="Times New Roman" w:hAnsi="Times New Roman" w:cs="Times New Roman"/>
          <w:sz w:val="28"/>
          <w:szCs w:val="28"/>
        </w:rPr>
        <w:t>, на 900,0 тис. грн.</w:t>
      </w:r>
    </w:p>
    <w:p w14:paraId="48E6FF41" w14:textId="77777777" w:rsidR="00152ADC" w:rsidRPr="004727A6" w:rsidRDefault="00152ADC" w:rsidP="00152AD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2026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рік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становитиме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19 668, 937</w:t>
      </w:r>
      <w:r w:rsidRPr="0096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61A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 грн.</w:t>
      </w: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60DB3A00" w14:textId="77777777" w:rsidR="00152ADC" w:rsidRPr="0018171B" w:rsidRDefault="00152ADC" w:rsidP="00152ADC">
      <w:pPr>
        <w:spacing w:line="238" w:lineRule="auto"/>
        <w:ind w:right="-284"/>
        <w:jc w:val="both"/>
        <w:rPr>
          <w:rFonts w:ascii="Times New Roman" w:hAnsi="Times New Roman" w:cs="Times New Roman"/>
        </w:rPr>
      </w:pPr>
    </w:p>
    <w:p w14:paraId="554D0696" w14:textId="77777777" w:rsidR="00152ADC" w:rsidRPr="004727A6" w:rsidRDefault="00152ADC" w:rsidP="00152ADC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Мета і шляхи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її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досягнення</w:t>
      </w:r>
      <w:proofErr w:type="spellEnd"/>
    </w:p>
    <w:p w14:paraId="07029A9D" w14:textId="77777777" w:rsidR="00152ADC" w:rsidRDefault="00152ADC" w:rsidP="00152ADC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Метою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реалізації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заходів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Програми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є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забезпечення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соціальної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підтримки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ветеранів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війни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осіб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призваних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військову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службу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під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час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мобілізації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або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прийнятих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військову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службу за контрактом, а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також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членів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сімей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загиблих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померлих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Захисників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і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Захисниць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України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шляхом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надання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комплексної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соціальної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матеріальної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іншої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передбаченої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Програмою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допомоги</w:t>
      </w:r>
      <w:proofErr w:type="spellEnd"/>
      <w:r w:rsidRPr="009E03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09F21EA7" w14:textId="77777777" w:rsidR="00152ADC" w:rsidRPr="004727A6" w:rsidRDefault="00152ADC" w:rsidP="00152ADC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8EA730" w14:textId="77777777" w:rsidR="00152ADC" w:rsidRPr="004727A6" w:rsidRDefault="00152ADC" w:rsidP="00152ADC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</w:p>
    <w:p w14:paraId="03B0B0F6" w14:textId="77777777" w:rsidR="00152ADC" w:rsidRPr="004727A6" w:rsidRDefault="00152ADC" w:rsidP="00152ADC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статті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26 Закону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місцеве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самоврядування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Україні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району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області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від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27.02.2025 № 2002-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88-08 «Про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затвердження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членів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2024-2026 роки в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новій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редакції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</w:p>
    <w:p w14:paraId="2C817CA6" w14:textId="77777777" w:rsidR="00152ADC" w:rsidRPr="004727A6" w:rsidRDefault="00152ADC" w:rsidP="00152ADC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97B761" w14:textId="77777777" w:rsidR="00152ADC" w:rsidRDefault="00152ADC" w:rsidP="00152ADC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4.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Фінансово-економічне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</w:p>
    <w:p w14:paraId="1D630498" w14:textId="54DB8E19" w:rsidR="00152ADC" w:rsidRDefault="00152ADC" w:rsidP="00152AD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належного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рівня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захисту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військовослужбовців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членів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їхніх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також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родин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померлих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та з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урахуванням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необхідності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вирішення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актуальних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питань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соціально-побутового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характеру,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виникла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необхідність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внесення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змін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Зокрема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пропонується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збільшити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заходів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 у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розмірі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2241</w:t>
      </w:r>
      <w:r w:rsidRPr="008046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647</w:t>
      </w:r>
      <w:r w:rsidRPr="008046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тис.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046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грн.</w:t>
      </w:r>
      <w:r w:rsidRPr="00152A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8046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саме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14:paraId="7AB3F489" w14:textId="77777777" w:rsidR="00152ADC" w:rsidRPr="00226E1E" w:rsidRDefault="00152ADC" w:rsidP="00152AD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60</w:t>
      </w:r>
      <w:r w:rsidRPr="00A817E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,0 тис. грн.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адання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пільги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оплати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житлово-комунальних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вигляді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щомісячної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грошової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компенсації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рахунок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 членам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померлих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додатково</w:t>
      </w:r>
      <w:proofErr w:type="spellEnd"/>
      <w:proofErr w:type="gram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пільги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4B92A3F" w14:textId="77777777" w:rsidR="00152ADC" w:rsidRDefault="00152ADC" w:rsidP="00152ADC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EE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850</w:t>
      </w:r>
      <w:r w:rsidRPr="008A44B5">
        <w:rPr>
          <w:rFonts w:ascii="Times New Roman" w:eastAsia="Times New Roman" w:hAnsi="Times New Roman" w:cs="Times New Roman"/>
          <w:b/>
          <w:sz w:val="28"/>
          <w:szCs w:val="28"/>
        </w:rPr>
        <w:t>,0 тис. грн.</w:t>
      </w:r>
      <w:r w:rsidRPr="00C90EE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адання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одноразової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грошової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одному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членів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родини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загиблого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Захисника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чи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Захисниці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брали участь в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антитерористичній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операції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операції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Об’єднаних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у заходах</w:t>
      </w:r>
      <w:proofErr w:type="gram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відсічі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збройної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агресії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російської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федерації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вирішення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соціально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A44B5"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побутових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питань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тому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числі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встановлення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відшкодування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встановлення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надгробного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пам’ятника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) у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розмірі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50,0 тис. грн.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E96A41B" w14:textId="3B7D7930" w:rsidR="00152ADC" w:rsidRPr="00152ADC" w:rsidRDefault="00152ADC" w:rsidP="00152ADC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151E2A">
        <w:rPr>
          <w:rFonts w:ascii="Times New Roman" w:eastAsia="Times New Roman" w:hAnsi="Times New Roman" w:cs="Times New Roman"/>
          <w:b/>
          <w:bCs/>
          <w:sz w:val="28"/>
          <w:szCs w:val="28"/>
        </w:rPr>
        <w:t>300,0 тис. грн.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реабілітацію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у тому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психологічну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адаптацію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Захисникам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Захисницям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отримали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поранення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(травму,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контузію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каліцтво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захворювання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lastRenderedPageBreak/>
        <w:t>виконання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відсічі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збройної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B71F1B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71F1B">
        <w:rPr>
          <w:rFonts w:ascii="Times New Roman" w:eastAsia="Times New Roman" w:hAnsi="Times New Roman" w:cs="Times New Roman"/>
          <w:sz w:val="28"/>
          <w:szCs w:val="28"/>
        </w:rPr>
        <w:t xml:space="preserve"> 10,0 тис.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42264E4" w14:textId="0B4A64EA" w:rsidR="00152ADC" w:rsidRPr="00152ADC" w:rsidRDefault="00152ADC" w:rsidP="00152ADC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- 131,647 тис. грн. для </w:t>
      </w:r>
      <w:r w:rsidRPr="00152ADC">
        <w:rPr>
          <w:rFonts w:ascii="Times New Roman" w:hAnsi="Times New Roman" w:cs="Times New Roman"/>
          <w:sz w:val="28"/>
          <w:szCs w:val="28"/>
          <w:lang w:val="uk-UA"/>
        </w:rPr>
        <w:t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856ACD" w14:textId="77777777" w:rsidR="00152ADC" w:rsidRPr="00E60A6C" w:rsidRDefault="00152ADC" w:rsidP="00152ADC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0A6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7005AD">
        <w:rPr>
          <w:rFonts w:ascii="Times New Roman" w:eastAsia="Times New Roman" w:hAnsi="Times New Roman" w:cs="Times New Roman"/>
          <w:b/>
          <w:sz w:val="28"/>
          <w:szCs w:val="28"/>
        </w:rPr>
        <w:t>00,0 тис. грн.</w:t>
      </w:r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надання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одноразової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матеріальної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особам,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призиваються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військову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службу по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мобілізації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прийняті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військову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службу за контрактом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під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дії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воєнного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стану, у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розмірі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10,0 тис. грн.</w:t>
      </w:r>
    </w:p>
    <w:p w14:paraId="175F0A80" w14:textId="77777777" w:rsidR="00152ADC" w:rsidRPr="004727A6" w:rsidRDefault="00152ADC" w:rsidP="00152ADC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2283AD" w14:textId="77777777" w:rsidR="00152ADC" w:rsidRPr="004727A6" w:rsidRDefault="00152ADC" w:rsidP="00152ADC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Прогноз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результатів</w:t>
      </w:r>
      <w:proofErr w:type="spellEnd"/>
    </w:p>
    <w:p w14:paraId="2B226003" w14:textId="77777777" w:rsidR="00152ADC" w:rsidRDefault="00152ADC" w:rsidP="00152ADC">
      <w:pPr>
        <w:spacing w:before="60"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B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B04B3">
        <w:rPr>
          <w:rFonts w:ascii="Times New Roman" w:hAnsi="Times New Roman" w:cs="Times New Roman"/>
          <w:sz w:val="28"/>
          <w:szCs w:val="28"/>
        </w:rPr>
        <w:t>.</w:t>
      </w:r>
    </w:p>
    <w:p w14:paraId="60CA1699" w14:textId="77777777" w:rsidR="00152ADC" w:rsidRPr="009E52CA" w:rsidRDefault="00152ADC" w:rsidP="00152ADC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14:paraId="43D1DEAC" w14:textId="77777777" w:rsidR="00152ADC" w:rsidRPr="004727A6" w:rsidRDefault="00152ADC" w:rsidP="00152AD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подання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проєкту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</w:p>
    <w:p w14:paraId="65584652" w14:textId="77777777" w:rsidR="00152ADC" w:rsidRPr="004727A6" w:rsidRDefault="00152ADC" w:rsidP="00152ADC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подання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проєкту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68EAFD4" w14:textId="77777777" w:rsidR="00152ADC" w:rsidRPr="004727A6" w:rsidRDefault="00152ADC" w:rsidP="00152ADC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Анна ШЕВЕЛЬ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045-94-44-604).</w:t>
      </w:r>
    </w:p>
    <w:p w14:paraId="2AFC0B0B" w14:textId="77777777" w:rsidR="00152ADC" w:rsidRPr="004727A6" w:rsidRDefault="00152ADC" w:rsidP="00152ADC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проєкту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Pr="00AB1A5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Анна ШЕВЕЛЬ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22407339" w14:textId="77777777" w:rsidR="00152ADC" w:rsidRPr="004727A6" w:rsidRDefault="00152ADC" w:rsidP="00152ADC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7.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Порівняльна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таблиця</w:t>
      </w:r>
      <w:proofErr w:type="spellEnd"/>
    </w:p>
    <w:tbl>
      <w:tblPr>
        <w:tblStyle w:val="a5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4253"/>
        <w:gridCol w:w="1417"/>
        <w:gridCol w:w="1346"/>
        <w:gridCol w:w="1993"/>
      </w:tblGrid>
      <w:tr w:rsidR="00152ADC" w:rsidRPr="004727A6" w14:paraId="25C006A0" w14:textId="77777777" w:rsidTr="003A5DE4">
        <w:trPr>
          <w:jc w:val="center"/>
        </w:trPr>
        <w:tc>
          <w:tcPr>
            <w:tcW w:w="484" w:type="dxa"/>
            <w:vMerge w:val="restart"/>
            <w:vAlign w:val="center"/>
            <w:hideMark/>
          </w:tcPr>
          <w:p w14:paraId="1D911D76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32403D8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  <w:hideMark/>
          </w:tcPr>
          <w:p w14:paraId="77B45659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4756" w:type="dxa"/>
            <w:gridSpan w:val="3"/>
            <w:vAlign w:val="center"/>
            <w:hideMark/>
          </w:tcPr>
          <w:p w14:paraId="5C618F37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</w:tr>
      <w:tr w:rsidR="00152ADC" w:rsidRPr="004727A6" w14:paraId="11A27DD2" w14:textId="77777777" w:rsidTr="003A5DE4">
        <w:trPr>
          <w:jc w:val="center"/>
        </w:trPr>
        <w:tc>
          <w:tcPr>
            <w:tcW w:w="484" w:type="dxa"/>
            <w:vMerge/>
          </w:tcPr>
          <w:p w14:paraId="52CAF334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4EE0EBE1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  <w:hideMark/>
          </w:tcPr>
          <w:p w14:paraId="25C5F659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Було </w:t>
            </w:r>
          </w:p>
          <w:p w14:paraId="3688857B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346" w:type="dxa"/>
            <w:vAlign w:val="center"/>
            <w:hideMark/>
          </w:tcPr>
          <w:p w14:paraId="2E758EA9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Зміни +/- тис. грн.</w:t>
            </w:r>
          </w:p>
        </w:tc>
        <w:tc>
          <w:tcPr>
            <w:tcW w:w="1993" w:type="dxa"/>
            <w:vAlign w:val="center"/>
            <w:hideMark/>
          </w:tcPr>
          <w:p w14:paraId="6EEEAE1A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  <w:p w14:paraId="559A0AF0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</w:tc>
      </w:tr>
      <w:tr w:rsidR="00152ADC" w:rsidRPr="004727A6" w14:paraId="20F346B7" w14:textId="77777777" w:rsidTr="003A5DE4">
        <w:trPr>
          <w:jc w:val="center"/>
        </w:trPr>
        <w:tc>
          <w:tcPr>
            <w:tcW w:w="484" w:type="dxa"/>
          </w:tcPr>
          <w:p w14:paraId="21C19298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98A1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5E90FF0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9152D8D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п.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375">
              <w:rPr>
                <w:rFonts w:ascii="Times New Roman" w:hAnsi="Times New Roman" w:cs="Times New Roman"/>
                <w:sz w:val="28"/>
                <w:szCs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2C813904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7BC">
              <w:rPr>
                <w:rFonts w:ascii="Times New Roman" w:hAnsi="Times New Roman" w:cs="Times New Roman"/>
                <w:sz w:val="28"/>
                <w:szCs w:val="28"/>
              </w:rPr>
              <w:t>1180,0</w:t>
            </w:r>
          </w:p>
        </w:tc>
        <w:tc>
          <w:tcPr>
            <w:tcW w:w="1346" w:type="dxa"/>
            <w:vAlign w:val="center"/>
          </w:tcPr>
          <w:p w14:paraId="74750A2B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93" w:type="dxa"/>
            <w:vAlign w:val="center"/>
          </w:tcPr>
          <w:p w14:paraId="49140AE8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1240,0</w:t>
            </w:r>
          </w:p>
        </w:tc>
      </w:tr>
      <w:tr w:rsidR="00152ADC" w:rsidRPr="00664BBE" w14:paraId="5AED68BC" w14:textId="77777777" w:rsidTr="003A5DE4">
        <w:trPr>
          <w:jc w:val="center"/>
        </w:trPr>
        <w:tc>
          <w:tcPr>
            <w:tcW w:w="484" w:type="dxa"/>
          </w:tcPr>
          <w:p w14:paraId="2FECAB8E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257E2E98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6.2</w:t>
            </w:r>
            <w:r w:rsidRPr="00F55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B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2" w:name="_Hlk228890194"/>
            <w:r>
              <w:rPr>
                <w:rFonts w:ascii="Times New Roman" w:eastAsia="Times New Roman" w:hAnsi="Times New Roman" w:cs="Times New Roman"/>
                <w:sz w:val="28"/>
              </w:rPr>
      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заходах щодо забезпечення відсічі збройної агресії російської федерації, на вирішення соціально-</w:t>
            </w:r>
            <w:bookmarkStart w:id="3" w:name="_Hlk228890207"/>
            <w:bookmarkEnd w:id="2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побутових питань ( в тому числі , на встановлення або відшкодування за встановлення надгробного пам’ятника) у розмірі 50,0 тис. грн.</w:t>
            </w:r>
            <w:bookmarkEnd w:id="3"/>
            <w:r w:rsidRPr="00664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vAlign w:val="center"/>
          </w:tcPr>
          <w:p w14:paraId="74CE460C" w14:textId="77777777" w:rsidR="00152ADC" w:rsidRPr="00DF314A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7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1550,0</w:t>
            </w:r>
          </w:p>
        </w:tc>
        <w:tc>
          <w:tcPr>
            <w:tcW w:w="1346" w:type="dxa"/>
            <w:vAlign w:val="center"/>
          </w:tcPr>
          <w:p w14:paraId="2862297B" w14:textId="77777777" w:rsidR="00152ADC" w:rsidRPr="00DF314A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C7B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850</w:t>
            </w:r>
            <w:r w:rsidRPr="001C7B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7B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93" w:type="dxa"/>
            <w:vAlign w:val="center"/>
          </w:tcPr>
          <w:p w14:paraId="58DE158B" w14:textId="77777777" w:rsidR="00152ADC" w:rsidRPr="00DF314A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71BC"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</w:tr>
      <w:tr w:rsidR="00152ADC" w:rsidRPr="004727A6" w14:paraId="199E1C02" w14:textId="77777777" w:rsidTr="003A5DE4">
        <w:trPr>
          <w:trHeight w:val="1772"/>
          <w:jc w:val="center"/>
        </w:trPr>
        <w:tc>
          <w:tcPr>
            <w:tcW w:w="484" w:type="dxa"/>
          </w:tcPr>
          <w:p w14:paraId="60D7DC12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54228E55" w14:textId="77777777" w:rsidR="00152ADC" w:rsidRPr="0010422E" w:rsidRDefault="00152ADC" w:rsidP="003A5DE4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29D7">
              <w:rPr>
                <w:rFonts w:ascii="Times New Roman" w:eastAsia="Times New Roman" w:hAnsi="Times New Roman" w:cs="Times New Roman"/>
                <w:sz w:val="28"/>
              </w:rPr>
              <w:t>п.6.21. 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федерації, у розмірі 10,0 тис. грн.»</w:t>
            </w:r>
          </w:p>
        </w:tc>
        <w:tc>
          <w:tcPr>
            <w:tcW w:w="1417" w:type="dxa"/>
            <w:vAlign w:val="center"/>
          </w:tcPr>
          <w:p w14:paraId="4CBB2D04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1860,0</w:t>
            </w:r>
          </w:p>
        </w:tc>
        <w:tc>
          <w:tcPr>
            <w:tcW w:w="1346" w:type="dxa"/>
            <w:vAlign w:val="center"/>
          </w:tcPr>
          <w:p w14:paraId="43BAE000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</w:rPr>
              <w:t>300,0</w:t>
            </w:r>
          </w:p>
        </w:tc>
        <w:tc>
          <w:tcPr>
            <w:tcW w:w="1993" w:type="dxa"/>
            <w:vAlign w:val="center"/>
          </w:tcPr>
          <w:p w14:paraId="733028E7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2160,0</w:t>
            </w:r>
          </w:p>
        </w:tc>
      </w:tr>
      <w:tr w:rsidR="00152ADC" w:rsidRPr="00E04442" w14:paraId="45679C6C" w14:textId="77777777" w:rsidTr="003A5DE4">
        <w:trPr>
          <w:trHeight w:val="1772"/>
          <w:jc w:val="center"/>
        </w:trPr>
        <w:tc>
          <w:tcPr>
            <w:tcW w:w="484" w:type="dxa"/>
          </w:tcPr>
          <w:p w14:paraId="61A53664" w14:textId="77777777" w:rsidR="00152ADC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1A2486FA" w14:textId="77777777" w:rsidR="00152ADC" w:rsidRPr="002D6CBE" w:rsidRDefault="00152ADC" w:rsidP="003A5DE4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47692">
              <w:rPr>
                <w:rFonts w:ascii="Times New Roman" w:hAnsi="Times New Roman" w:cs="Times New Roman"/>
                <w:sz w:val="28"/>
                <w:szCs w:val="28"/>
              </w:rPr>
              <w:t>п.6.2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7692">
              <w:rPr>
                <w:rFonts w:ascii="Times New Roman" w:hAnsi="Times New Roman" w:cs="Times New Roman"/>
                <w:sz w:val="28"/>
                <w:szCs w:val="28"/>
              </w:rPr>
              <w:t>. 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</w:t>
            </w:r>
          </w:p>
        </w:tc>
        <w:tc>
          <w:tcPr>
            <w:tcW w:w="1417" w:type="dxa"/>
            <w:vAlign w:val="center"/>
          </w:tcPr>
          <w:p w14:paraId="065AE6D6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1266,79</w:t>
            </w:r>
          </w:p>
        </w:tc>
        <w:tc>
          <w:tcPr>
            <w:tcW w:w="1346" w:type="dxa"/>
            <w:vAlign w:val="center"/>
          </w:tcPr>
          <w:p w14:paraId="68565431" w14:textId="77777777" w:rsidR="00152ADC" w:rsidRPr="00B60A4B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271BC">
              <w:rPr>
                <w:rFonts w:ascii="Times New Roman" w:eastAsia="Times New Roman" w:hAnsi="Times New Roman" w:cs="Times New Roman"/>
                <w:sz w:val="28"/>
              </w:rPr>
              <w:t>131,647</w:t>
            </w:r>
          </w:p>
        </w:tc>
        <w:tc>
          <w:tcPr>
            <w:tcW w:w="1993" w:type="dxa"/>
            <w:vAlign w:val="center"/>
          </w:tcPr>
          <w:p w14:paraId="52E8BB55" w14:textId="77777777" w:rsidR="00152ADC" w:rsidRPr="004727A6" w:rsidRDefault="00152ADC" w:rsidP="003A5DE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1398,437</w:t>
            </w:r>
          </w:p>
        </w:tc>
      </w:tr>
      <w:tr w:rsidR="00152ADC" w:rsidRPr="00E04442" w14:paraId="55BC0604" w14:textId="77777777" w:rsidTr="003A5DE4">
        <w:trPr>
          <w:trHeight w:val="1772"/>
          <w:jc w:val="center"/>
        </w:trPr>
        <w:tc>
          <w:tcPr>
            <w:tcW w:w="484" w:type="dxa"/>
          </w:tcPr>
          <w:p w14:paraId="32E8AE55" w14:textId="77777777" w:rsidR="00152ADC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14:paraId="2374B737" w14:textId="77777777" w:rsidR="00152ADC" w:rsidRPr="004727A6" w:rsidRDefault="00152ADC" w:rsidP="003A5DE4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3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vAlign w:val="center"/>
          </w:tcPr>
          <w:p w14:paraId="4FA585A2" w14:textId="77777777" w:rsidR="00152ADC" w:rsidRDefault="00152ADC" w:rsidP="003A5DE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F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3860,0</w:t>
            </w:r>
          </w:p>
        </w:tc>
        <w:tc>
          <w:tcPr>
            <w:tcW w:w="1346" w:type="dxa"/>
            <w:vAlign w:val="center"/>
          </w:tcPr>
          <w:p w14:paraId="1C046ABA" w14:textId="77777777" w:rsidR="00152ADC" w:rsidRPr="008046A2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362C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993" w:type="dxa"/>
            <w:vAlign w:val="center"/>
          </w:tcPr>
          <w:p w14:paraId="707F10FF" w14:textId="77777777" w:rsidR="00152ADC" w:rsidRDefault="00152ADC" w:rsidP="003A5DE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</w:t>
            </w:r>
            <w:r w:rsidRPr="008362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152ADC" w:rsidRPr="004727A6" w14:paraId="094F87D6" w14:textId="77777777" w:rsidTr="003A5DE4">
        <w:trPr>
          <w:trHeight w:val="265"/>
          <w:jc w:val="center"/>
        </w:trPr>
        <w:tc>
          <w:tcPr>
            <w:tcW w:w="484" w:type="dxa"/>
          </w:tcPr>
          <w:p w14:paraId="293F9934" w14:textId="77777777" w:rsidR="00152ADC" w:rsidRPr="004727A6" w:rsidRDefault="00152ADC" w:rsidP="003A5D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7E519E4" w14:textId="77777777" w:rsidR="00152ADC" w:rsidRPr="004727A6" w:rsidRDefault="00152ADC" w:rsidP="003A5DE4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обсяг фінансування Програми:</w:t>
            </w:r>
          </w:p>
        </w:tc>
        <w:tc>
          <w:tcPr>
            <w:tcW w:w="1417" w:type="dxa"/>
          </w:tcPr>
          <w:p w14:paraId="7B1EE391" w14:textId="77777777" w:rsidR="00152ADC" w:rsidRPr="004727A6" w:rsidRDefault="00152ADC" w:rsidP="003A5DE4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17427,29</w:t>
            </w:r>
          </w:p>
          <w:p w14:paraId="6B0D242A" w14:textId="77777777" w:rsidR="00152ADC" w:rsidRPr="004727A6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72314E13" w14:textId="77777777" w:rsidR="00152ADC" w:rsidRPr="00FE4832" w:rsidRDefault="00152ADC" w:rsidP="003A5DE4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647</w:t>
            </w:r>
          </w:p>
        </w:tc>
        <w:tc>
          <w:tcPr>
            <w:tcW w:w="1993" w:type="dxa"/>
          </w:tcPr>
          <w:p w14:paraId="688D219E" w14:textId="77777777" w:rsidR="00152ADC" w:rsidRPr="004727A6" w:rsidRDefault="00152ADC" w:rsidP="003A5DE4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19668,937</w:t>
            </w:r>
          </w:p>
        </w:tc>
      </w:tr>
    </w:tbl>
    <w:p w14:paraId="4B1AE3A0" w14:textId="77777777" w:rsidR="00152ADC" w:rsidRDefault="00152ADC" w:rsidP="00152ADC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A08287" w14:textId="77777777" w:rsidR="00152ADC" w:rsidRPr="004727A6" w:rsidRDefault="00152ADC" w:rsidP="00152ADC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BC3136" w14:textId="77777777" w:rsidR="00152ADC" w:rsidRPr="004727A6" w:rsidRDefault="00152ADC" w:rsidP="00152AD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B1A59">
        <w:rPr>
          <w:rFonts w:ascii="Times New Roman" w:eastAsia="Calibri" w:hAnsi="Times New Roman" w:cs="Times New Roman"/>
          <w:sz w:val="28"/>
          <w:szCs w:val="28"/>
          <w:lang w:eastAsia="en-US"/>
        </w:rPr>
        <w:t>Анна ШЕВЕЛЬ</w:t>
      </w:r>
    </w:p>
    <w:p w14:paraId="19D3CCEC" w14:textId="1B300AD1" w:rsidR="009B7D79" w:rsidRPr="00152ADC" w:rsidRDefault="009B7D79" w:rsidP="00152ADC"/>
    <w:sectPr w:rsidR="009B7D79" w:rsidRPr="00152AD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022774"/>
    <w:multiLevelType w:val="hybridMultilevel"/>
    <w:tmpl w:val="36549EDA"/>
    <w:lvl w:ilvl="0" w:tplc="51769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52ADC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152ADC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2ADC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5747</Words>
  <Characters>3277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dcterms:created xsi:type="dcterms:W3CDTF">2021-03-03T14:03:00Z</dcterms:created>
  <dcterms:modified xsi:type="dcterms:W3CDTF">2026-06-05T12:50:00Z</dcterms:modified>
</cp:coreProperties>
</file>