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tabs>
          <w:tab w:val="left" w:pos="5610"/>
          <w:tab w:val="left" w:pos="6358"/>
        </w:tabs>
        <w:spacing w:beforeAutospacing="0" w:after="0" w:afterAutospacing="0"/>
        <w:ind w:left="10206"/>
        <w:jc w:val="left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>Додаток</w:t>
      </w:r>
    </w:p>
    <w:p>
      <w:pPr>
        <w:widowControl/>
        <w:tabs>
          <w:tab w:val="left" w:pos="5610"/>
          <w:tab w:val="left" w:pos="6358"/>
        </w:tabs>
        <w:bidi w:val="0"/>
        <w:spacing w:beforeAutospacing="0" w:afterAutospacing="0" w:line="276" w:lineRule="auto"/>
        <w:ind w:left="9781" w:right="0"/>
        <w:jc w:val="left"/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000000"/>
          <w:sz w:val="28"/>
          <w:u w:val="none"/>
          <w:shd w:val="clear" w:color="auto" w:fill="FFFFFF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000000"/>
          <w:sz w:val="28"/>
          <w:u w:val="none"/>
          <w:shd w:val="clear" w:color="auto" w:fill="FFFFFF"/>
          <w:vertAlign w:val="baseline"/>
          <w:lang w:val="x-none"/>
        </w:rPr>
        <w:t>Програми фінансової підтримки Комунального некомерційного товариства  Броварської міської ради Броварського району Київської області «Центр фізичного здоров’я» на 2026-2030 роки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10206"/>
        <w:jc w:val="center"/>
        <w:rPr>
          <w:rFonts w:ascii="Times New Roman" w:hAnsi="Times New Roman"/>
          <w:sz w:val="28"/>
          <w:szCs w:val="28"/>
        </w:rPr>
      </w:pPr>
      <w:permEnd w:id="0"/>
      <w:r>
        <w:rPr>
          <w:rFonts w:ascii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</w:rPr>
        <w:t>19.05.2026</w:t>
      </w:r>
      <w:r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557</w:t>
      </w:r>
    </w:p>
    <w:p>
      <w:pPr>
        <w:spacing w:beforeAutospacing="0" w:after="0" w:afterAutospacing="0"/>
        <w:ind w:left="11057"/>
        <w:rPr>
          <w:rFonts w:ascii="Times New Roman" w:hAnsi="Times New Roman"/>
          <w:b/>
          <w:bCs/>
          <w:sz w:val="28"/>
          <w:szCs w:val="28"/>
        </w:rPr>
      </w:pPr>
    </w:p>
    <w:p>
      <w:pPr>
        <w:widowControl/>
        <w:bidi w:val="0"/>
        <w:spacing w:beforeAutospacing="0" w:after="85" w:afterAutospacing="0" w:line="240" w:lineRule="auto"/>
        <w:ind w:left="0" w:right="0"/>
        <w:jc w:val="center"/>
        <w:rPr>
          <w:rFonts w:ascii="Times New Roman" w:hAnsi="Times New Roman"/>
          <w:b/>
          <w:bCs w:val="0"/>
          <w:i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permStart w:id="1" w:edGrp="everyone"/>
      <w:r>
        <w:rPr>
          <w:rFonts w:ascii="Times New Roman" w:hAnsi="Times New Roman"/>
          <w:b/>
          <w:bCs w:val="0"/>
          <w:i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Заходи та фінансування Програми</w:t>
      </w:r>
    </w:p>
    <w:p>
      <w:pPr>
        <w:widowControl/>
        <w:bidi w:val="0"/>
        <w:spacing w:beforeAutospacing="0" w:after="85" w:afterAutospacing="0" w:line="240" w:lineRule="auto"/>
        <w:ind w:left="0" w:right="0"/>
        <w:jc w:val="center"/>
        <w:rPr>
          <w:rFonts w:ascii="Times New Roman" w:hAnsi="Times New Roman"/>
          <w:b/>
          <w:bCs w:val="0"/>
          <w:i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на 2026-2030 роки</w:t>
      </w:r>
    </w:p>
    <w:p>
      <w:pPr>
        <w:widowControl/>
        <w:bidi w:val="0"/>
        <w:spacing w:beforeAutospacing="0" w:afterAutospacing="0" w:line="240" w:lineRule="auto"/>
        <w:ind w:left="0" w:right="0"/>
        <w:jc w:val="left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539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696"/>
        <w:gridCol w:w="3364"/>
        <w:gridCol w:w="1231"/>
        <w:gridCol w:w="980"/>
        <w:gridCol w:w="1399"/>
        <w:gridCol w:w="840"/>
        <w:gridCol w:w="1399"/>
        <w:gridCol w:w="981"/>
        <w:gridCol w:w="1399"/>
        <w:gridCol w:w="980"/>
        <w:gridCol w:w="1280"/>
        <w:gridCol w:w="849"/>
      </w:tblGrid>
      <w:tr>
        <w:tblPrEx>
          <w:tblW w:w="15398" w:type="dxa"/>
          <w:tblInd w:w="-743" w:type="dxa"/>
          <w:shd w:val="clear" w:color="auto" w:fill="FFFFFF"/>
          <w:tblLayout w:type="fixed"/>
          <w:tblLook w:val="01E0"/>
        </w:tblPrEx>
        <w:trPr>
          <w:trHeight w:val="324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beforeAutospacing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№ п/п</w:t>
            </w:r>
          </w:p>
        </w:tc>
        <w:tc>
          <w:tcPr>
            <w:tcW w:w="3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beforeAutospacing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Захід</w:t>
            </w:r>
          </w:p>
        </w:tc>
        <w:tc>
          <w:tcPr>
            <w:tcW w:w="113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Потреба у фінансуванні</w:t>
            </w:r>
          </w:p>
        </w:tc>
      </w:tr>
      <w:tr>
        <w:tblPrEx>
          <w:tblW w:w="15398" w:type="dxa"/>
          <w:tblInd w:w="-743" w:type="dxa"/>
          <w:shd w:val="clear" w:color="auto" w:fill="FFFFFF"/>
          <w:tblLayout w:type="fixed"/>
          <w:tblLook w:val="01E0"/>
        </w:tblPrEx>
        <w:trPr>
          <w:trHeight w:val="323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2026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2027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2028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2029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2030</w:t>
            </w:r>
          </w:p>
        </w:tc>
      </w:tr>
      <w:tr>
        <w:tblPrEx>
          <w:tblW w:w="15398" w:type="dxa"/>
          <w:tblInd w:w="-743" w:type="dxa"/>
          <w:shd w:val="clear" w:color="auto" w:fill="FFFFFF"/>
          <w:tblLayout w:type="fixed"/>
          <w:tblLook w:val="01E0"/>
        </w:tblPrEx>
        <w:trPr>
          <w:cantSplit/>
          <w:trHeight w:val="241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tabs>
                <w:tab w:val="left" w:pos="412"/>
              </w:tabs>
              <w:bidi w:val="0"/>
              <w:spacing w:beforeAutospacing="0" w:after="28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Утримання установи: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28" w:afterAutospacing="0" w:line="240" w:lineRule="auto"/>
              <w:ind w:left="113" w:right="113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Загальний фонд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28" w:afterAutospacing="0" w:line="240" w:lineRule="auto"/>
              <w:ind w:left="113" w:right="113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Спеціальний фонд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28" w:afterAutospacing="0" w:line="240" w:lineRule="auto"/>
              <w:ind w:left="113" w:right="113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Загальний фонд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28" w:afterAutospacing="0" w:line="240" w:lineRule="auto"/>
              <w:ind w:left="113" w:right="113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Спеціальний фонд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28" w:afterAutospacing="0" w:line="240" w:lineRule="auto"/>
              <w:ind w:left="113" w:right="113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Загальний фонд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28" w:afterAutospacing="0" w:line="240" w:lineRule="auto"/>
              <w:ind w:left="113" w:right="113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Спеціальний фонд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28" w:afterAutospacing="0" w:line="240" w:lineRule="auto"/>
              <w:ind w:left="113" w:right="113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Загальний фонд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28" w:afterAutospacing="0" w:line="240" w:lineRule="auto"/>
              <w:ind w:left="113" w:right="113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Спеціальний фонд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28" w:afterAutospacing="0" w:line="240" w:lineRule="auto"/>
              <w:ind w:left="113" w:right="113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Загальний фонд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28" w:afterAutospacing="0" w:line="240" w:lineRule="auto"/>
              <w:ind w:left="113" w:right="113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Спеціальний фонд</w:t>
            </w:r>
          </w:p>
        </w:tc>
      </w:tr>
      <w:tr>
        <w:tblPrEx>
          <w:tblW w:w="15398" w:type="dxa"/>
          <w:tblInd w:w="-743" w:type="dxa"/>
          <w:shd w:val="clear" w:color="auto" w:fill="FFFFFF"/>
          <w:tblLayout w:type="fixed"/>
          <w:tblLook w:val="01E0"/>
        </w:tblPrEx>
        <w:trPr>
          <w:trHeight w:val="61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1.1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tabs>
                <w:tab w:val="left" w:pos="412"/>
              </w:tabs>
              <w:bidi w:val="0"/>
              <w:spacing w:beforeAutospacing="0" w:after="28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заробітна плата, тис. грн.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250,00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7147,20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7147,20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7147,20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7147,20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</w:tr>
      <w:tr>
        <w:tblPrEx>
          <w:tblW w:w="15398" w:type="dxa"/>
          <w:tblInd w:w="-743" w:type="dxa"/>
          <w:shd w:val="clear" w:color="auto" w:fill="FFFFFF"/>
          <w:tblLayout w:type="fixed"/>
          <w:tblLook w:val="01E0"/>
        </w:tblPrEx>
        <w:trPr>
          <w:trHeight w:val="961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1.2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tabs>
                <w:tab w:val="left" w:pos="412"/>
              </w:tabs>
              <w:bidi w:val="0"/>
              <w:spacing w:beforeAutospacing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нарахування на заробітну плату,</w:t>
            </w:r>
            <w:r>
              <w:rPr>
                <w:rFonts w:ascii="Calibri" w:hAnsi="Calibri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2"/>
                <w:u w:val="none"/>
                <w:shd w:val="clear" w:color="auto" w:fill="auto"/>
                <w:vertAlign w:val="baseline"/>
                <w:lang w:val="x-none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тис. грн.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beforeAutospacing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55,0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1572,40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1572,40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1572,40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1572,40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</w:tr>
      <w:tr>
        <w:tblPrEx>
          <w:tblW w:w="15398" w:type="dxa"/>
          <w:tblInd w:w="-743" w:type="dxa"/>
          <w:shd w:val="clear" w:color="auto" w:fill="FFFFFF"/>
          <w:tblLayout w:type="fixed"/>
          <w:tblLook w:val="01E0"/>
        </w:tblPrEx>
        <w:trPr>
          <w:trHeight w:val="79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1.3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tabs>
                <w:tab w:val="left" w:pos="412"/>
              </w:tabs>
              <w:bidi w:val="0"/>
              <w:spacing w:beforeAutospacing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Відрядження, тис. грн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108,00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129,60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155,5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186,60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</w:tr>
      <w:tr>
        <w:tblPrEx>
          <w:tblW w:w="15398" w:type="dxa"/>
          <w:tblInd w:w="-743" w:type="dxa"/>
          <w:shd w:val="clear" w:color="auto" w:fill="FFFFFF"/>
          <w:tblLayout w:type="fixed"/>
          <w:tblLook w:val="01E0"/>
        </w:tblPrEx>
        <w:trPr>
          <w:trHeight w:val="132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1.4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tabs>
                <w:tab w:val="left" w:pos="412"/>
              </w:tabs>
              <w:bidi w:val="0"/>
              <w:spacing w:beforeAutospacing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предмети, матеріали, обладнання та інвентар, тис. грн.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beforeAutospacing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0,00   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540,00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432,00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648,00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777,60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</w:tr>
      <w:tr>
        <w:tblPrEx>
          <w:tblW w:w="15398" w:type="dxa"/>
          <w:tblInd w:w="-743" w:type="dxa"/>
          <w:shd w:val="clear" w:color="auto" w:fill="FFFFFF"/>
          <w:tblLayout w:type="fixed"/>
          <w:tblLook w:val="01E0"/>
        </w:tblPrEx>
        <w:trPr>
          <w:trHeight w:val="97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1.5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tabs>
                <w:tab w:val="left" w:pos="412"/>
              </w:tabs>
              <w:bidi w:val="0"/>
              <w:spacing w:beforeAutospacing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оплата послуг (крім комунальних), тис. грн.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20,00   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27,00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32,40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38,80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46,60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</w:tr>
      <w:tr>
        <w:tblPrEx>
          <w:tblW w:w="15398" w:type="dxa"/>
          <w:tblInd w:w="-743" w:type="dxa"/>
          <w:shd w:val="clear" w:color="auto" w:fill="FFFFFF"/>
          <w:tblLayout w:type="fixed"/>
          <w:tblLook w:val="01E0"/>
        </w:tblPrEx>
        <w:trPr>
          <w:trHeight w:val="131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1.6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tabs>
                <w:tab w:val="left" w:pos="412"/>
              </w:tabs>
              <w:bidi w:val="0"/>
              <w:spacing w:beforeAutospacing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оплата комунальних послуг та енергоносіїв, тис. грн.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0,00   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90,00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108,00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129,60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155,50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</w:tr>
      <w:tr>
        <w:tblPrEx>
          <w:tblW w:w="15398" w:type="dxa"/>
          <w:tblInd w:w="-743" w:type="dxa"/>
          <w:shd w:val="clear" w:color="auto" w:fill="FFFFFF"/>
          <w:tblLayout w:type="fixed"/>
          <w:tblLook w:val="01E0"/>
        </w:tblPrEx>
        <w:trPr>
          <w:trHeight w:val="175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beforeAutospacing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tabs>
                <w:tab w:val="left" w:pos="412"/>
              </w:tabs>
              <w:bidi w:val="0"/>
              <w:spacing w:beforeAutospacing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Придбання обладнання і предметів  довгострокового користування, тис. грн.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beforeAutospacing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150,00   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360,00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432,00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518,00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622,00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</w:tr>
      <w:tr>
        <w:tblPrEx>
          <w:tblW w:w="15398" w:type="dxa"/>
          <w:tblInd w:w="-743" w:type="dxa"/>
          <w:shd w:val="clear" w:color="auto" w:fill="FFFFFF"/>
          <w:tblLayout w:type="fixed"/>
          <w:tblLook w:val="01E0"/>
        </w:tblPrEx>
        <w:trPr>
          <w:trHeight w:val="1169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tabs>
                <w:tab w:val="left" w:pos="412"/>
              </w:tabs>
              <w:bidi w:val="0"/>
              <w:spacing w:beforeAutospacing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Придбання нагородної атрибутики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270,00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324,00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388,80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466,50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</w:tr>
      <w:tr>
        <w:tblPrEx>
          <w:tblW w:w="15398" w:type="dxa"/>
          <w:tblInd w:w="-743" w:type="dxa"/>
          <w:shd w:val="clear" w:color="auto" w:fill="FFFFFF"/>
          <w:tblLayout w:type="fixed"/>
          <w:tblLook w:val="01E0"/>
        </w:tblPrEx>
        <w:trPr>
          <w:trHeight w:val="649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tabs>
                <w:tab w:val="left" w:pos="412"/>
              </w:tabs>
              <w:bidi w:val="0"/>
              <w:spacing w:beforeAutospacing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Придбання спортивної форми та екіпірування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270,00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324,00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388,80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466,50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</w:tr>
      <w:tr>
        <w:tblPrEx>
          <w:tblW w:w="15398" w:type="dxa"/>
          <w:tblInd w:w="-743" w:type="dxa"/>
          <w:shd w:val="clear" w:color="auto" w:fill="FFFFFF"/>
          <w:tblLayout w:type="fixed"/>
          <w:tblLook w:val="01E0"/>
        </w:tblPrEx>
        <w:trPr>
          <w:trHeight w:val="63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5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tabs>
                <w:tab w:val="left" w:pos="412"/>
              </w:tabs>
              <w:bidi w:val="0"/>
              <w:spacing w:beforeAutospacing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Проведення спортивно-масових заходів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0,00   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90,00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108,00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129,60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155,50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</w:tr>
      <w:tr>
        <w:tblPrEx>
          <w:tblW w:w="15398" w:type="dxa"/>
          <w:tblInd w:w="-743" w:type="dxa"/>
          <w:shd w:val="clear" w:color="auto" w:fill="FFFFFF"/>
          <w:tblLayout w:type="fixed"/>
          <w:tblLook w:val="01E0"/>
        </w:tblPrEx>
        <w:trPr>
          <w:trHeight w:val="32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tabs>
                <w:tab w:val="left" w:pos="412"/>
              </w:tabs>
              <w:bidi w:val="0"/>
              <w:spacing w:beforeAutospacing="0" w:afterAutospacing="0" w:line="240" w:lineRule="auto"/>
              <w:ind w:left="0" w:right="0"/>
              <w:jc w:val="both"/>
              <w:rPr>
                <w:rFonts w:ascii="Times New Roman" w:hAnsi="Times New Roman"/>
                <w:b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Разом, тис. грн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beforeAutospacing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475,00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10474,60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10609,6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11116,7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11596,4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</w:tr>
      <w:tr>
        <w:tblPrEx>
          <w:tblW w:w="15398" w:type="dxa"/>
          <w:tblInd w:w="-743" w:type="dxa"/>
          <w:shd w:val="clear" w:color="auto" w:fill="FFFFFF"/>
          <w:tblLayout w:type="fixed"/>
          <w:tblLook w:val="01E0"/>
        </w:tblPrEx>
        <w:trPr>
          <w:trHeight w:val="392"/>
        </w:trPr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tabs>
                <w:tab w:val="left" w:pos="412"/>
              </w:tabs>
              <w:bidi w:val="0"/>
              <w:spacing w:beforeAutospacing="0" w:after="28" w:afterAutospacing="0" w:line="240" w:lineRule="auto"/>
              <w:ind w:left="0" w:right="0"/>
              <w:jc w:val="both"/>
              <w:rPr>
                <w:rFonts w:ascii="Times New Roman" w:hAnsi="Times New Roman"/>
                <w:b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РАЗОМ по Програмі, тис. грн</w:t>
            </w:r>
          </w:p>
        </w:tc>
        <w:tc>
          <w:tcPr>
            <w:tcW w:w="113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44272,30</w:t>
            </w:r>
          </w:p>
        </w:tc>
      </w:tr>
    </w:tbl>
    <w:p>
      <w:pPr>
        <w:widowControl/>
        <w:bidi w:val="0"/>
        <w:spacing w:beforeAutospacing="0" w:after="28" w:afterAutospacing="0" w:line="276" w:lineRule="auto"/>
        <w:ind w:left="0" w:right="0"/>
        <w:jc w:val="center"/>
        <w:rPr>
          <w:rFonts w:ascii="Times New Roman" w:hAnsi="Times New Roman"/>
          <w:b/>
          <w:bCs/>
          <w:sz w:val="28"/>
          <w:szCs w:val="28"/>
        </w:rPr>
      </w:pPr>
    </w:p>
    <w:p>
      <w:pPr>
        <w:widowControl/>
        <w:bidi w:val="0"/>
        <w:spacing w:beforeAutospacing="0" w:after="28" w:afterAutospacing="0" w:line="276" w:lineRule="auto"/>
        <w:ind w:left="0" w:right="0"/>
        <w:jc w:val="center"/>
        <w:rPr>
          <w:rFonts w:ascii="Times New Roman" w:hAnsi="Times New Roman"/>
          <w:b/>
          <w:bCs/>
          <w:sz w:val="28"/>
          <w:szCs w:val="28"/>
        </w:rPr>
      </w:pPr>
    </w:p>
    <w:p>
      <w:pPr>
        <w:widowControl/>
        <w:bidi w:val="0"/>
        <w:spacing w:beforeAutospacing="0" w:after="28" w:afterAutospacing="0" w:line="276" w:lineRule="auto"/>
        <w:ind w:left="0" w:right="0"/>
        <w:jc w:val="center"/>
        <w:rPr>
          <w:rFonts w:ascii="Times New Roman" w:hAnsi="Times New Roman"/>
          <w:b/>
          <w:bCs/>
          <w:sz w:val="28"/>
          <w:szCs w:val="28"/>
        </w:rPr>
      </w:pPr>
    </w:p>
    <w:p>
      <w:pPr>
        <w:widowControl/>
        <w:bidi w:val="0"/>
        <w:spacing w:beforeAutospacing="0" w:after="28" w:afterAutospacing="0" w:line="240" w:lineRule="auto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Виконуючий обов’язки міського голови –</w:t>
      </w:r>
    </w:p>
    <w:p>
      <w:pPr>
        <w:widowControl/>
        <w:bidi w:val="0"/>
        <w:spacing w:beforeAutospacing="0" w:after="28" w:afterAutospacing="0" w:line="240" w:lineRule="auto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заступник міського голови з питань</w:t>
      </w:r>
    </w:p>
    <w:p>
      <w:pPr>
        <w:widowControl/>
        <w:bidi w:val="0"/>
        <w:spacing w:beforeAutospacing="0" w:after="28" w:afterAutospacing="0" w:line="240" w:lineRule="auto"/>
        <w:ind w:left="0" w:right="0"/>
        <w:jc w:val="left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діяльності виконавчих органів ради</w:t>
        <w:tab/>
        <w:tab/>
        <w:tab/>
        <w:tab/>
        <w:tab/>
        <w:tab/>
        <w:tab/>
        <w:tab/>
        <w:tab/>
        <w:tab/>
        <w:tab/>
        <w:t>Петро БАБИЧ</w:t>
      </w:r>
      <w:permEnd w:id="1"/>
    </w:p>
    <w:sectPr>
      <w:headerReference w:type="default" r:id="rId4"/>
      <w:footerReference w:type="default" r:id="rId5"/>
      <w:type w:val="nextPage"/>
      <w:pgSz w:w="16838" w:h="11906" w:orient="landscape" w:code="0"/>
      <w:pgMar w:top="1701" w:right="678" w:bottom="1134" w:left="1276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enter" w:pos="4819"/>
        <w:tab w:val="right" w:pos="9639"/>
      </w:tabs>
      <w:jc w:val="right"/>
      <w:rPr>
        <w:color w:val="7F7F7F" w:themeColor="text1" w:themeTint="80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EKMlU6iSeUkKlS1kfLWLdvTv+DF/nR512qnjyXjPOk3XU+xESZRcYFgFO/ekcJyoWsSoS0iDT/tv&#10;Sa+527d0qA==&#10;" w:salt="9Po521kdJU34uqVGbbjb5w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24.0002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29</cp:revision>
  <dcterms:created xsi:type="dcterms:W3CDTF">2021-08-31T06:42:00Z</dcterms:created>
  <dcterms:modified xsi:type="dcterms:W3CDTF">2026-05-18T10:31:28Z</dcterms:modified>
</cp:coreProperties>
</file>